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September 7, 2021.</w:t>
      </w:r>
    </w:p>
    <w:p>
      <w:pPr>
        <w:spacing w:after="0" w:line="103" w:lineRule="exact"/>
        <w:rPr>
          <w:sz w:val="24"/>
          <w:szCs w:val="24"/>
          <w:color w:val="auto"/>
        </w:rPr>
      </w:pPr>
    </w:p>
    <w:p>
      <w:pPr>
        <w:ind w:left="92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133985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147955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39"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F-1</w:t>
      </w:r>
    </w:p>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REGISTRATION STATEMENT</w:t>
      </w:r>
    </w:p>
    <w:p>
      <w:pPr>
        <w:jc w:val="center"/>
        <w:ind w:right="-159"/>
        <w:spacing w:after="0" w:line="236" w:lineRule="auto"/>
        <w:rPr>
          <w:sz w:val="20"/>
          <w:szCs w:val="20"/>
          <w:color w:val="auto"/>
        </w:rPr>
      </w:pPr>
      <w:r>
        <w:rPr>
          <w:rFonts w:ascii="Arial" w:cs="Arial" w:eastAsia="Arial" w:hAnsi="Arial"/>
          <w:sz w:val="13"/>
          <w:szCs w:val="13"/>
          <w:b w:val="1"/>
          <w:bCs w:val="1"/>
          <w:color w:val="auto"/>
        </w:rPr>
        <w:t>UNDER</w:t>
      </w:r>
    </w:p>
    <w:p>
      <w:pPr>
        <w:jc w:val="center"/>
        <w:ind w:right="-15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142240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Global-E Online Ltd.</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02" w:lineRule="exact"/>
        <w:rPr>
          <w:sz w:val="24"/>
          <w:szCs w:val="24"/>
          <w:color w:val="auto"/>
        </w:rPr>
      </w:pPr>
    </w:p>
    <w:tbl>
      <w:tblPr>
        <w:tblLayout w:type="fixed"/>
        <w:tblInd w:w="240" w:type="dxa"/>
        <w:tblCellMar>
          <w:top w:w="0" w:type="dxa"/>
          <w:left w:w="0" w:type="dxa"/>
          <w:bottom w:w="0" w:type="dxa"/>
          <w:right w:w="0" w:type="dxa"/>
        </w:tblCellMar>
      </w:tblPr>
      <w:tr>
        <w:trPr>
          <w:trHeight w:val="149"/>
        </w:trPr>
        <w:tc>
          <w:tcPr>
            <w:tcW w:w="3680" w:type="dxa"/>
            <w:vAlign w:val="bottom"/>
          </w:tcPr>
          <w:p>
            <w:pPr>
              <w:jc w:val="center"/>
              <w:ind w:right="55"/>
              <w:spacing w:after="0"/>
              <w:rPr>
                <w:sz w:val="20"/>
                <w:szCs w:val="20"/>
                <w:color w:val="auto"/>
              </w:rPr>
            </w:pPr>
            <w:r>
              <w:rPr>
                <w:rFonts w:ascii="Arial" w:cs="Arial" w:eastAsia="Arial" w:hAnsi="Arial"/>
                <w:sz w:val="13"/>
                <w:szCs w:val="13"/>
                <w:b w:val="1"/>
                <w:bCs w:val="1"/>
                <w:color w:val="auto"/>
                <w:w w:val="93"/>
              </w:rPr>
              <w:t>State of Israel</w:t>
            </w:r>
          </w:p>
        </w:tc>
        <w:tc>
          <w:tcPr>
            <w:tcW w:w="3120" w:type="dxa"/>
            <w:vAlign w:val="bottom"/>
            <w:gridSpan w:val="2"/>
          </w:tcPr>
          <w:p>
            <w:pPr>
              <w:jc w:val="right"/>
              <w:ind w:right="1096"/>
              <w:spacing w:after="0"/>
              <w:rPr>
                <w:sz w:val="20"/>
                <w:szCs w:val="20"/>
                <w:color w:val="auto"/>
              </w:rPr>
            </w:pPr>
            <w:r>
              <w:rPr>
                <w:rFonts w:ascii="Arial" w:cs="Arial" w:eastAsia="Arial" w:hAnsi="Arial"/>
                <w:sz w:val="13"/>
                <w:szCs w:val="13"/>
                <w:b w:val="1"/>
                <w:bCs w:val="1"/>
                <w:color w:val="auto"/>
              </w:rPr>
              <w:t>7372</w:t>
            </w:r>
          </w:p>
        </w:tc>
        <w:tc>
          <w:tcPr>
            <w:tcW w:w="12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4"/>
              </w:rPr>
              <w:t>Not Applicable</w:t>
            </w:r>
          </w:p>
        </w:tc>
      </w:tr>
      <w:tr>
        <w:trPr>
          <w:trHeight w:val="173"/>
        </w:trPr>
        <w:tc>
          <w:tcPr>
            <w:tcW w:w="3680" w:type="dxa"/>
            <w:vAlign w:val="bottom"/>
          </w:tcPr>
          <w:p>
            <w:pPr>
              <w:jc w:val="center"/>
              <w:ind w:right="55"/>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438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95"/>
              </w:rPr>
              <w:t>(Primary Standard Industrial Classification Code Number)</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5"/>
              </w:rPr>
              <w:t>(I.R.S. Employer Identification No.)</w:t>
            </w:r>
          </w:p>
        </w:tc>
      </w:tr>
      <w:tr>
        <w:trPr>
          <w:trHeight w:val="223"/>
        </w:trPr>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7"/>
              </w:rPr>
              <w:t>Global-E Online Ltd.</w:t>
            </w:r>
          </w:p>
        </w:tc>
        <w:tc>
          <w:tcPr>
            <w:tcW w:w="2060" w:type="dxa"/>
            <w:vAlign w:val="bottom"/>
          </w:tcPr>
          <w:p>
            <w:pPr>
              <w:spacing w:after="0"/>
              <w:rPr>
                <w:sz w:val="19"/>
                <w:szCs w:val="19"/>
                <w:color w:val="auto"/>
              </w:rPr>
            </w:pPr>
          </w:p>
        </w:tc>
      </w:tr>
      <w:tr>
        <w:trPr>
          <w:trHeight w:val="134"/>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00" w:type="dxa"/>
            <w:vAlign w:val="bottom"/>
            <w:gridSpan w:val="2"/>
          </w:tcPr>
          <w:p>
            <w:pPr>
              <w:jc w:val="center"/>
              <w:ind w:right="1240"/>
              <w:spacing w:after="0" w:line="134" w:lineRule="exact"/>
              <w:rPr>
                <w:sz w:val="20"/>
                <w:szCs w:val="20"/>
                <w:color w:val="auto"/>
              </w:rPr>
            </w:pPr>
            <w:r>
              <w:rPr>
                <w:rFonts w:ascii="Arial" w:cs="Arial" w:eastAsia="Arial" w:hAnsi="Arial"/>
                <w:sz w:val="12"/>
                <w:szCs w:val="12"/>
                <w:b w:val="1"/>
                <w:bCs w:val="1"/>
                <w:color w:val="auto"/>
                <w:w w:val="91"/>
              </w:rPr>
              <w:t>25 Basel Street,</w:t>
            </w:r>
          </w:p>
        </w:tc>
        <w:tc>
          <w:tcPr>
            <w:tcW w:w="2060" w:type="dxa"/>
            <w:vAlign w:val="bottom"/>
          </w:tcPr>
          <w:p>
            <w:pPr>
              <w:spacing w:after="0"/>
              <w:rPr>
                <w:sz w:val="11"/>
                <w:szCs w:val="11"/>
                <w:color w:val="auto"/>
              </w:rPr>
            </w:pPr>
          </w:p>
        </w:tc>
      </w:tr>
      <w:tr>
        <w:trPr>
          <w:trHeight w:val="134"/>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00" w:type="dxa"/>
            <w:vAlign w:val="bottom"/>
            <w:gridSpan w:val="2"/>
          </w:tcPr>
          <w:p>
            <w:pPr>
              <w:jc w:val="center"/>
              <w:ind w:right="1260"/>
              <w:spacing w:after="0" w:line="134" w:lineRule="exact"/>
              <w:rPr>
                <w:sz w:val="20"/>
                <w:szCs w:val="20"/>
                <w:color w:val="auto"/>
              </w:rPr>
            </w:pPr>
            <w:r>
              <w:rPr>
                <w:rFonts w:ascii="Arial" w:cs="Arial" w:eastAsia="Arial" w:hAnsi="Arial"/>
                <w:sz w:val="12"/>
                <w:szCs w:val="12"/>
                <w:b w:val="1"/>
                <w:bCs w:val="1"/>
                <w:color w:val="auto"/>
                <w:w w:val="95"/>
              </w:rPr>
              <w:t>Petah Tikva 4951038, Israel</w:t>
            </w:r>
          </w:p>
        </w:tc>
        <w:tc>
          <w:tcPr>
            <w:tcW w:w="2060" w:type="dxa"/>
            <w:vAlign w:val="bottom"/>
          </w:tcPr>
          <w:p>
            <w:pPr>
              <w:spacing w:after="0"/>
              <w:rPr>
                <w:sz w:val="11"/>
                <w:szCs w:val="11"/>
                <w:color w:val="auto"/>
              </w:rPr>
            </w:pPr>
          </w:p>
        </w:tc>
      </w:tr>
      <w:tr>
        <w:trPr>
          <w:trHeight w:val="134"/>
        </w:trPr>
        <w:tc>
          <w:tcPr>
            <w:tcW w:w="3680" w:type="dxa"/>
            <w:vAlign w:val="bottom"/>
          </w:tcPr>
          <w:p>
            <w:pPr>
              <w:spacing w:after="0"/>
              <w:rPr>
                <w:sz w:val="11"/>
                <w:szCs w:val="11"/>
                <w:color w:val="auto"/>
              </w:rPr>
            </w:pPr>
          </w:p>
        </w:tc>
        <w:tc>
          <w:tcPr>
            <w:tcW w:w="3120" w:type="dxa"/>
            <w:vAlign w:val="bottom"/>
            <w:gridSpan w:val="2"/>
          </w:tcPr>
          <w:p>
            <w:pPr>
              <w:jc w:val="right"/>
              <w:ind w:right="896"/>
              <w:spacing w:after="0" w:line="134" w:lineRule="exact"/>
              <w:rPr>
                <w:sz w:val="20"/>
                <w:szCs w:val="20"/>
                <w:color w:val="auto"/>
              </w:rPr>
            </w:pPr>
            <w:r>
              <w:rPr>
                <w:rFonts w:ascii="Arial" w:cs="Arial" w:eastAsia="Arial" w:hAnsi="Arial"/>
                <w:sz w:val="12"/>
                <w:szCs w:val="12"/>
                <w:b w:val="1"/>
                <w:bCs w:val="1"/>
                <w:color w:val="auto"/>
              </w:rPr>
              <w:t>+972-73-2605078</w:t>
            </w:r>
          </w:p>
        </w:tc>
        <w:tc>
          <w:tcPr>
            <w:tcW w:w="126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61"/>
        </w:trPr>
        <w:tc>
          <w:tcPr>
            <w:tcW w:w="10120" w:type="dxa"/>
            <w:vAlign w:val="bottom"/>
            <w:gridSpan w:val="5"/>
          </w:tcPr>
          <w:p>
            <w:pPr>
              <w:jc w:val="center"/>
              <w:ind w:left="595"/>
              <w:spacing w:after="0"/>
              <w:rPr>
                <w:sz w:val="20"/>
                <w:szCs w:val="20"/>
                <w:color w:val="auto"/>
              </w:rPr>
            </w:pPr>
            <w:r>
              <w:rPr>
                <w:rFonts w:ascii="Arial" w:cs="Arial" w:eastAsia="Arial" w:hAnsi="Arial"/>
                <w:sz w:val="12"/>
                <w:szCs w:val="12"/>
                <w:b w:val="1"/>
                <w:bCs w:val="1"/>
                <w:color w:val="auto"/>
                <w:w w:val="92"/>
              </w:rPr>
              <w:t>(Address, including zip code, and telephone number, including area code, of Registrant’s principal executive offices)</w:t>
            </w:r>
          </w:p>
        </w:tc>
      </w:tr>
      <w:tr>
        <w:trPr>
          <w:trHeight w:val="218"/>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gridSpan w:val="2"/>
          </w:tcPr>
          <w:p>
            <w:pPr>
              <w:jc w:val="center"/>
              <w:ind w:right="1260"/>
              <w:spacing w:after="0"/>
              <w:rPr>
                <w:sz w:val="20"/>
                <w:szCs w:val="20"/>
                <w:color w:val="auto"/>
              </w:rPr>
            </w:pPr>
            <w:r>
              <w:rPr>
                <w:rFonts w:ascii="Arial" w:cs="Arial" w:eastAsia="Arial" w:hAnsi="Arial"/>
                <w:sz w:val="12"/>
                <w:szCs w:val="12"/>
                <w:b w:val="1"/>
                <w:bCs w:val="1"/>
                <w:color w:val="auto"/>
                <w:w w:val="95"/>
              </w:rPr>
              <w:t>Global-e US Inc.</w:t>
            </w:r>
          </w:p>
        </w:tc>
        <w:tc>
          <w:tcPr>
            <w:tcW w:w="2060" w:type="dxa"/>
            <w:vAlign w:val="bottom"/>
          </w:tcPr>
          <w:p>
            <w:pPr>
              <w:spacing w:after="0"/>
              <w:rPr>
                <w:sz w:val="18"/>
                <w:szCs w:val="18"/>
                <w:color w:val="auto"/>
              </w:rPr>
            </w:pPr>
          </w:p>
        </w:tc>
      </w:tr>
      <w:tr>
        <w:trPr>
          <w:trHeight w:val="134"/>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00" w:type="dxa"/>
            <w:vAlign w:val="bottom"/>
            <w:gridSpan w:val="2"/>
          </w:tcPr>
          <w:p>
            <w:pPr>
              <w:jc w:val="center"/>
              <w:ind w:right="1240"/>
              <w:spacing w:after="0" w:line="134" w:lineRule="exact"/>
              <w:rPr>
                <w:sz w:val="20"/>
                <w:szCs w:val="20"/>
                <w:color w:val="auto"/>
              </w:rPr>
            </w:pPr>
            <w:r>
              <w:rPr>
                <w:rFonts w:ascii="Arial" w:cs="Arial" w:eastAsia="Arial" w:hAnsi="Arial"/>
                <w:sz w:val="12"/>
                <w:szCs w:val="12"/>
                <w:b w:val="1"/>
                <w:bCs w:val="1"/>
                <w:color w:val="auto"/>
                <w:w w:val="94"/>
              </w:rPr>
              <w:t>10 East 33rd Street</w:t>
            </w:r>
          </w:p>
        </w:tc>
        <w:tc>
          <w:tcPr>
            <w:tcW w:w="2060" w:type="dxa"/>
            <w:vAlign w:val="bottom"/>
          </w:tcPr>
          <w:p>
            <w:pPr>
              <w:spacing w:after="0"/>
              <w:rPr>
                <w:sz w:val="11"/>
                <w:szCs w:val="11"/>
                <w:color w:val="auto"/>
              </w:rPr>
            </w:pPr>
          </w:p>
        </w:tc>
      </w:tr>
      <w:tr>
        <w:trPr>
          <w:trHeight w:val="134"/>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00" w:type="dxa"/>
            <w:vAlign w:val="bottom"/>
            <w:gridSpan w:val="2"/>
          </w:tcPr>
          <w:p>
            <w:pPr>
              <w:jc w:val="center"/>
              <w:ind w:right="1260"/>
              <w:spacing w:after="0" w:line="134" w:lineRule="exact"/>
              <w:rPr>
                <w:sz w:val="20"/>
                <w:szCs w:val="20"/>
                <w:color w:val="auto"/>
              </w:rPr>
            </w:pPr>
            <w:r>
              <w:rPr>
                <w:rFonts w:ascii="Arial" w:cs="Arial" w:eastAsia="Arial" w:hAnsi="Arial"/>
                <w:sz w:val="12"/>
                <w:szCs w:val="12"/>
                <w:b w:val="1"/>
                <w:bCs w:val="1"/>
                <w:color w:val="auto"/>
                <w:w w:val="97"/>
              </w:rPr>
              <w:t>New York, NY 10016</w:t>
            </w:r>
          </w:p>
        </w:tc>
        <w:tc>
          <w:tcPr>
            <w:tcW w:w="2060" w:type="dxa"/>
            <w:vAlign w:val="bottom"/>
          </w:tcPr>
          <w:p>
            <w:pPr>
              <w:spacing w:after="0"/>
              <w:rPr>
                <w:sz w:val="11"/>
                <w:szCs w:val="11"/>
                <w:color w:val="auto"/>
              </w:rPr>
            </w:pPr>
          </w:p>
        </w:tc>
      </w:tr>
      <w:tr>
        <w:trPr>
          <w:trHeight w:val="134"/>
        </w:trPr>
        <w:tc>
          <w:tcPr>
            <w:tcW w:w="3680" w:type="dxa"/>
            <w:vAlign w:val="bottom"/>
          </w:tcPr>
          <w:p>
            <w:pPr>
              <w:spacing w:after="0"/>
              <w:rPr>
                <w:sz w:val="11"/>
                <w:szCs w:val="11"/>
                <w:color w:val="auto"/>
              </w:rPr>
            </w:pPr>
          </w:p>
        </w:tc>
        <w:tc>
          <w:tcPr>
            <w:tcW w:w="3120" w:type="dxa"/>
            <w:vAlign w:val="bottom"/>
            <w:gridSpan w:val="2"/>
          </w:tcPr>
          <w:p>
            <w:pPr>
              <w:jc w:val="right"/>
              <w:ind w:right="956"/>
              <w:spacing w:after="0" w:line="134" w:lineRule="exact"/>
              <w:rPr>
                <w:sz w:val="20"/>
                <w:szCs w:val="20"/>
                <w:color w:val="auto"/>
              </w:rPr>
            </w:pPr>
            <w:r>
              <w:rPr>
                <w:rFonts w:ascii="Arial" w:cs="Arial" w:eastAsia="Arial" w:hAnsi="Arial"/>
                <w:sz w:val="12"/>
                <w:szCs w:val="12"/>
                <w:b w:val="1"/>
                <w:bCs w:val="1"/>
                <w:color w:val="auto"/>
              </w:rPr>
              <w:t>(212) 634-3952</w:t>
            </w:r>
          </w:p>
        </w:tc>
        <w:tc>
          <w:tcPr>
            <w:tcW w:w="126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61"/>
        </w:trPr>
        <w:tc>
          <w:tcPr>
            <w:tcW w:w="8060" w:type="dxa"/>
            <w:vAlign w:val="bottom"/>
            <w:gridSpan w:val="4"/>
          </w:tcPr>
          <w:p>
            <w:pPr>
              <w:jc w:val="center"/>
              <w:ind w:left="2635"/>
              <w:spacing w:after="0"/>
              <w:rPr>
                <w:sz w:val="20"/>
                <w:szCs w:val="20"/>
                <w:color w:val="auto"/>
              </w:rPr>
            </w:pPr>
            <w:r>
              <w:rPr>
                <w:rFonts w:ascii="Arial" w:cs="Arial" w:eastAsia="Arial" w:hAnsi="Arial"/>
                <w:sz w:val="12"/>
                <w:szCs w:val="12"/>
                <w:b w:val="1"/>
                <w:bCs w:val="1"/>
                <w:color w:val="auto"/>
                <w:w w:val="92"/>
              </w:rPr>
              <w:t>(Name, address, including zip code, and telephone number, including area code, of agent for service)</w:t>
            </w:r>
          </w:p>
        </w:tc>
        <w:tc>
          <w:tcPr>
            <w:tcW w:w="2060" w:type="dxa"/>
            <w:vAlign w:val="bottom"/>
          </w:tcPr>
          <w:p>
            <w:pPr>
              <w:spacing w:after="0"/>
              <w:rPr>
                <w:sz w:val="14"/>
                <w:szCs w:val="14"/>
                <w:color w:val="auto"/>
              </w:rPr>
            </w:pPr>
          </w:p>
        </w:tc>
      </w:tr>
      <w:tr>
        <w:trPr>
          <w:trHeight w:val="218"/>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90"/>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00" w:type="dxa"/>
            <w:vAlign w:val="bottom"/>
            <w:gridSpan w:val="2"/>
          </w:tcPr>
          <w:p>
            <w:pPr>
              <w:jc w:val="center"/>
              <w:ind w:right="1260"/>
              <w:spacing w:after="0"/>
              <w:rPr>
                <w:sz w:val="20"/>
                <w:szCs w:val="20"/>
                <w:color w:val="auto"/>
              </w:rPr>
            </w:pPr>
            <w:r>
              <w:rPr>
                <w:rFonts w:ascii="Arial" w:cs="Arial" w:eastAsia="Arial" w:hAnsi="Arial"/>
                <w:sz w:val="14"/>
                <w:szCs w:val="14"/>
                <w:i w:val="1"/>
                <w:iCs w:val="1"/>
                <w:color w:val="auto"/>
              </w:rPr>
              <w:t>Copies to:</w:t>
            </w:r>
          </w:p>
        </w:tc>
        <w:tc>
          <w:tcPr>
            <w:tcW w:w="2060" w:type="dxa"/>
            <w:vAlign w:val="bottom"/>
          </w:tcPr>
          <w:p>
            <w:pPr>
              <w:spacing w:after="0"/>
              <w:rPr>
                <w:sz w:val="16"/>
                <w:szCs w:val="16"/>
                <w:color w:val="auto"/>
              </w:rPr>
            </w:pPr>
          </w:p>
        </w:tc>
      </w:tr>
    </w:tbl>
    <w:p>
      <w:pPr>
        <w:spacing w:after="0" w:line="1" w:lineRule="exact"/>
        <w:rPr>
          <w:sz w:val="24"/>
          <w:szCs w:val="24"/>
          <w:color w:val="auto"/>
        </w:rPr>
      </w:pPr>
    </w:p>
    <w:tbl>
      <w:tblPr>
        <w:tblLayout w:type="fixed"/>
        <w:tblInd w:w="860" w:type="dxa"/>
        <w:tblCellMar>
          <w:top w:w="0" w:type="dxa"/>
          <w:left w:w="0" w:type="dxa"/>
          <w:bottom w:w="0" w:type="dxa"/>
          <w:right w:w="0" w:type="dxa"/>
        </w:tblCellMar>
      </w:tblPr>
      <w:tr>
        <w:trPr>
          <w:trHeight w:val="120"/>
        </w:trPr>
        <w:tc>
          <w:tcPr>
            <w:tcW w:w="2220" w:type="dxa"/>
            <w:vAlign w:val="bottom"/>
          </w:tcPr>
          <w:p>
            <w:pPr>
              <w:jc w:val="center"/>
              <w:ind w:right="598"/>
              <w:spacing w:after="0" w:line="120" w:lineRule="exact"/>
              <w:rPr>
                <w:sz w:val="20"/>
                <w:szCs w:val="20"/>
                <w:color w:val="auto"/>
              </w:rPr>
            </w:pPr>
            <w:r>
              <w:rPr>
                <w:rFonts w:ascii="Arial" w:cs="Arial" w:eastAsia="Arial" w:hAnsi="Arial"/>
                <w:sz w:val="12"/>
                <w:szCs w:val="12"/>
                <w:b w:val="1"/>
                <w:bCs w:val="1"/>
                <w:color w:val="auto"/>
                <w:w w:val="94"/>
              </w:rPr>
              <w:t>Joshua G. Kiernan</w:t>
            </w:r>
          </w:p>
        </w:tc>
        <w:tc>
          <w:tcPr>
            <w:tcW w:w="2580" w:type="dxa"/>
            <w:vAlign w:val="bottom"/>
          </w:tcPr>
          <w:p>
            <w:pPr>
              <w:jc w:val="center"/>
              <w:ind w:left="178"/>
              <w:spacing w:after="0" w:line="120" w:lineRule="exact"/>
              <w:rPr>
                <w:sz w:val="20"/>
                <w:szCs w:val="20"/>
                <w:color w:val="auto"/>
              </w:rPr>
            </w:pPr>
            <w:r>
              <w:rPr>
                <w:rFonts w:ascii="Arial" w:cs="Arial" w:eastAsia="Arial" w:hAnsi="Arial"/>
                <w:sz w:val="12"/>
                <w:szCs w:val="12"/>
                <w:b w:val="1"/>
                <w:bCs w:val="1"/>
                <w:color w:val="auto"/>
                <w:w w:val="97"/>
              </w:rPr>
              <w:t>Mike Rimon</w:t>
            </w:r>
          </w:p>
        </w:tc>
        <w:tc>
          <w:tcPr>
            <w:tcW w:w="32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David J. Goldschmidt</w:t>
            </w:r>
          </w:p>
        </w:tc>
        <w:tc>
          <w:tcPr>
            <w:tcW w:w="1700" w:type="dxa"/>
            <w:vAlign w:val="bottom"/>
          </w:tcPr>
          <w:p>
            <w:pPr>
              <w:jc w:val="center"/>
              <w:ind w:left="358"/>
              <w:spacing w:after="0" w:line="120" w:lineRule="exact"/>
              <w:rPr>
                <w:sz w:val="20"/>
                <w:szCs w:val="20"/>
                <w:color w:val="auto"/>
              </w:rPr>
            </w:pPr>
            <w:r>
              <w:rPr>
                <w:rFonts w:ascii="Arial" w:cs="Arial" w:eastAsia="Arial" w:hAnsi="Arial"/>
                <w:sz w:val="12"/>
                <w:szCs w:val="12"/>
                <w:b w:val="1"/>
                <w:bCs w:val="1"/>
                <w:color w:val="auto"/>
                <w:w w:val="97"/>
              </w:rPr>
              <w:t>Chaim Friedland</w:t>
            </w:r>
          </w:p>
        </w:tc>
      </w:tr>
      <w:tr>
        <w:trPr>
          <w:trHeight w:val="134"/>
        </w:trPr>
        <w:tc>
          <w:tcPr>
            <w:tcW w:w="2220" w:type="dxa"/>
            <w:vAlign w:val="bottom"/>
          </w:tcPr>
          <w:p>
            <w:pPr>
              <w:jc w:val="center"/>
              <w:ind w:right="618"/>
              <w:spacing w:after="0" w:line="134" w:lineRule="exact"/>
              <w:rPr>
                <w:sz w:val="20"/>
                <w:szCs w:val="20"/>
                <w:color w:val="auto"/>
              </w:rPr>
            </w:pPr>
            <w:r>
              <w:rPr>
                <w:rFonts w:ascii="Arial" w:cs="Arial" w:eastAsia="Arial" w:hAnsi="Arial"/>
                <w:sz w:val="12"/>
                <w:szCs w:val="12"/>
                <w:b w:val="1"/>
                <w:bCs w:val="1"/>
                <w:color w:val="auto"/>
                <w:w w:val="97"/>
              </w:rPr>
              <w:t>Nathan Ajiashvili</w:t>
            </w:r>
          </w:p>
        </w:tc>
        <w:tc>
          <w:tcPr>
            <w:tcW w:w="2580" w:type="dxa"/>
            <w:vAlign w:val="bottom"/>
          </w:tcPr>
          <w:p>
            <w:pPr>
              <w:jc w:val="center"/>
              <w:ind w:left="178"/>
              <w:spacing w:after="0" w:line="134" w:lineRule="exact"/>
              <w:rPr>
                <w:sz w:val="20"/>
                <w:szCs w:val="20"/>
                <w:color w:val="auto"/>
              </w:rPr>
            </w:pPr>
            <w:r>
              <w:rPr>
                <w:rFonts w:ascii="Arial" w:cs="Arial" w:eastAsia="Arial" w:hAnsi="Arial"/>
                <w:sz w:val="12"/>
                <w:szCs w:val="12"/>
                <w:b w:val="1"/>
                <w:bCs w:val="1"/>
                <w:color w:val="auto"/>
                <w:w w:val="96"/>
              </w:rPr>
              <w:t>Shachar Hadar</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Yossi Vebman</w:t>
            </w:r>
          </w:p>
        </w:tc>
        <w:tc>
          <w:tcPr>
            <w:tcW w:w="1700" w:type="dxa"/>
            <w:vAlign w:val="bottom"/>
          </w:tcPr>
          <w:p>
            <w:pPr>
              <w:jc w:val="center"/>
              <w:ind w:left="338"/>
              <w:spacing w:after="0" w:line="134" w:lineRule="exact"/>
              <w:rPr>
                <w:sz w:val="20"/>
                <w:szCs w:val="20"/>
                <w:color w:val="auto"/>
              </w:rPr>
            </w:pPr>
            <w:r>
              <w:rPr>
                <w:rFonts w:ascii="Arial" w:cs="Arial" w:eastAsia="Arial" w:hAnsi="Arial"/>
                <w:sz w:val="12"/>
                <w:szCs w:val="12"/>
                <w:b w:val="1"/>
                <w:bCs w:val="1"/>
                <w:color w:val="auto"/>
              </w:rPr>
              <w:t>Ari Fried</w:t>
            </w:r>
          </w:p>
        </w:tc>
      </w:tr>
      <w:tr>
        <w:trPr>
          <w:trHeight w:val="134"/>
        </w:trPr>
        <w:tc>
          <w:tcPr>
            <w:tcW w:w="2220" w:type="dxa"/>
            <w:vAlign w:val="bottom"/>
          </w:tcPr>
          <w:p>
            <w:pPr>
              <w:jc w:val="center"/>
              <w:ind w:right="598"/>
              <w:spacing w:after="0" w:line="134" w:lineRule="exact"/>
              <w:rPr>
                <w:sz w:val="20"/>
                <w:szCs w:val="20"/>
                <w:color w:val="auto"/>
              </w:rPr>
            </w:pPr>
            <w:r>
              <w:rPr>
                <w:rFonts w:ascii="Arial" w:cs="Arial" w:eastAsia="Arial" w:hAnsi="Arial"/>
                <w:sz w:val="12"/>
                <w:szCs w:val="12"/>
                <w:b w:val="1"/>
                <w:bCs w:val="1"/>
                <w:color w:val="auto"/>
              </w:rPr>
              <w:t>Latham &amp; Watkins LLP</w:t>
            </w:r>
          </w:p>
        </w:tc>
        <w:tc>
          <w:tcPr>
            <w:tcW w:w="2580" w:type="dxa"/>
            <w:vAlign w:val="bottom"/>
          </w:tcPr>
          <w:p>
            <w:pPr>
              <w:jc w:val="center"/>
              <w:ind w:left="178"/>
              <w:spacing w:after="0" w:line="134" w:lineRule="exact"/>
              <w:rPr>
                <w:sz w:val="20"/>
                <w:szCs w:val="20"/>
                <w:color w:val="auto"/>
              </w:rPr>
            </w:pPr>
            <w:r>
              <w:rPr>
                <w:rFonts w:ascii="Arial" w:cs="Arial" w:eastAsia="Arial" w:hAnsi="Arial"/>
                <w:sz w:val="12"/>
                <w:szCs w:val="12"/>
                <w:b w:val="1"/>
                <w:bCs w:val="1"/>
                <w:color w:val="auto"/>
                <w:w w:val="96"/>
              </w:rPr>
              <w:t>Ran Camchy</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Ryan J. Dzierniejko</w:t>
            </w:r>
          </w:p>
        </w:tc>
        <w:tc>
          <w:tcPr>
            <w:tcW w:w="170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auto"/>
              </w:rPr>
              <w:t>Nir Knoll</w:t>
            </w:r>
          </w:p>
        </w:tc>
      </w:tr>
      <w:tr>
        <w:trPr>
          <w:trHeight w:val="134"/>
        </w:trPr>
        <w:tc>
          <w:tcPr>
            <w:tcW w:w="2220" w:type="dxa"/>
            <w:vAlign w:val="bottom"/>
          </w:tcPr>
          <w:p>
            <w:pPr>
              <w:jc w:val="center"/>
              <w:ind w:right="598"/>
              <w:spacing w:after="0" w:line="134" w:lineRule="exact"/>
              <w:rPr>
                <w:sz w:val="20"/>
                <w:szCs w:val="20"/>
                <w:color w:val="auto"/>
              </w:rPr>
            </w:pPr>
            <w:r>
              <w:rPr>
                <w:rFonts w:ascii="Arial" w:cs="Arial" w:eastAsia="Arial" w:hAnsi="Arial"/>
                <w:sz w:val="12"/>
                <w:szCs w:val="12"/>
                <w:b w:val="1"/>
                <w:bCs w:val="1"/>
                <w:color w:val="auto"/>
                <w:w w:val="93"/>
              </w:rPr>
              <w:t>1271 Avenue of the Americas</w:t>
            </w:r>
          </w:p>
        </w:tc>
        <w:tc>
          <w:tcPr>
            <w:tcW w:w="2580" w:type="dxa"/>
            <w:vAlign w:val="bottom"/>
          </w:tcPr>
          <w:p>
            <w:pPr>
              <w:jc w:val="center"/>
              <w:ind w:left="178"/>
              <w:spacing w:after="0" w:line="134" w:lineRule="exact"/>
              <w:rPr>
                <w:sz w:val="20"/>
                <w:szCs w:val="20"/>
                <w:color w:val="auto"/>
              </w:rPr>
            </w:pPr>
            <w:r>
              <w:rPr>
                <w:rFonts w:ascii="Arial" w:cs="Arial" w:eastAsia="Arial" w:hAnsi="Arial"/>
                <w:sz w:val="12"/>
                <w:szCs w:val="12"/>
                <w:b w:val="1"/>
                <w:bCs w:val="1"/>
                <w:color w:val="auto"/>
                <w:w w:val="97"/>
              </w:rPr>
              <w:t>Meitar | Law Offices</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Skadden, Arps, Slate, Meagher &amp; Flom LLP</w:t>
            </w:r>
          </w:p>
        </w:tc>
        <w:tc>
          <w:tcPr>
            <w:tcW w:w="1700" w:type="dxa"/>
            <w:vAlign w:val="bottom"/>
          </w:tcPr>
          <w:p>
            <w:pPr>
              <w:jc w:val="center"/>
              <w:ind w:left="338"/>
              <w:spacing w:after="0" w:line="134" w:lineRule="exact"/>
              <w:rPr>
                <w:sz w:val="20"/>
                <w:szCs w:val="20"/>
                <w:color w:val="auto"/>
              </w:rPr>
            </w:pPr>
            <w:r>
              <w:rPr>
                <w:rFonts w:ascii="Arial" w:cs="Arial" w:eastAsia="Arial" w:hAnsi="Arial"/>
                <w:sz w:val="12"/>
                <w:szCs w:val="12"/>
                <w:b w:val="1"/>
                <w:bCs w:val="1"/>
                <w:color w:val="auto"/>
                <w:w w:val="99"/>
              </w:rPr>
              <w:t>Gornitzky &amp; Co.</w:t>
            </w:r>
          </w:p>
        </w:tc>
      </w:tr>
      <w:tr>
        <w:trPr>
          <w:trHeight w:val="134"/>
        </w:trPr>
        <w:tc>
          <w:tcPr>
            <w:tcW w:w="2220" w:type="dxa"/>
            <w:vAlign w:val="bottom"/>
          </w:tcPr>
          <w:p>
            <w:pPr>
              <w:jc w:val="center"/>
              <w:ind w:right="598"/>
              <w:spacing w:after="0" w:line="134" w:lineRule="exact"/>
              <w:rPr>
                <w:sz w:val="20"/>
                <w:szCs w:val="20"/>
                <w:color w:val="auto"/>
              </w:rPr>
            </w:pPr>
            <w:r>
              <w:rPr>
                <w:rFonts w:ascii="Arial" w:cs="Arial" w:eastAsia="Arial" w:hAnsi="Arial"/>
                <w:sz w:val="12"/>
                <w:szCs w:val="12"/>
                <w:b w:val="1"/>
                <w:bCs w:val="1"/>
                <w:color w:val="auto"/>
                <w:w w:val="96"/>
              </w:rPr>
              <w:t>New York, New York 10020</w:t>
            </w:r>
          </w:p>
        </w:tc>
        <w:tc>
          <w:tcPr>
            <w:tcW w:w="2580" w:type="dxa"/>
            <w:vAlign w:val="bottom"/>
          </w:tcPr>
          <w:p>
            <w:pPr>
              <w:jc w:val="center"/>
              <w:ind w:left="198"/>
              <w:spacing w:after="0" w:line="134" w:lineRule="exact"/>
              <w:rPr>
                <w:sz w:val="20"/>
                <w:szCs w:val="20"/>
                <w:color w:val="auto"/>
              </w:rPr>
            </w:pPr>
            <w:r>
              <w:rPr>
                <w:rFonts w:ascii="Arial" w:cs="Arial" w:eastAsia="Arial" w:hAnsi="Arial"/>
                <w:sz w:val="12"/>
                <w:szCs w:val="12"/>
                <w:b w:val="1"/>
                <w:bCs w:val="1"/>
                <w:color w:val="auto"/>
                <w:w w:val="96"/>
              </w:rPr>
              <w:t>16 Abba Hillel Road</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One Manhattan West</w:t>
            </w:r>
          </w:p>
        </w:tc>
        <w:tc>
          <w:tcPr>
            <w:tcW w:w="1700" w:type="dxa"/>
            <w:vAlign w:val="bottom"/>
          </w:tcPr>
          <w:p>
            <w:pPr>
              <w:jc w:val="center"/>
              <w:ind w:left="338"/>
              <w:spacing w:after="0" w:line="134" w:lineRule="exact"/>
              <w:rPr>
                <w:sz w:val="20"/>
                <w:szCs w:val="20"/>
                <w:color w:val="auto"/>
              </w:rPr>
            </w:pPr>
            <w:r>
              <w:rPr>
                <w:rFonts w:ascii="Arial" w:cs="Arial" w:eastAsia="Arial" w:hAnsi="Arial"/>
                <w:sz w:val="12"/>
                <w:szCs w:val="12"/>
                <w:b w:val="1"/>
                <w:bCs w:val="1"/>
                <w:color w:val="auto"/>
                <w:w w:val="95"/>
              </w:rPr>
              <w:t>Vitania Tel Aviv Tower</w:t>
            </w:r>
          </w:p>
        </w:tc>
      </w:tr>
      <w:tr>
        <w:trPr>
          <w:trHeight w:val="134"/>
        </w:trPr>
        <w:tc>
          <w:tcPr>
            <w:tcW w:w="2220" w:type="dxa"/>
            <w:vAlign w:val="bottom"/>
          </w:tcPr>
          <w:p>
            <w:pPr>
              <w:jc w:val="center"/>
              <w:ind w:right="598"/>
              <w:spacing w:after="0" w:line="134" w:lineRule="exact"/>
              <w:rPr>
                <w:sz w:val="20"/>
                <w:szCs w:val="20"/>
                <w:color w:val="auto"/>
              </w:rPr>
            </w:pPr>
            <w:r>
              <w:rPr>
                <w:rFonts w:ascii="Arial" w:cs="Arial" w:eastAsia="Arial" w:hAnsi="Arial"/>
                <w:sz w:val="12"/>
                <w:szCs w:val="12"/>
                <w:b w:val="1"/>
                <w:bCs w:val="1"/>
                <w:color w:val="auto"/>
                <w:w w:val="93"/>
              </w:rPr>
              <w:t>Tel: (212) 906-1200</w:t>
            </w:r>
          </w:p>
        </w:tc>
        <w:tc>
          <w:tcPr>
            <w:tcW w:w="2580" w:type="dxa"/>
            <w:vAlign w:val="bottom"/>
          </w:tcPr>
          <w:p>
            <w:pPr>
              <w:jc w:val="center"/>
              <w:ind w:left="198"/>
              <w:spacing w:after="0" w:line="134" w:lineRule="exact"/>
              <w:rPr>
                <w:sz w:val="20"/>
                <w:szCs w:val="20"/>
                <w:color w:val="auto"/>
              </w:rPr>
            </w:pPr>
            <w:r>
              <w:rPr>
                <w:rFonts w:ascii="Arial" w:cs="Arial" w:eastAsia="Arial" w:hAnsi="Arial"/>
                <w:sz w:val="12"/>
                <w:szCs w:val="12"/>
                <w:b w:val="1"/>
                <w:bCs w:val="1"/>
                <w:color w:val="auto"/>
                <w:w w:val="95"/>
              </w:rPr>
              <w:t>Ramat Gan, 5250608, Israel</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New York, New York 10001</w:t>
            </w:r>
          </w:p>
        </w:tc>
        <w:tc>
          <w:tcPr>
            <w:tcW w:w="1700" w:type="dxa"/>
            <w:vAlign w:val="bottom"/>
          </w:tcPr>
          <w:p>
            <w:pPr>
              <w:jc w:val="center"/>
              <w:ind w:left="338"/>
              <w:spacing w:after="0" w:line="134" w:lineRule="exact"/>
              <w:rPr>
                <w:sz w:val="20"/>
                <w:szCs w:val="20"/>
                <w:color w:val="auto"/>
              </w:rPr>
            </w:pPr>
            <w:r>
              <w:rPr>
                <w:rFonts w:ascii="Arial" w:cs="Arial" w:eastAsia="Arial" w:hAnsi="Arial"/>
                <w:sz w:val="12"/>
                <w:szCs w:val="12"/>
                <w:b w:val="1"/>
                <w:bCs w:val="1"/>
                <w:color w:val="auto"/>
                <w:w w:val="96"/>
              </w:rPr>
              <w:t>20 HaHarash Street</w:t>
            </w:r>
          </w:p>
        </w:tc>
      </w:tr>
      <w:tr>
        <w:trPr>
          <w:trHeight w:val="134"/>
        </w:trPr>
        <w:tc>
          <w:tcPr>
            <w:tcW w:w="2220" w:type="dxa"/>
            <w:vAlign w:val="bottom"/>
          </w:tcPr>
          <w:p>
            <w:pPr>
              <w:jc w:val="center"/>
              <w:ind w:right="598"/>
              <w:spacing w:after="0" w:line="134" w:lineRule="exact"/>
              <w:rPr>
                <w:sz w:val="20"/>
                <w:szCs w:val="20"/>
                <w:color w:val="auto"/>
              </w:rPr>
            </w:pPr>
            <w:r>
              <w:rPr>
                <w:rFonts w:ascii="Arial" w:cs="Arial" w:eastAsia="Arial" w:hAnsi="Arial"/>
                <w:sz w:val="12"/>
                <w:szCs w:val="12"/>
                <w:b w:val="1"/>
                <w:bCs w:val="1"/>
                <w:color w:val="auto"/>
                <w:w w:val="94"/>
              </w:rPr>
              <w:t>Fax: (212) 751-4864</w:t>
            </w:r>
          </w:p>
        </w:tc>
        <w:tc>
          <w:tcPr>
            <w:tcW w:w="2580" w:type="dxa"/>
            <w:vAlign w:val="bottom"/>
          </w:tcPr>
          <w:p>
            <w:pPr>
              <w:jc w:val="center"/>
              <w:ind w:left="178"/>
              <w:spacing w:after="0" w:line="134" w:lineRule="exact"/>
              <w:rPr>
                <w:sz w:val="20"/>
                <w:szCs w:val="20"/>
                <w:color w:val="auto"/>
              </w:rPr>
            </w:pPr>
            <w:r>
              <w:rPr>
                <w:rFonts w:ascii="Arial" w:cs="Arial" w:eastAsia="Arial" w:hAnsi="Arial"/>
                <w:sz w:val="12"/>
                <w:szCs w:val="12"/>
                <w:b w:val="1"/>
                <w:bCs w:val="1"/>
                <w:color w:val="auto"/>
                <w:w w:val="95"/>
              </w:rPr>
              <w:t>Tel: +972 (3) 610-3100</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Tel: (212) 735-3000</w:t>
            </w:r>
          </w:p>
        </w:tc>
        <w:tc>
          <w:tcPr>
            <w:tcW w:w="170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auto"/>
                <w:w w:val="95"/>
              </w:rPr>
              <w:t>Tel Aviv 6761310, Israel</w:t>
            </w:r>
          </w:p>
        </w:tc>
      </w:tr>
      <w:tr>
        <w:trPr>
          <w:trHeight w:val="134"/>
        </w:trPr>
        <w:tc>
          <w:tcPr>
            <w:tcW w:w="2220" w:type="dxa"/>
            <w:vAlign w:val="bottom"/>
          </w:tcPr>
          <w:p>
            <w:pPr>
              <w:spacing w:after="0"/>
              <w:rPr>
                <w:sz w:val="11"/>
                <w:szCs w:val="11"/>
                <w:color w:val="auto"/>
              </w:rPr>
            </w:pPr>
          </w:p>
        </w:tc>
        <w:tc>
          <w:tcPr>
            <w:tcW w:w="2580" w:type="dxa"/>
            <w:vAlign w:val="bottom"/>
          </w:tcPr>
          <w:p>
            <w:pPr>
              <w:jc w:val="center"/>
              <w:ind w:left="198"/>
              <w:spacing w:after="0" w:line="134" w:lineRule="exact"/>
              <w:rPr>
                <w:sz w:val="20"/>
                <w:szCs w:val="20"/>
                <w:color w:val="auto"/>
              </w:rPr>
            </w:pPr>
            <w:r>
              <w:rPr>
                <w:rFonts w:ascii="Arial" w:cs="Arial" w:eastAsia="Arial" w:hAnsi="Arial"/>
                <w:sz w:val="12"/>
                <w:szCs w:val="12"/>
                <w:b w:val="1"/>
                <w:bCs w:val="1"/>
                <w:color w:val="auto"/>
                <w:w w:val="94"/>
              </w:rPr>
              <w:t>Fax: +972 (3) 610-3111</w:t>
            </w:r>
          </w:p>
        </w:tc>
        <w:tc>
          <w:tcPr>
            <w:tcW w:w="32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Fax: (212) 735-2000</w:t>
            </w:r>
          </w:p>
        </w:tc>
        <w:tc>
          <w:tcPr>
            <w:tcW w:w="1700" w:type="dxa"/>
            <w:vAlign w:val="bottom"/>
          </w:tcPr>
          <w:p>
            <w:pPr>
              <w:jc w:val="center"/>
              <w:ind w:left="338"/>
              <w:spacing w:after="0" w:line="134" w:lineRule="exact"/>
              <w:rPr>
                <w:sz w:val="20"/>
                <w:szCs w:val="20"/>
                <w:color w:val="auto"/>
              </w:rPr>
            </w:pPr>
            <w:r>
              <w:rPr>
                <w:rFonts w:ascii="Arial" w:cs="Arial" w:eastAsia="Arial" w:hAnsi="Arial"/>
                <w:sz w:val="12"/>
                <w:szCs w:val="12"/>
                <w:b w:val="1"/>
                <w:bCs w:val="1"/>
                <w:color w:val="auto"/>
                <w:w w:val="95"/>
              </w:rPr>
              <w:t>Tel: +972 (3) 710-9191</w:t>
            </w:r>
          </w:p>
        </w:tc>
      </w:tr>
      <w:tr>
        <w:trPr>
          <w:trHeight w:val="161"/>
        </w:trPr>
        <w:tc>
          <w:tcPr>
            <w:tcW w:w="2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00" w:type="dxa"/>
            <w:vAlign w:val="bottom"/>
          </w:tcPr>
          <w:p>
            <w:pPr>
              <w:jc w:val="center"/>
              <w:ind w:left="338"/>
              <w:spacing w:after="0"/>
              <w:rPr>
                <w:sz w:val="20"/>
                <w:szCs w:val="20"/>
                <w:color w:val="auto"/>
              </w:rPr>
            </w:pPr>
            <w:r>
              <w:rPr>
                <w:rFonts w:ascii="Arial" w:cs="Arial" w:eastAsia="Arial" w:hAnsi="Arial"/>
                <w:sz w:val="12"/>
                <w:szCs w:val="12"/>
                <w:b w:val="1"/>
                <w:bCs w:val="1"/>
                <w:color w:val="auto"/>
                <w:w w:val="95"/>
              </w:rPr>
              <w:t>Fax: +972 (3) 560-6555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138430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0" w:lineRule="exact"/>
        <w:rPr>
          <w:sz w:val="24"/>
          <w:szCs w:val="24"/>
          <w:color w:val="auto"/>
        </w:rPr>
      </w:pPr>
    </w:p>
    <w:p>
      <w:pPr>
        <w:ind w:left="3620"/>
        <w:spacing w:after="0"/>
        <w:rPr>
          <w:sz w:val="20"/>
          <w:szCs w:val="20"/>
          <w:color w:val="auto"/>
        </w:rPr>
      </w:pPr>
      <w:r>
        <w:rPr>
          <w:rFonts w:ascii="Arial" w:cs="Arial" w:eastAsia="Arial" w:hAnsi="Arial"/>
          <w:sz w:val="12"/>
          <w:szCs w:val="12"/>
          <w:b w:val="1"/>
          <w:bCs w:val="1"/>
          <w:color w:val="auto"/>
        </w:rPr>
        <w:t>As soon as practicable after the effective date of this registration statement.</w:t>
      </w:r>
    </w:p>
    <w:p>
      <w:pPr>
        <w:spacing w:after="0" w:line="5" w:lineRule="exact"/>
        <w:rPr>
          <w:sz w:val="24"/>
          <w:szCs w:val="24"/>
          <w:color w:val="auto"/>
        </w:rPr>
      </w:pPr>
    </w:p>
    <w:p>
      <w:pPr>
        <w:ind w:left="1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ind w:left="160"/>
        <w:spacing w:after="0"/>
        <w:rPr>
          <w:sz w:val="20"/>
          <w:szCs w:val="20"/>
          <w:color w:val="auto"/>
        </w:rPr>
      </w:pPr>
      <w:r>
        <w:rPr>
          <w:rFonts w:ascii="Arial" w:cs="Arial" w:eastAsia="Arial" w:hAnsi="Arial"/>
          <w:sz w:val="11"/>
          <w:szCs w:val="11"/>
          <w:color w:val="auto"/>
        </w:rPr>
        <w:t>If this form is filed to register additional securities for an offering pursuant to Rule 462(b) under the Securities Act, check the following box and list the Securities Act registration statement number of the earlier</w:t>
      </w:r>
    </w:p>
    <w:p>
      <w:pPr>
        <w:spacing w:after="0" w:line="16" w:lineRule="exact"/>
        <w:rPr>
          <w:sz w:val="24"/>
          <w:szCs w:val="24"/>
          <w:color w:val="auto"/>
        </w:rPr>
      </w:pPr>
    </w:p>
    <w:p>
      <w:pPr>
        <w:ind w:left="160"/>
        <w:spacing w:after="0" w:line="138" w:lineRule="exact"/>
        <w:rPr>
          <w:sz w:val="20"/>
          <w:szCs w:val="20"/>
          <w:color w:val="auto"/>
        </w:rPr>
      </w:pPr>
      <w:r>
        <w:rPr>
          <w:rFonts w:ascii="Arial" w:cs="Arial" w:eastAsia="Arial" w:hAnsi="Arial"/>
          <w:sz w:val="12"/>
          <w:szCs w:val="12"/>
          <w:color w:val="auto"/>
        </w:rPr>
        <w:t xml:space="preserve">effective registration statement for the same offering. </w:t>
      </w:r>
      <w:r>
        <w:rPr>
          <w:rFonts w:ascii="MS PGothic" w:cs="MS PGothic" w:eastAsia="MS PGothic" w:hAnsi="MS PGothic"/>
          <w:sz w:val="12"/>
          <w:szCs w:val="12"/>
          <w:color w:val="auto"/>
        </w:rPr>
        <w:t>☐</w:t>
      </w:r>
    </w:p>
    <w:p>
      <w:pPr>
        <w:ind w:left="160" w:right="280"/>
        <w:spacing w:after="0" w:line="141"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160" w:right="260"/>
        <w:spacing w:after="0" w:line="14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160"/>
        <w:spacing w:after="0" w:line="138"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2"/>
          <w:szCs w:val="12"/>
          <w:color w:val="auto"/>
        </w:rPr>
        <w:t>☒</w:t>
      </w:r>
    </w:p>
    <w:p>
      <w:pPr>
        <w:ind w:left="160" w:right="40"/>
        <w:spacing w:after="0" w:line="155"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129540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CALCULATION OF REGISTRATION FEE</w:t>
      </w:r>
    </w:p>
    <w:p>
      <w:pPr>
        <w:spacing w:after="0" w:line="114"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34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r>
      <w:tr>
        <w:trPr>
          <w:trHeight w:val="100"/>
        </w:trPr>
        <w:tc>
          <w:tcPr>
            <w:tcW w:w="34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rPr>
              <w:t>Title of Each Class</w:t>
            </w:r>
          </w:p>
        </w:tc>
        <w:tc>
          <w:tcPr>
            <w:tcW w:w="1420" w:type="dxa"/>
            <w:vAlign w:val="bottom"/>
            <w:tcBorders>
              <w:right w:val="single" w:sz="8" w:color="auto"/>
            </w:tcBorders>
          </w:tcPr>
          <w:p>
            <w:pPr>
              <w:jc w:val="center"/>
              <w:ind w:left="119"/>
              <w:spacing w:after="0" w:line="101" w:lineRule="exact"/>
              <w:rPr>
                <w:sz w:val="20"/>
                <w:szCs w:val="20"/>
                <w:color w:val="auto"/>
              </w:rPr>
            </w:pPr>
            <w:r>
              <w:rPr>
                <w:rFonts w:ascii="Arial" w:cs="Arial" w:eastAsia="Arial" w:hAnsi="Arial"/>
                <w:sz w:val="11"/>
                <w:szCs w:val="11"/>
                <w:b w:val="1"/>
                <w:bCs w:val="1"/>
                <w:color w:val="auto"/>
              </w:rPr>
              <w:t>Amount to</w:t>
            </w:r>
          </w:p>
        </w:tc>
        <w:tc>
          <w:tcPr>
            <w:tcW w:w="1960" w:type="dxa"/>
            <w:vAlign w:val="bottom"/>
            <w:tcBorders>
              <w:right w:val="single" w:sz="8" w:color="auto"/>
            </w:tcBorders>
          </w:tcPr>
          <w:p>
            <w:pPr>
              <w:jc w:val="center"/>
              <w:ind w:left="139"/>
              <w:spacing w:after="0" w:line="101" w:lineRule="exact"/>
              <w:rPr>
                <w:sz w:val="20"/>
                <w:szCs w:val="20"/>
                <w:color w:val="auto"/>
              </w:rPr>
            </w:pPr>
            <w:r>
              <w:rPr>
                <w:rFonts w:ascii="Arial" w:cs="Arial" w:eastAsia="Arial" w:hAnsi="Arial"/>
                <w:sz w:val="11"/>
                <w:szCs w:val="11"/>
                <w:b w:val="1"/>
                <w:bCs w:val="1"/>
                <w:color w:val="auto"/>
              </w:rPr>
              <w:t>Proposed Maximum</w:t>
            </w:r>
          </w:p>
        </w:tc>
        <w:tc>
          <w:tcPr>
            <w:tcW w:w="2300" w:type="dxa"/>
            <w:vAlign w:val="bottom"/>
            <w:tcBorders>
              <w:right w:val="single" w:sz="8" w:color="auto"/>
            </w:tcBorders>
          </w:tcPr>
          <w:p>
            <w:pPr>
              <w:jc w:val="center"/>
              <w:ind w:left="119"/>
              <w:spacing w:after="0" w:line="101" w:lineRule="exact"/>
              <w:rPr>
                <w:sz w:val="20"/>
                <w:szCs w:val="20"/>
                <w:color w:val="auto"/>
              </w:rPr>
            </w:pPr>
            <w:r>
              <w:rPr>
                <w:rFonts w:ascii="Arial" w:cs="Arial" w:eastAsia="Arial" w:hAnsi="Arial"/>
                <w:sz w:val="11"/>
                <w:szCs w:val="11"/>
                <w:b w:val="1"/>
                <w:bCs w:val="1"/>
                <w:color w:val="auto"/>
              </w:rPr>
              <w:t>Proposed Maximum</w:t>
            </w:r>
          </w:p>
        </w:tc>
        <w:tc>
          <w:tcPr>
            <w:tcW w:w="1820" w:type="dxa"/>
            <w:vAlign w:val="bottom"/>
          </w:tcPr>
          <w:p>
            <w:pPr>
              <w:jc w:val="center"/>
              <w:ind w:left="339"/>
              <w:spacing w:after="0" w:line="101" w:lineRule="exact"/>
              <w:rPr>
                <w:sz w:val="20"/>
                <w:szCs w:val="20"/>
                <w:color w:val="auto"/>
              </w:rPr>
            </w:pPr>
            <w:r>
              <w:rPr>
                <w:rFonts w:ascii="Arial" w:cs="Arial" w:eastAsia="Arial" w:hAnsi="Arial"/>
                <w:sz w:val="11"/>
                <w:szCs w:val="11"/>
                <w:b w:val="1"/>
                <w:bCs w:val="1"/>
                <w:color w:val="auto"/>
              </w:rPr>
              <w:t>Amount of Registration</w:t>
            </w:r>
          </w:p>
        </w:tc>
      </w:tr>
      <w:tr>
        <w:trPr>
          <w:trHeight w:val="160"/>
        </w:trPr>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of Securities to be Registered</w:t>
            </w:r>
          </w:p>
        </w:tc>
        <w:tc>
          <w:tcPr>
            <w:tcW w:w="142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2"/>
                <w:szCs w:val="12"/>
                <w:b w:val="1"/>
                <w:bCs w:val="1"/>
                <w:color w:val="auto"/>
              </w:rPr>
              <w:t>be Registered(1)</w:t>
            </w:r>
          </w:p>
        </w:tc>
        <w:tc>
          <w:tcPr>
            <w:tcW w:w="1960" w:type="dxa"/>
            <w:vAlign w:val="bottom"/>
            <w:tcBorders>
              <w:bottom w:val="single" w:sz="8" w:color="auto"/>
              <w:right w:val="single" w:sz="8" w:color="auto"/>
            </w:tcBorders>
          </w:tcPr>
          <w:p>
            <w:pPr>
              <w:jc w:val="center"/>
              <w:ind w:left="139"/>
              <w:spacing w:after="0"/>
              <w:rPr>
                <w:sz w:val="20"/>
                <w:szCs w:val="20"/>
                <w:color w:val="auto"/>
              </w:rPr>
            </w:pPr>
            <w:r>
              <w:rPr>
                <w:rFonts w:ascii="Arial" w:cs="Arial" w:eastAsia="Arial" w:hAnsi="Arial"/>
                <w:sz w:val="12"/>
                <w:szCs w:val="12"/>
                <w:b w:val="1"/>
                <w:bCs w:val="1"/>
                <w:color w:val="auto"/>
              </w:rPr>
              <w:t>Offering Price Per Share</w:t>
            </w:r>
          </w:p>
        </w:tc>
        <w:tc>
          <w:tcPr>
            <w:tcW w:w="2300" w:type="dxa"/>
            <w:vAlign w:val="bottom"/>
            <w:tcBorders>
              <w:bottom w:val="single" w:sz="8" w:color="auto"/>
              <w:right w:val="single" w:sz="8" w:color="auto"/>
            </w:tcBorders>
          </w:tcPr>
          <w:p>
            <w:pPr>
              <w:jc w:val="center"/>
              <w:ind w:left="99"/>
              <w:spacing w:after="0"/>
              <w:rPr>
                <w:sz w:val="20"/>
                <w:szCs w:val="20"/>
                <w:color w:val="auto"/>
              </w:rPr>
            </w:pPr>
            <w:r>
              <w:rPr>
                <w:rFonts w:ascii="Arial" w:cs="Arial" w:eastAsia="Arial" w:hAnsi="Arial"/>
                <w:sz w:val="12"/>
                <w:szCs w:val="12"/>
                <w:b w:val="1"/>
                <w:bCs w:val="1"/>
                <w:color w:val="auto"/>
              </w:rPr>
              <w:t>Aggregate Offering Price(1)(2)</w:t>
            </w:r>
          </w:p>
        </w:tc>
        <w:tc>
          <w:tcPr>
            <w:tcW w:w="1820" w:type="dxa"/>
            <w:vAlign w:val="bottom"/>
            <w:tcBorders>
              <w:bottom w:val="single" w:sz="8" w:color="auto"/>
            </w:tcBorders>
          </w:tcPr>
          <w:p>
            <w:pPr>
              <w:jc w:val="center"/>
              <w:ind w:left="339"/>
              <w:spacing w:after="0"/>
              <w:rPr>
                <w:sz w:val="20"/>
                <w:szCs w:val="20"/>
                <w:color w:val="auto"/>
              </w:rPr>
            </w:pPr>
            <w:r>
              <w:rPr>
                <w:rFonts w:ascii="Arial" w:cs="Arial" w:eastAsia="Arial" w:hAnsi="Arial"/>
                <w:sz w:val="12"/>
                <w:szCs w:val="12"/>
                <w:b w:val="1"/>
                <w:bCs w:val="1"/>
                <w:color w:val="auto"/>
              </w:rPr>
              <w:t>Fee</w:t>
            </w:r>
          </w:p>
        </w:tc>
      </w:tr>
      <w:tr>
        <w:trPr>
          <w:trHeight w:val="127"/>
        </w:trPr>
        <w:tc>
          <w:tcPr>
            <w:tcW w:w="3420" w:type="dxa"/>
            <w:vAlign w:val="bottom"/>
            <w:tcBorders>
              <w:bottom w:val="single" w:sz="8" w:color="auto"/>
              <w:right w:val="single" w:sz="8" w:color="auto"/>
            </w:tcBorders>
            <w:shd w:val="clear" w:color="auto" w:fill="CCEEFF"/>
          </w:tcPr>
          <w:p>
            <w:pPr>
              <w:spacing w:after="0" w:line="128" w:lineRule="exact"/>
              <w:rPr>
                <w:sz w:val="20"/>
                <w:szCs w:val="20"/>
                <w:color w:val="auto"/>
              </w:rPr>
            </w:pPr>
            <w:r>
              <w:rPr>
                <w:rFonts w:ascii="Arial" w:cs="Arial" w:eastAsia="Arial" w:hAnsi="Arial"/>
                <w:sz w:val="12"/>
                <w:szCs w:val="12"/>
                <w:color w:val="auto"/>
              </w:rPr>
              <w:t>Ordinary shares, no par value</w:t>
            </w:r>
          </w:p>
        </w:tc>
        <w:tc>
          <w:tcPr>
            <w:tcW w:w="1420" w:type="dxa"/>
            <w:vAlign w:val="bottom"/>
            <w:tcBorders>
              <w:bottom w:val="single" w:sz="8" w:color="auto"/>
              <w:right w:val="single" w:sz="8" w:color="auto"/>
            </w:tcBorders>
            <w:shd w:val="clear" w:color="auto" w:fill="CCEEFF"/>
          </w:tcPr>
          <w:p>
            <w:pPr>
              <w:jc w:val="center"/>
              <w:ind w:left="119"/>
              <w:spacing w:after="0" w:line="128" w:lineRule="exact"/>
              <w:rPr>
                <w:sz w:val="20"/>
                <w:szCs w:val="20"/>
                <w:color w:val="auto"/>
              </w:rPr>
            </w:pPr>
            <w:r>
              <w:rPr>
                <w:rFonts w:ascii="Arial" w:cs="Arial" w:eastAsia="Arial" w:hAnsi="Arial"/>
                <w:sz w:val="12"/>
                <w:szCs w:val="12"/>
                <w:color w:val="auto"/>
              </w:rPr>
              <w:t>13,800,000</w:t>
            </w:r>
          </w:p>
        </w:tc>
        <w:tc>
          <w:tcPr>
            <w:tcW w:w="1960" w:type="dxa"/>
            <w:vAlign w:val="bottom"/>
            <w:tcBorders>
              <w:bottom w:val="single" w:sz="8" w:color="auto"/>
              <w:right w:val="single" w:sz="8" w:color="auto"/>
            </w:tcBorders>
            <w:shd w:val="clear" w:color="auto" w:fill="CCEEFF"/>
          </w:tcPr>
          <w:p>
            <w:pPr>
              <w:jc w:val="center"/>
              <w:ind w:left="119"/>
              <w:spacing w:after="0" w:line="128" w:lineRule="exact"/>
              <w:rPr>
                <w:sz w:val="20"/>
                <w:szCs w:val="20"/>
                <w:color w:val="auto"/>
              </w:rPr>
            </w:pPr>
            <w:r>
              <w:rPr>
                <w:rFonts w:ascii="Arial" w:cs="Arial" w:eastAsia="Arial" w:hAnsi="Arial"/>
                <w:sz w:val="12"/>
                <w:szCs w:val="12"/>
                <w:color w:val="auto"/>
              </w:rPr>
              <w:t>$78.60</w:t>
            </w:r>
          </w:p>
        </w:tc>
        <w:tc>
          <w:tcPr>
            <w:tcW w:w="2300" w:type="dxa"/>
            <w:vAlign w:val="bottom"/>
            <w:tcBorders>
              <w:bottom w:val="single" w:sz="8" w:color="auto"/>
              <w:right w:val="single" w:sz="8" w:color="auto"/>
            </w:tcBorders>
            <w:shd w:val="clear" w:color="auto" w:fill="CCEEFF"/>
          </w:tcPr>
          <w:p>
            <w:pPr>
              <w:jc w:val="center"/>
              <w:ind w:left="119"/>
              <w:spacing w:after="0" w:line="128" w:lineRule="exact"/>
              <w:rPr>
                <w:sz w:val="20"/>
                <w:szCs w:val="20"/>
                <w:color w:val="auto"/>
              </w:rPr>
            </w:pPr>
            <w:r>
              <w:rPr>
                <w:rFonts w:ascii="Arial" w:cs="Arial" w:eastAsia="Arial" w:hAnsi="Arial"/>
                <w:sz w:val="12"/>
                <w:szCs w:val="12"/>
                <w:color w:val="auto"/>
              </w:rPr>
              <w:t>$1,084,680,000</w:t>
            </w:r>
          </w:p>
        </w:tc>
        <w:tc>
          <w:tcPr>
            <w:tcW w:w="1820" w:type="dxa"/>
            <w:vAlign w:val="bottom"/>
            <w:tcBorders>
              <w:bottom w:val="single" w:sz="8" w:color="auto"/>
            </w:tcBorders>
            <w:shd w:val="clear" w:color="auto" w:fill="CCEEFF"/>
          </w:tcPr>
          <w:p>
            <w:pPr>
              <w:jc w:val="center"/>
              <w:ind w:left="339"/>
              <w:spacing w:after="0" w:line="128" w:lineRule="exact"/>
              <w:rPr>
                <w:sz w:val="20"/>
                <w:szCs w:val="20"/>
                <w:color w:val="auto"/>
              </w:rPr>
            </w:pPr>
            <w:r>
              <w:rPr>
                <w:rFonts w:ascii="Arial" w:cs="Arial" w:eastAsia="Arial" w:hAnsi="Arial"/>
                <w:sz w:val="12"/>
                <w:szCs w:val="12"/>
                <w:color w:val="auto"/>
              </w:rPr>
              <w:t>$118,338.59</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6" w:lineRule="exact"/>
        <w:rPr>
          <w:sz w:val="24"/>
          <w:szCs w:val="24"/>
          <w:color w:val="auto"/>
        </w:rPr>
      </w:pPr>
    </w:p>
    <w:p>
      <w:pPr>
        <w:ind w:left="480" w:hanging="313"/>
        <w:spacing w:after="0"/>
        <w:tabs>
          <w:tab w:leader="none" w:pos="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ordinary shares that may be sold upon exercise of the underwriters’ option to purchase additional ordinary shares. See “Underwriting.”</w:t>
      </w:r>
    </w:p>
    <w:p>
      <w:pPr>
        <w:spacing w:after="0" w:line="5" w:lineRule="exact"/>
        <w:rPr>
          <w:rFonts w:ascii="Arial" w:cs="Arial" w:eastAsia="Arial" w:hAnsi="Arial"/>
          <w:sz w:val="12"/>
          <w:szCs w:val="12"/>
          <w:color w:val="auto"/>
        </w:rPr>
      </w:pPr>
    </w:p>
    <w:p>
      <w:pPr>
        <w:ind w:left="480" w:right="400" w:hanging="313"/>
        <w:spacing w:after="0" w:line="248" w:lineRule="auto"/>
        <w:tabs>
          <w:tab w:leader="none" w:pos="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purpose of calculating the amount of registration fee pursuant to Rule 457(c) of the Securities Act of 1933, as amended. The price shown is the average of the high and low price of the registrant’s ordinary shares on September 3, 2021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9" w:lineRule="exact"/>
        <w:rPr>
          <w:sz w:val="24"/>
          <w:szCs w:val="24"/>
          <w:color w:val="auto"/>
        </w:rPr>
      </w:pPr>
    </w:p>
    <w:p>
      <w:pPr>
        <w:jc w:val="both"/>
        <w:ind w:left="160" w:right="60"/>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177165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DE1A1E"/>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DE1A1E"/>
        </w:rPr>
        <w:t>SUBJECT TO COMPLETION, DATED SEPTEMBER 7, 2021</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PRELIMINARY PROSPECTUS</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156210</wp:posOffset>
            </wp:positionV>
            <wp:extent cx="2921635" cy="628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1635"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215900</wp:posOffset>
            </wp:positionV>
            <wp:extent cx="1460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selling shareholders identified in this prospectus are selling 12,000,000 of our ordinary shares.</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will not receive any proceeds from the sale of our ordinary shares by the selling shareholders.</w:t>
      </w:r>
    </w:p>
    <w:p>
      <w:pPr>
        <w:spacing w:after="0" w:line="181"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Our ordinary shares are listed on The Nasdaq Global Select Market (“Nasdaq”) under the symbol “GLBE.” On September 3, 2021, the last reported per share sale price of our ordinary shares on Nasdaq was $79.66.</w:t>
      </w:r>
    </w:p>
    <w:p>
      <w:pPr>
        <w:spacing w:after="0" w:line="16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We are both an “emerging growth company” and a “foreign private issuer” as defined under the U.S. federal securities laws and, as such, have elected to comply with certain reduced public company reporting requirements. See “Summary—Implications of Being an Emerging Growth Company and a Foreign Private Issuer.”</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6"/>
              </w:rPr>
              <w:t>Per Ordinary Share</w:t>
            </w:r>
          </w:p>
        </w:tc>
        <w:tc>
          <w:tcPr>
            <w:tcW w:w="84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Total</w:t>
            </w:r>
          </w:p>
        </w:tc>
      </w:tr>
      <w:tr>
        <w:trPr>
          <w:trHeight w:val="194"/>
        </w:trPr>
        <w:tc>
          <w:tcPr>
            <w:tcW w:w="7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51"/>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Underwriting discounts and commissions(1)</w:t>
            </w: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5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to the selling shareholders (before expenses)</w:t>
            </w: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51"/>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600" w:right="20" w:hanging="433"/>
        <w:spacing w:after="0" w:line="254" w:lineRule="auto"/>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this offering. See “Underwriting” for additional information regarding underwriter compensation.</w:t>
      </w:r>
    </w:p>
    <w:p>
      <w:pPr>
        <w:spacing w:after="0" w:line="148"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selling shareholders have granted the underwriters an option to purchase up to 1,800,000 additional ordinary shares at the public offering price, less the underwriting discount, within 30 days from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197485</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60" w:right="120" w:firstLine="546"/>
        <w:spacing w:after="0" w:line="260"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ordinary shares involves risks. See “</w:t>
      </w:r>
      <w:hyperlink w:anchor="page22">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14 to read about factors you should consider before buying any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186055</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60" w:right="20" w:firstLine="546"/>
        <w:spacing w:after="0" w:line="29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176530</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7060" w:type="dxa"/>
            <w:vAlign w:val="bottom"/>
            <w:gridSpan w:val="5"/>
          </w:tcPr>
          <w:p>
            <w:pPr>
              <w:jc w:val="right"/>
              <w:ind w:right="160"/>
              <w:spacing w:after="0"/>
              <w:rPr>
                <w:sz w:val="20"/>
                <w:szCs w:val="20"/>
                <w:color w:val="auto"/>
              </w:rPr>
            </w:pPr>
            <w:r>
              <w:rPr>
                <w:rFonts w:ascii="Arial" w:cs="Arial" w:eastAsia="Arial" w:hAnsi="Arial"/>
                <w:sz w:val="18"/>
                <w:szCs w:val="18"/>
                <w:color w:val="auto"/>
              </w:rPr>
              <w:t>The underwriters expect to deliver the ordinary shares to purchasers on or about</w:t>
            </w:r>
          </w:p>
        </w:tc>
        <w:tc>
          <w:tcPr>
            <w:tcW w:w="1720" w:type="dxa"/>
            <w:vAlign w:val="bottom"/>
          </w:tcPr>
          <w:p>
            <w:pPr>
              <w:jc w:val="right"/>
              <w:ind w:right="442"/>
              <w:spacing w:after="0"/>
              <w:rPr>
                <w:sz w:val="20"/>
                <w:szCs w:val="20"/>
                <w:color w:val="auto"/>
              </w:rPr>
            </w:pPr>
            <w:r>
              <w:rPr>
                <w:rFonts w:ascii="Arial" w:cs="Arial" w:eastAsia="Arial" w:hAnsi="Arial"/>
                <w:sz w:val="18"/>
                <w:szCs w:val="18"/>
                <w:color w:val="auto"/>
              </w:rPr>
              <w:t>, 2021.</w:t>
            </w:r>
          </w:p>
        </w:tc>
        <w:tc>
          <w:tcPr>
            <w:tcW w:w="2140" w:type="dxa"/>
            <w:vAlign w:val="bottom"/>
          </w:tcPr>
          <w:p>
            <w:pPr>
              <w:spacing w:after="0"/>
              <w:rPr>
                <w:sz w:val="18"/>
                <w:szCs w:val="18"/>
                <w:color w:val="auto"/>
              </w:rPr>
            </w:pPr>
          </w:p>
        </w:tc>
      </w:tr>
      <w:tr>
        <w:trPr>
          <w:trHeight w:val="480"/>
        </w:trPr>
        <w:tc>
          <w:tcPr>
            <w:tcW w:w="3360" w:type="dxa"/>
            <w:vAlign w:val="bottom"/>
          </w:tcPr>
          <w:p>
            <w:pPr>
              <w:spacing w:after="0"/>
              <w:rPr>
                <w:sz w:val="20"/>
                <w:szCs w:val="20"/>
                <w:color w:val="auto"/>
              </w:rPr>
            </w:pPr>
            <w:r>
              <w:rPr>
                <w:rFonts w:ascii="Arial" w:cs="Arial" w:eastAsia="Arial" w:hAnsi="Arial"/>
                <w:sz w:val="21"/>
                <w:szCs w:val="21"/>
                <w:b w:val="1"/>
                <w:bCs w:val="1"/>
                <w:color w:val="auto"/>
              </w:rPr>
              <w:t>Goldman Sachs &amp; Co. LLC</w:t>
            </w:r>
          </w:p>
        </w:tc>
        <w:tc>
          <w:tcPr>
            <w:tcW w:w="960" w:type="dxa"/>
            <w:vAlign w:val="bottom"/>
          </w:tcPr>
          <w:p>
            <w:pPr>
              <w:spacing w:after="0"/>
              <w:rPr>
                <w:sz w:val="24"/>
                <w:szCs w:val="24"/>
                <w:color w:val="auto"/>
              </w:rPr>
            </w:pPr>
          </w:p>
        </w:tc>
        <w:tc>
          <w:tcPr>
            <w:tcW w:w="1940" w:type="dxa"/>
            <w:vAlign w:val="bottom"/>
          </w:tcPr>
          <w:p>
            <w:pPr>
              <w:ind w:left="160"/>
              <w:spacing w:after="0"/>
              <w:rPr>
                <w:sz w:val="20"/>
                <w:szCs w:val="20"/>
                <w:color w:val="auto"/>
              </w:rPr>
            </w:pPr>
            <w:r>
              <w:rPr>
                <w:rFonts w:ascii="Arial" w:cs="Arial" w:eastAsia="Arial" w:hAnsi="Arial"/>
                <w:sz w:val="21"/>
                <w:szCs w:val="21"/>
                <w:b w:val="1"/>
                <w:bCs w:val="1"/>
                <w:color w:val="auto"/>
              </w:rPr>
              <w:t>Morgan Stanley</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jc w:val="right"/>
              <w:ind w:right="602"/>
              <w:spacing w:after="0"/>
              <w:rPr>
                <w:sz w:val="20"/>
                <w:szCs w:val="20"/>
                <w:color w:val="auto"/>
              </w:rPr>
            </w:pPr>
            <w:r>
              <w:rPr>
                <w:rFonts w:ascii="Arial" w:cs="Arial" w:eastAsia="Arial" w:hAnsi="Arial"/>
                <w:sz w:val="21"/>
                <w:szCs w:val="21"/>
                <w:b w:val="1"/>
                <w:bCs w:val="1"/>
                <w:color w:val="auto"/>
              </w:rPr>
              <w:t>Jefferies</w:t>
            </w:r>
          </w:p>
        </w:tc>
        <w:tc>
          <w:tcPr>
            <w:tcW w:w="2140" w:type="dxa"/>
            <w:vAlign w:val="bottom"/>
          </w:tcPr>
          <w:p>
            <w:pPr>
              <w:ind w:left="540"/>
              <w:spacing w:after="0"/>
              <w:rPr>
                <w:sz w:val="20"/>
                <w:szCs w:val="20"/>
                <w:color w:val="auto"/>
              </w:rPr>
            </w:pPr>
            <w:r>
              <w:rPr>
                <w:rFonts w:ascii="Arial" w:cs="Arial" w:eastAsia="Arial" w:hAnsi="Arial"/>
                <w:sz w:val="21"/>
                <w:szCs w:val="21"/>
                <w:b w:val="1"/>
                <w:bCs w:val="1"/>
                <w:color w:val="auto"/>
              </w:rPr>
              <w:t>BofA Securities</w:t>
            </w:r>
          </w:p>
        </w:tc>
      </w:tr>
      <w:tr>
        <w:trPr>
          <w:trHeight w:val="310"/>
        </w:trPr>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3"/>
        </w:trPr>
        <w:tc>
          <w:tcPr>
            <w:tcW w:w="3360" w:type="dxa"/>
            <w:vAlign w:val="bottom"/>
          </w:tcPr>
          <w:p>
            <w:pPr>
              <w:spacing w:after="0"/>
              <w:rPr>
                <w:sz w:val="24"/>
                <w:szCs w:val="24"/>
                <w:color w:val="auto"/>
              </w:rPr>
            </w:pPr>
          </w:p>
        </w:tc>
        <w:tc>
          <w:tcPr>
            <w:tcW w:w="2900" w:type="dxa"/>
            <w:vAlign w:val="bottom"/>
            <w:gridSpan w:val="2"/>
          </w:tcPr>
          <w:p>
            <w:pPr>
              <w:ind w:left="640"/>
              <w:spacing w:after="0"/>
              <w:rPr>
                <w:sz w:val="20"/>
                <w:szCs w:val="20"/>
                <w:color w:val="auto"/>
              </w:rPr>
            </w:pPr>
            <w:r>
              <w:rPr>
                <w:rFonts w:ascii="Arial" w:cs="Arial" w:eastAsia="Arial" w:hAnsi="Arial"/>
                <w:sz w:val="18"/>
                <w:szCs w:val="18"/>
                <w:color w:val="auto"/>
              </w:rPr>
              <w:t>Prospectus dated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 2021</w:t>
            </w:r>
          </w:p>
        </w:tc>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139"/>
          </w:cols>
          <w:pgMar w:left="320" w:top="45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940" w:type="dxa"/>
            <w:vAlign w:val="bottom"/>
            <w:gridSpan w:val="2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080" w:type="dxa"/>
            <w:vAlign w:val="bottom"/>
          </w:tcPr>
          <w:p>
            <w:pPr>
              <w:spacing w:after="0"/>
              <w:rPr>
                <w:sz w:val="17"/>
                <w:szCs w:val="17"/>
                <w:color w:val="auto"/>
              </w:rPr>
            </w:pPr>
          </w:p>
        </w:tc>
      </w:tr>
      <w:tr>
        <w:trPr>
          <w:trHeight w:val="527"/>
        </w:trPr>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4"/>
                <w:szCs w:val="24"/>
                <w:color w:val="auto"/>
              </w:rPr>
            </w:pPr>
          </w:p>
        </w:tc>
      </w:tr>
      <w:tr>
        <w:trPr>
          <w:trHeight w:val="403"/>
        </w:trPr>
        <w:tc>
          <w:tcPr>
            <w:tcW w:w="160" w:type="dxa"/>
            <w:vAlign w:val="bottom"/>
          </w:tcPr>
          <w:p>
            <w:pPr>
              <w:spacing w:after="0"/>
              <w:rPr>
                <w:sz w:val="24"/>
                <w:szCs w:val="24"/>
                <w:color w:val="auto"/>
              </w:rPr>
            </w:pPr>
          </w:p>
        </w:tc>
        <w:tc>
          <w:tcPr>
            <w:tcW w:w="878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1"/>
        </w:trPr>
        <w:tc>
          <w:tcPr>
            <w:tcW w:w="16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1"/>
          </w:tcPr>
          <w:p>
            <w:pPr>
              <w:spacing w:after="0" w:line="181"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Basis of Presentation</w:t>
              </w:r>
            </w:hyperlink>
          </w:p>
        </w:tc>
        <w:tc>
          <w:tcPr>
            <w:tcW w:w="100" w:type="dxa"/>
            <w:vAlign w:val="bottom"/>
            <w:tcBorders>
              <w:top w:val="single" w:sz="8" w:color="0000EE"/>
            </w:tcBorders>
          </w:tcPr>
          <w:p>
            <w:pPr>
              <w:spacing w:after="0"/>
              <w:rPr>
                <w:sz w:val="15"/>
                <w:szCs w:val="15"/>
                <w:color w:val="auto"/>
              </w:rPr>
            </w:pPr>
          </w:p>
        </w:tc>
        <w:tc>
          <w:tcPr>
            <w:tcW w:w="6980" w:type="dxa"/>
            <w:vAlign w:val="bottom"/>
            <w:gridSpan w:val="12"/>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iii</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7">
              <w:r>
                <w:rPr>
                  <w:rFonts w:ascii="Arial" w:cs="Arial" w:eastAsia="Arial" w:hAnsi="Arial"/>
                  <w:sz w:val="18"/>
                  <w:szCs w:val="18"/>
                  <w:color w:val="0000EE"/>
                </w:rPr>
                <w:t>Market and Industry Data</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iii</w:t>
            </w:r>
          </w:p>
        </w:tc>
      </w:tr>
      <w:tr>
        <w:trPr>
          <w:trHeight w:val="181"/>
        </w:trPr>
        <w:tc>
          <w:tcPr>
            <w:tcW w:w="160" w:type="dxa"/>
            <w:vAlign w:val="bottom"/>
          </w:tcPr>
          <w:p>
            <w:pPr>
              <w:spacing w:after="0"/>
              <w:rPr>
                <w:sz w:val="15"/>
                <w:szCs w:val="15"/>
                <w:color w:val="auto"/>
              </w:rPr>
            </w:pPr>
          </w:p>
        </w:tc>
        <w:tc>
          <w:tcPr>
            <w:tcW w:w="960" w:type="dxa"/>
            <w:vAlign w:val="bottom"/>
            <w:tcBorders>
              <w:top w:val="single" w:sz="8" w:color="0000EE"/>
              <w:bottom w:val="single" w:sz="8" w:color="0000EE"/>
            </w:tcBorders>
            <w:gridSpan w:val="5"/>
          </w:tcPr>
          <w:p>
            <w:pPr>
              <w:spacing w:after="0" w:line="181"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Trademarks</w:t>
              </w:r>
            </w:hyperlink>
          </w:p>
        </w:tc>
        <w:tc>
          <w:tcPr>
            <w:tcW w:w="1040" w:type="dxa"/>
            <w:vAlign w:val="bottom"/>
            <w:tcBorders>
              <w:top w:val="single" w:sz="8" w:color="0000EE"/>
            </w:tcBorders>
            <w:gridSpan w:val="9"/>
          </w:tcPr>
          <w:p>
            <w:pPr>
              <w:spacing w:after="0"/>
              <w:rPr>
                <w:sz w:val="15"/>
                <w:szCs w:val="15"/>
                <w:color w:val="auto"/>
              </w:rPr>
            </w:pPr>
          </w:p>
        </w:tc>
        <w:tc>
          <w:tcPr>
            <w:tcW w:w="6780" w:type="dxa"/>
            <w:vAlign w:val="bottom"/>
            <w:gridSpan w:val="10"/>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iv</w:t>
            </w:r>
          </w:p>
        </w:tc>
      </w:tr>
      <w:tr>
        <w:trPr>
          <w:trHeight w:val="181"/>
        </w:trPr>
        <w:tc>
          <w:tcPr>
            <w:tcW w:w="160" w:type="dxa"/>
            <w:vAlign w:val="bottom"/>
          </w:tcPr>
          <w:p>
            <w:pPr>
              <w:spacing w:after="0"/>
              <w:rPr>
                <w:sz w:val="15"/>
                <w:szCs w:val="15"/>
                <w:color w:val="auto"/>
              </w:rPr>
            </w:pPr>
          </w:p>
        </w:tc>
        <w:tc>
          <w:tcPr>
            <w:tcW w:w="780" w:type="dxa"/>
            <w:vAlign w:val="bottom"/>
            <w:tcBorders>
              <w:bottom w:val="single" w:sz="8" w:color="0000EE"/>
            </w:tcBorders>
            <w:gridSpan w:val="4"/>
          </w:tcPr>
          <w:p>
            <w:pPr>
              <w:spacing w:after="0" w:line="181"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Summary</w:t>
              </w:r>
            </w:hyperlink>
          </w:p>
        </w:tc>
        <w:tc>
          <w:tcPr>
            <w:tcW w:w="8000" w:type="dxa"/>
            <w:vAlign w:val="bottom"/>
            <w:gridSpan w:val="20"/>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r>
      <w:tr>
        <w:trPr>
          <w:trHeight w:val="181"/>
        </w:trPr>
        <w:tc>
          <w:tcPr>
            <w:tcW w:w="160" w:type="dxa"/>
            <w:vAlign w:val="bottom"/>
          </w:tcPr>
          <w:p>
            <w:pPr>
              <w:spacing w:after="0"/>
              <w:rPr>
                <w:sz w:val="15"/>
                <w:szCs w:val="15"/>
                <w:color w:val="auto"/>
              </w:rPr>
            </w:pPr>
          </w:p>
        </w:tc>
        <w:tc>
          <w:tcPr>
            <w:tcW w:w="1000" w:type="dxa"/>
            <w:vAlign w:val="bottom"/>
            <w:tcBorders>
              <w:bottom w:val="single" w:sz="8" w:color="0000EE"/>
            </w:tcBorders>
            <w:gridSpan w:val="6"/>
          </w:tcPr>
          <w:p>
            <w:pPr>
              <w:spacing w:after="0" w:line="181"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Risk Factors</w:t>
              </w:r>
            </w:hyperlink>
          </w:p>
        </w:tc>
        <w:tc>
          <w:tcPr>
            <w:tcW w:w="7780" w:type="dxa"/>
            <w:vAlign w:val="bottom"/>
            <w:gridSpan w:val="18"/>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14</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64">
              <w:r>
                <w:rPr>
                  <w:rFonts w:ascii="Arial" w:cs="Arial" w:eastAsia="Arial" w:hAnsi="Arial"/>
                  <w:sz w:val="18"/>
                  <w:szCs w:val="18"/>
                  <w:color w:val="0000EE"/>
                </w:rPr>
                <w:t>Special Note Regarding Forward-Looking Statements</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r>
      <w:tr>
        <w:trPr>
          <w:trHeight w:val="181"/>
        </w:trPr>
        <w:tc>
          <w:tcPr>
            <w:tcW w:w="160" w:type="dxa"/>
            <w:vAlign w:val="bottom"/>
          </w:tcPr>
          <w:p>
            <w:pPr>
              <w:spacing w:after="0"/>
              <w:rPr>
                <w:sz w:val="15"/>
                <w:szCs w:val="15"/>
                <w:color w:val="auto"/>
              </w:rPr>
            </w:pPr>
          </w:p>
        </w:tc>
        <w:tc>
          <w:tcPr>
            <w:tcW w:w="4220" w:type="dxa"/>
            <w:vAlign w:val="bottom"/>
            <w:tcBorders>
              <w:top w:val="single" w:sz="8" w:color="0000EE"/>
            </w:tcBorders>
            <w:gridSpan w:val="20"/>
          </w:tcPr>
          <w:p>
            <w:pPr>
              <w:spacing w:after="0" w:line="181"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4560" w:type="dxa"/>
            <w:vAlign w:val="bottom"/>
            <w:gridSpan w:val="4"/>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r>
      <w:tr>
        <w:trPr>
          <w:trHeight w:val="181"/>
        </w:trPr>
        <w:tc>
          <w:tcPr>
            <w:tcW w:w="160" w:type="dxa"/>
            <w:vAlign w:val="bottom"/>
          </w:tcPr>
          <w:p>
            <w:pPr>
              <w:spacing w:after="0"/>
              <w:rPr>
                <w:sz w:val="15"/>
                <w:szCs w:val="15"/>
                <w:color w:val="auto"/>
              </w:rPr>
            </w:pPr>
          </w:p>
        </w:tc>
        <w:tc>
          <w:tcPr>
            <w:tcW w:w="1320" w:type="dxa"/>
            <w:vAlign w:val="bottom"/>
            <w:tcBorders>
              <w:top w:val="single" w:sz="8" w:color="0000EE"/>
            </w:tcBorders>
            <w:gridSpan w:val="10"/>
          </w:tcPr>
          <w:p>
            <w:pPr>
              <w:spacing w:after="0" w:line="181" w:lineRule="exact"/>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7460" w:type="dxa"/>
            <w:vAlign w:val="bottom"/>
            <w:gridSpan w:val="14"/>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59</w:t>
            </w:r>
          </w:p>
        </w:tc>
      </w:tr>
      <w:tr>
        <w:trPr>
          <w:trHeight w:val="181"/>
        </w:trPr>
        <w:tc>
          <w:tcPr>
            <w:tcW w:w="16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Capitalization</w:t>
              </w:r>
            </w:hyperlink>
          </w:p>
        </w:tc>
        <w:tc>
          <w:tcPr>
            <w:tcW w:w="140" w:type="dxa"/>
            <w:vAlign w:val="bottom"/>
            <w:tcBorders>
              <w:top w:val="single" w:sz="8" w:color="0000EE"/>
            </w:tcBorders>
            <w:gridSpan w:val="2"/>
          </w:tcPr>
          <w:p>
            <w:pPr>
              <w:spacing w:after="0"/>
              <w:rPr>
                <w:sz w:val="15"/>
                <w:szCs w:val="15"/>
                <w:color w:val="auto"/>
              </w:rPr>
            </w:pPr>
          </w:p>
        </w:tc>
        <w:tc>
          <w:tcPr>
            <w:tcW w:w="7560" w:type="dxa"/>
            <w:vAlign w:val="bottom"/>
            <w:gridSpan w:val="15"/>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60</w:t>
            </w:r>
          </w:p>
        </w:tc>
      </w:tr>
      <w:tr>
        <w:trPr>
          <w:trHeight w:val="181"/>
        </w:trPr>
        <w:tc>
          <w:tcPr>
            <w:tcW w:w="160" w:type="dxa"/>
            <w:vAlign w:val="bottom"/>
          </w:tcPr>
          <w:p>
            <w:pPr>
              <w:spacing w:after="0"/>
              <w:rPr>
                <w:sz w:val="15"/>
                <w:szCs w:val="15"/>
                <w:color w:val="auto"/>
              </w:rPr>
            </w:pPr>
          </w:p>
        </w:tc>
        <w:tc>
          <w:tcPr>
            <w:tcW w:w="2980" w:type="dxa"/>
            <w:vAlign w:val="bottom"/>
            <w:tcBorders>
              <w:bottom w:val="single" w:sz="8" w:color="0000EE"/>
            </w:tcBorders>
            <w:gridSpan w:val="18"/>
          </w:tcPr>
          <w:p>
            <w:pPr>
              <w:spacing w:after="0" w:line="181"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Selected Consolidated Financial Data</w:t>
              </w:r>
            </w:hyperlink>
          </w:p>
        </w:tc>
        <w:tc>
          <w:tcPr>
            <w:tcW w:w="5800" w:type="dxa"/>
            <w:vAlign w:val="bottom"/>
            <w:gridSpan w:val="6"/>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61</w:t>
            </w:r>
          </w:p>
        </w:tc>
      </w:tr>
      <w:tr>
        <w:trPr>
          <w:trHeight w:val="181"/>
        </w:trPr>
        <w:tc>
          <w:tcPr>
            <w:tcW w:w="160" w:type="dxa"/>
            <w:vAlign w:val="bottom"/>
          </w:tcPr>
          <w:p>
            <w:pPr>
              <w:spacing w:after="0"/>
              <w:rPr>
                <w:sz w:val="15"/>
                <w:szCs w:val="15"/>
                <w:color w:val="auto"/>
              </w:rPr>
            </w:pPr>
          </w:p>
        </w:tc>
        <w:tc>
          <w:tcPr>
            <w:tcW w:w="7020" w:type="dxa"/>
            <w:vAlign w:val="bottom"/>
            <w:tcBorders>
              <w:bottom w:val="single" w:sz="8" w:color="0000EE"/>
            </w:tcBorders>
            <w:gridSpan w:val="23"/>
          </w:tcPr>
          <w:p>
            <w:pPr>
              <w:spacing w:after="0" w:line="181"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Management’s Discussion and Analysis of Financial Condition and Results of Operations</w:t>
              </w:r>
            </w:hyperlink>
          </w:p>
        </w:tc>
        <w:tc>
          <w:tcPr>
            <w:tcW w:w="1760" w:type="dxa"/>
            <w:vAlign w:val="bottom"/>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63</w:t>
            </w:r>
          </w:p>
        </w:tc>
      </w:tr>
      <w:tr>
        <w:trPr>
          <w:trHeight w:val="181"/>
        </w:trPr>
        <w:tc>
          <w:tcPr>
            <w:tcW w:w="160" w:type="dxa"/>
            <w:vAlign w:val="bottom"/>
          </w:tcPr>
          <w:p>
            <w:pPr>
              <w:spacing w:after="0"/>
              <w:rPr>
                <w:sz w:val="15"/>
                <w:szCs w:val="15"/>
                <w:color w:val="auto"/>
              </w:rPr>
            </w:pPr>
          </w:p>
        </w:tc>
        <w:tc>
          <w:tcPr>
            <w:tcW w:w="740" w:type="dxa"/>
            <w:vAlign w:val="bottom"/>
            <w:tcBorders>
              <w:bottom w:val="single" w:sz="8" w:color="0000EE"/>
            </w:tcBorders>
            <w:gridSpan w:val="3"/>
          </w:tcPr>
          <w:p>
            <w:pPr>
              <w:spacing w:after="0" w:line="181"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Business</w:t>
              </w:r>
            </w:hyperlink>
          </w:p>
        </w:tc>
        <w:tc>
          <w:tcPr>
            <w:tcW w:w="8040" w:type="dxa"/>
            <w:vAlign w:val="bottom"/>
            <w:gridSpan w:val="21"/>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85</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17">
              <w:r>
                <w:rPr>
                  <w:rFonts w:ascii="Arial" w:cs="Arial" w:eastAsia="Arial" w:hAnsi="Arial"/>
                  <w:sz w:val="18"/>
                  <w:szCs w:val="18"/>
                  <w:color w:val="0000EE"/>
                </w:rPr>
                <w:t>Management</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109</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2740" w:type="dxa"/>
            <w:vAlign w:val="bottom"/>
            <w:tcBorders>
              <w:bottom w:val="single" w:sz="8" w:color="0000EE"/>
            </w:tcBorders>
            <w:gridSpan w:val="17"/>
          </w:tcPr>
          <w:p>
            <w:pPr>
              <w:spacing w:after="0" w:line="181" w:lineRule="exact"/>
              <w:rPr>
                <w:rFonts w:ascii="Arial" w:cs="Arial" w:eastAsia="Arial" w:hAnsi="Arial"/>
                <w:sz w:val="18"/>
                <w:szCs w:val="18"/>
                <w:color w:val="0000EE"/>
                <w:w w:val="98"/>
              </w:rPr>
            </w:pPr>
            <w:hyperlink w:anchor="page141">
              <w:r>
                <w:rPr>
                  <w:rFonts w:ascii="Arial" w:cs="Arial" w:eastAsia="Arial" w:hAnsi="Arial"/>
                  <w:sz w:val="18"/>
                  <w:szCs w:val="18"/>
                  <w:color w:val="0000EE"/>
                  <w:w w:val="98"/>
                </w:rPr>
                <w:t>Principal and Selling Shareholders</w:t>
              </w:r>
            </w:hyperlink>
          </w:p>
        </w:tc>
        <w:tc>
          <w:tcPr>
            <w:tcW w:w="6040" w:type="dxa"/>
            <w:vAlign w:val="bottom"/>
            <w:gridSpan w:val="7"/>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133</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43">
              <w:r>
                <w:rPr>
                  <w:rFonts w:ascii="Arial" w:cs="Arial" w:eastAsia="Arial" w:hAnsi="Arial"/>
                  <w:sz w:val="18"/>
                  <w:szCs w:val="18"/>
                  <w:color w:val="0000EE"/>
                </w:rPr>
                <w:t>Certain Relationships and Related Party Transactions</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135</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46">
              <w:r>
                <w:rPr>
                  <w:rFonts w:ascii="Arial" w:cs="Arial" w:eastAsia="Arial" w:hAnsi="Arial"/>
                  <w:sz w:val="18"/>
                  <w:szCs w:val="18"/>
                  <w:color w:val="0000EE"/>
                </w:rPr>
                <w:t>Description of Share Capital and Articles of Association</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138</w:t>
            </w:r>
          </w:p>
        </w:tc>
      </w:tr>
      <w:tr>
        <w:trPr>
          <w:trHeight w:val="181"/>
        </w:trPr>
        <w:tc>
          <w:tcPr>
            <w:tcW w:w="160" w:type="dxa"/>
            <w:vAlign w:val="bottom"/>
          </w:tcPr>
          <w:p>
            <w:pPr>
              <w:spacing w:after="0"/>
              <w:rPr>
                <w:sz w:val="15"/>
                <w:szCs w:val="15"/>
                <w:color w:val="auto"/>
              </w:rPr>
            </w:pPr>
          </w:p>
        </w:tc>
        <w:tc>
          <w:tcPr>
            <w:tcW w:w="4360" w:type="dxa"/>
            <w:vAlign w:val="bottom"/>
            <w:tcBorders>
              <w:top w:val="single" w:sz="8" w:color="0000EE"/>
            </w:tcBorders>
            <w:gridSpan w:val="22"/>
          </w:tcPr>
          <w:p>
            <w:pPr>
              <w:spacing w:after="0" w:line="181" w:lineRule="exact"/>
              <w:rPr>
                <w:rFonts w:ascii="Arial" w:cs="Arial" w:eastAsia="Arial" w:hAnsi="Arial"/>
                <w:sz w:val="18"/>
                <w:szCs w:val="18"/>
                <w:color w:val="0000EE"/>
              </w:rPr>
            </w:pPr>
            <w:hyperlink w:anchor="page154">
              <w:r>
                <w:rPr>
                  <w:rFonts w:ascii="Arial" w:cs="Arial" w:eastAsia="Arial" w:hAnsi="Arial"/>
                  <w:sz w:val="18"/>
                  <w:szCs w:val="18"/>
                  <w:color w:val="0000EE"/>
                </w:rPr>
                <w:t>Shares Eligible for Future Sale</w:t>
              </w:r>
            </w:hyperlink>
          </w:p>
        </w:tc>
        <w:tc>
          <w:tcPr>
            <w:tcW w:w="4420" w:type="dxa"/>
            <w:vAlign w:val="bottom"/>
            <w:gridSpan w:val="2"/>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146</w:t>
            </w:r>
          </w:p>
        </w:tc>
      </w:tr>
      <w:tr>
        <w:trPr>
          <w:trHeight w:val="181"/>
        </w:trPr>
        <w:tc>
          <w:tcPr>
            <w:tcW w:w="160" w:type="dxa"/>
            <w:vAlign w:val="bottom"/>
          </w:tcPr>
          <w:p>
            <w:pPr>
              <w:spacing w:after="0"/>
              <w:rPr>
                <w:sz w:val="15"/>
                <w:szCs w:val="15"/>
                <w:color w:val="auto"/>
              </w:rPr>
            </w:pPr>
          </w:p>
        </w:tc>
        <w:tc>
          <w:tcPr>
            <w:tcW w:w="680" w:type="dxa"/>
            <w:vAlign w:val="bottom"/>
            <w:tcBorders>
              <w:top w:val="single" w:sz="8" w:color="0000EE"/>
              <w:bottom w:val="single" w:sz="8" w:color="0000EE"/>
            </w:tcBorders>
            <w:gridSpan w:val="2"/>
          </w:tcPr>
          <w:p>
            <w:pPr>
              <w:spacing w:after="0" w:line="181"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Taxation</w:t>
              </w:r>
            </w:hyperlink>
          </w:p>
        </w:tc>
        <w:tc>
          <w:tcPr>
            <w:tcW w:w="1740" w:type="dxa"/>
            <w:vAlign w:val="bottom"/>
            <w:tcBorders>
              <w:top w:val="single" w:sz="8" w:color="0000EE"/>
            </w:tcBorders>
            <w:gridSpan w:val="13"/>
          </w:tcPr>
          <w:p>
            <w:pPr>
              <w:spacing w:after="0"/>
              <w:rPr>
                <w:sz w:val="15"/>
                <w:szCs w:val="15"/>
                <w:color w:val="auto"/>
              </w:rPr>
            </w:pPr>
          </w:p>
        </w:tc>
        <w:tc>
          <w:tcPr>
            <w:tcW w:w="6360" w:type="dxa"/>
            <w:vAlign w:val="bottom"/>
            <w:gridSpan w:val="9"/>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149</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65">
              <w:r>
                <w:rPr>
                  <w:rFonts w:ascii="Arial" w:cs="Arial" w:eastAsia="Arial" w:hAnsi="Arial"/>
                  <w:sz w:val="18"/>
                  <w:szCs w:val="18"/>
                  <w:color w:val="0000EE"/>
                </w:rPr>
                <w:t>Underwriting</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157</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71">
              <w:r>
                <w:rPr>
                  <w:rFonts w:ascii="Arial" w:cs="Arial" w:eastAsia="Arial" w:hAnsi="Arial"/>
                  <w:sz w:val="18"/>
                  <w:szCs w:val="18"/>
                  <w:color w:val="0000EE"/>
                </w:rPr>
                <w:t>Expenses of the Offering</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163</w:t>
            </w:r>
          </w:p>
        </w:tc>
      </w:tr>
      <w:tr>
        <w:trPr>
          <w:trHeight w:val="181"/>
        </w:trPr>
        <w:tc>
          <w:tcPr>
            <w:tcW w:w="160" w:type="dxa"/>
            <w:vAlign w:val="bottom"/>
          </w:tcPr>
          <w:p>
            <w:pPr>
              <w:spacing w:after="0"/>
              <w:rPr>
                <w:sz w:val="15"/>
                <w:szCs w:val="15"/>
                <w:color w:val="auto"/>
              </w:rPr>
            </w:pPr>
          </w:p>
        </w:tc>
        <w:tc>
          <w:tcPr>
            <w:tcW w:w="1960" w:type="dxa"/>
            <w:vAlign w:val="bottom"/>
            <w:tcBorders>
              <w:top w:val="single" w:sz="8" w:color="0000EE"/>
            </w:tcBorders>
            <w:gridSpan w:val="13"/>
          </w:tcPr>
          <w:p>
            <w:pPr>
              <w:spacing w:after="0" w:line="181" w:lineRule="exact"/>
              <w:rPr>
                <w:rFonts w:ascii="Arial" w:cs="Arial" w:eastAsia="Arial" w:hAnsi="Arial"/>
                <w:sz w:val="18"/>
                <w:szCs w:val="18"/>
                <w:color w:val="0000EE"/>
              </w:rPr>
            </w:pPr>
            <w:hyperlink w:anchor="page172">
              <w:r>
                <w:rPr>
                  <w:rFonts w:ascii="Arial" w:cs="Arial" w:eastAsia="Arial" w:hAnsi="Arial"/>
                  <w:sz w:val="18"/>
                  <w:szCs w:val="18"/>
                  <w:color w:val="0000EE"/>
                </w:rPr>
                <w:t>Legal Matters</w:t>
              </w:r>
            </w:hyperlink>
          </w:p>
        </w:tc>
        <w:tc>
          <w:tcPr>
            <w:tcW w:w="6820" w:type="dxa"/>
            <w:vAlign w:val="bottom"/>
            <w:gridSpan w:val="11"/>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164</w:t>
            </w:r>
          </w:p>
        </w:tc>
      </w:tr>
      <w:tr>
        <w:trPr>
          <w:trHeight w:val="181"/>
        </w:trPr>
        <w:tc>
          <w:tcPr>
            <w:tcW w:w="160" w:type="dxa"/>
            <w:vAlign w:val="bottom"/>
          </w:tcPr>
          <w:p>
            <w:pPr>
              <w:spacing w:after="0"/>
              <w:rPr>
                <w:sz w:val="15"/>
                <w:szCs w:val="15"/>
                <w:color w:val="auto"/>
              </w:rPr>
            </w:pPr>
          </w:p>
        </w:tc>
        <w:tc>
          <w:tcPr>
            <w:tcW w:w="620" w:type="dxa"/>
            <w:vAlign w:val="bottom"/>
            <w:tcBorders>
              <w:top w:val="single" w:sz="8" w:color="0000EE"/>
              <w:bottom w:val="single" w:sz="8" w:color="0000EE"/>
            </w:tcBorders>
          </w:tcPr>
          <w:p>
            <w:pPr>
              <w:spacing w:after="0" w:line="181" w:lineRule="exact"/>
              <w:rPr>
                <w:rFonts w:ascii="Arial" w:cs="Arial" w:eastAsia="Arial" w:hAnsi="Arial"/>
                <w:sz w:val="18"/>
                <w:szCs w:val="18"/>
                <w:color w:val="0000EE"/>
                <w:w w:val="98"/>
              </w:rPr>
            </w:pPr>
            <w:hyperlink w:anchor="page173">
              <w:r>
                <w:rPr>
                  <w:rFonts w:ascii="Arial" w:cs="Arial" w:eastAsia="Arial" w:hAnsi="Arial"/>
                  <w:sz w:val="18"/>
                  <w:szCs w:val="18"/>
                  <w:color w:val="0000EE"/>
                  <w:w w:val="98"/>
                </w:rPr>
                <w:t>Experts</w:t>
              </w:r>
            </w:hyperlink>
          </w:p>
        </w:tc>
        <w:tc>
          <w:tcPr>
            <w:tcW w:w="460" w:type="dxa"/>
            <w:vAlign w:val="bottom"/>
            <w:tcBorders>
              <w:top w:val="single" w:sz="8" w:color="0000EE"/>
            </w:tcBorders>
            <w:gridSpan w:val="6"/>
          </w:tcPr>
          <w:p>
            <w:pPr>
              <w:spacing w:after="0"/>
              <w:rPr>
                <w:sz w:val="15"/>
                <w:szCs w:val="15"/>
                <w:color w:val="auto"/>
              </w:rPr>
            </w:pPr>
          </w:p>
        </w:tc>
        <w:tc>
          <w:tcPr>
            <w:tcW w:w="7700" w:type="dxa"/>
            <w:vAlign w:val="bottom"/>
            <w:gridSpan w:val="17"/>
          </w:tcPr>
          <w:p>
            <w:pPr>
              <w:spacing w:after="0"/>
              <w:rPr>
                <w:sz w:val="15"/>
                <w:szCs w:val="15"/>
                <w:color w:val="auto"/>
              </w:rPr>
            </w:pPr>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165</w:t>
            </w: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74">
              <w:r>
                <w:rPr>
                  <w:rFonts w:ascii="Arial" w:cs="Arial" w:eastAsia="Arial" w:hAnsi="Arial"/>
                  <w:sz w:val="18"/>
                  <w:szCs w:val="18"/>
                  <w:color w:val="0000EE"/>
                </w:rPr>
                <w:t>Enforceability of Civil Liabilities</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166</w:t>
            </w:r>
          </w:p>
        </w:tc>
      </w:tr>
      <w:tr>
        <w:trPr>
          <w:trHeight w:val="20"/>
        </w:trPr>
        <w:tc>
          <w:tcPr>
            <w:tcW w:w="160" w:type="dxa"/>
            <w:vAlign w:val="bottom"/>
          </w:tcPr>
          <w:p>
            <w:pPr>
              <w:spacing w:after="0" w:line="20" w:lineRule="exact"/>
              <w:rPr>
                <w:sz w:val="1"/>
                <w:szCs w:val="1"/>
                <w:color w:val="auto"/>
              </w:rPr>
            </w:pPr>
          </w:p>
        </w:tc>
        <w:tc>
          <w:tcPr>
            <w:tcW w:w="2440" w:type="dxa"/>
            <w:vAlign w:val="bottom"/>
            <w:gridSpan w:val="16"/>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76">
              <w:r>
                <w:rPr>
                  <w:rFonts w:ascii="Arial" w:cs="Arial" w:eastAsia="Arial" w:hAnsi="Arial"/>
                  <w:sz w:val="18"/>
                  <w:szCs w:val="18"/>
                  <w:color w:val="0000EE"/>
                </w:rPr>
                <w:t>Where You Can Find Additional Information</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168</w:t>
            </w:r>
          </w:p>
        </w:tc>
      </w:tr>
      <w:tr>
        <w:trPr>
          <w:trHeight w:val="20"/>
        </w:trPr>
        <w:tc>
          <w:tcPr>
            <w:tcW w:w="160" w:type="dxa"/>
            <w:vAlign w:val="bottom"/>
          </w:tcPr>
          <w:p>
            <w:pPr>
              <w:spacing w:after="0" w:line="20" w:lineRule="exact"/>
              <w:rPr>
                <w:sz w:val="1"/>
                <w:szCs w:val="1"/>
                <w:color w:val="auto"/>
              </w:rPr>
            </w:pPr>
          </w:p>
        </w:tc>
        <w:tc>
          <w:tcPr>
            <w:tcW w:w="3420" w:type="dxa"/>
            <w:vAlign w:val="bottom"/>
            <w:gridSpan w:val="19"/>
            <w:shd w:val="clear" w:color="auto" w:fill="0000EE"/>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8780" w:type="dxa"/>
            <w:vAlign w:val="bottom"/>
            <w:gridSpan w:val="24"/>
          </w:tcPr>
          <w:p>
            <w:pPr>
              <w:spacing w:after="0" w:line="181" w:lineRule="exact"/>
              <w:rPr>
                <w:rFonts w:ascii="Arial" w:cs="Arial" w:eastAsia="Arial" w:hAnsi="Arial"/>
                <w:sz w:val="18"/>
                <w:szCs w:val="18"/>
                <w:color w:val="0000EE"/>
              </w:rPr>
            </w:pPr>
            <w:hyperlink w:anchor="page177">
              <w:r>
                <w:rPr>
                  <w:rFonts w:ascii="Arial" w:cs="Arial" w:eastAsia="Arial" w:hAnsi="Arial"/>
                  <w:sz w:val="18"/>
                  <w:szCs w:val="18"/>
                  <w:color w:val="0000EE"/>
                </w:rPr>
                <w:t>Index to Consolidated Financial Statements</w:t>
              </w:r>
            </w:hyperlink>
          </w:p>
        </w:tc>
        <w:tc>
          <w:tcPr>
            <w:tcW w:w="2080" w:type="dxa"/>
            <w:vAlign w:val="bottom"/>
          </w:tcPr>
          <w:p>
            <w:pPr>
              <w:jc w:val="right"/>
              <w:spacing w:after="0" w:line="181" w:lineRule="exact"/>
              <w:rPr>
                <w:sz w:val="20"/>
                <w:szCs w:val="20"/>
                <w:color w:val="auto"/>
              </w:rPr>
            </w:pPr>
            <w:r>
              <w:rPr>
                <w:rFonts w:ascii="Arial" w:cs="Arial" w:eastAsia="Arial" w:hAnsi="Arial"/>
                <w:sz w:val="18"/>
                <w:szCs w:val="18"/>
                <w:color w:val="auto"/>
              </w:rPr>
              <w:t>F-1</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220980</wp:posOffset>
            </wp:positionV>
            <wp:extent cx="1460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Neither we, the selling shareholders nor the underwriters have authorized anyone to provide information different from that contained in this prospectus, any amendment or supplement to this prospectus or in any free writing prospectus prepared by us or on our behalf. Neither we, the selling shareholders nor the underwriters take any responsibility for, and neither we, the selling shareholders nor the underwriters can provide any assurance as to the reliability of, any information other than the information in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these ordinary shares in any circumstances under which such offer or solicitation is unlawful.</w:t>
      </w:r>
    </w:p>
    <w:p>
      <w:pPr>
        <w:spacing w:after="0" w:line="206"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For investors outside the United States: Neither we, the selling shareholders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320" w:top="441"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30"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As used in this prospectus, except where the context otherwise requires or where otherwise indicated, references to “Global-e,” the “Company,” “we,” “us,” “our,” “our company” and similar references refer to Global-E Online Ltd., together with its consolidated subsidiaries as a consolidated entity.</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23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financial statements have been prepared in accordance with generally accepted accounting principles in the United States (“GAAP”). We present our consolidated financial statements in U.S. dollars.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fiscal year ends on December 31 of each year.</w:t>
      </w:r>
    </w:p>
    <w:p>
      <w:pPr>
        <w:spacing w:after="0" w:line="208"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Throughout this prospectus, we provide a number of key performance indicators used by our management and often used by others in our industry. These and other key performance indicators are discussed in more detail in the section entitled “Management’s Discussion and Analysis of Financial Condition and Results of Operations—Key Performance Indicators and Other Operating Metrics.” We define these key performance indicators as follows:</w:t>
      </w:r>
    </w:p>
    <w:p>
      <w:pPr>
        <w:spacing w:after="0" w:line="109" w:lineRule="exact"/>
        <w:rPr>
          <w:sz w:val="20"/>
          <w:szCs w:val="20"/>
          <w:color w:val="auto"/>
        </w:rPr>
      </w:pPr>
    </w:p>
    <w:p>
      <w:pPr>
        <w:ind w:left="920" w:right="240" w:hanging="218"/>
        <w:spacing w:after="0" w:line="23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Merchandise Value” or “GMV” is defined as the combined amount we collect from the shopper and the merchant for all components of a given transaction, including products, duties and taxes and shipping;</w:t>
      </w:r>
    </w:p>
    <w:p>
      <w:pPr>
        <w:spacing w:after="0" w:line="109" w:lineRule="exact"/>
        <w:rPr>
          <w:rFonts w:ascii="Arial" w:cs="Arial" w:eastAsia="Arial" w:hAnsi="Arial"/>
          <w:sz w:val="18"/>
          <w:szCs w:val="18"/>
          <w:color w:val="auto"/>
        </w:rPr>
      </w:pPr>
    </w:p>
    <w:p>
      <w:pPr>
        <w:ind w:left="920" w:right="1140" w:hanging="218"/>
        <w:spacing w:after="0" w:line="23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defined as operating profit (loss) adjusted for depreciation and amortization and stock-based compensation expense; and</w:t>
      </w:r>
    </w:p>
    <w:p>
      <w:pPr>
        <w:spacing w:after="0" w:line="109" w:lineRule="exact"/>
        <w:rPr>
          <w:rFonts w:ascii="Arial" w:cs="Arial" w:eastAsia="Arial" w:hAnsi="Arial"/>
          <w:sz w:val="18"/>
          <w:szCs w:val="18"/>
          <w:color w:val="auto"/>
        </w:rPr>
      </w:pPr>
    </w:p>
    <w:p>
      <w:pPr>
        <w:ind w:left="920" w:right="360" w:hanging="218"/>
        <w:spacing w:after="0" w:line="23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Dollar Retention Rate” for a given period is calculated by dividing the GMV in that period by the GMV in the comparable period in the prior year, in each case, from merchants that processed transactions on our platform in the earlier of the two periods.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AND INDUSTRY DATA</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Unless otherwise indicated, information in this prospectus concerning economic conditions, our industry, our markets and our competitive position is based on a variety of sources, including reports by Accenture (Cross Border the Disruptive Frontier – Accenture Post and Parcel Industry Research (2019)), eMarketer (Global Ecommerce 2020 (Ecommerce Decelerates Amid Global Retail Contraction but Remains a Bright Spot)) and (Chart: US D2C Digital Buyers, 2017-2021), Forrester Analytics (Online Cross-Border Retail Forecast 2018 to 2023 (Global) (2019)), PricewaterhouseCoopers LLC (The Consumer Transformed – Global Consumer Insights Survey 2020), 5W Public Relations (5WPR 2020 Consumer Culture Report) and U.S. Department of Commerce (Quarterly Retail E-Commerce Sales 2</w:t>
      </w:r>
      <w:r>
        <w:rPr>
          <w:rFonts w:ascii="Arial" w:cs="Arial" w:eastAsia="Arial" w:hAnsi="Arial"/>
          <w:sz w:val="15"/>
          <w:szCs w:val="15"/>
          <w:color w:val="auto"/>
        </w:rPr>
        <w:t>nd</w:t>
      </w:r>
      <w:r>
        <w:rPr>
          <w:rFonts w:ascii="Arial" w:cs="Arial" w:eastAsia="Arial" w:hAnsi="Arial"/>
          <w:sz w:val="18"/>
          <w:szCs w:val="18"/>
          <w:color w:val="auto"/>
        </w:rPr>
        <w:t xml:space="preserve"> Quarter 2020), information from independent industry analysts and publications, as well as our own estimates and research.</w:t>
      </w:r>
    </w:p>
    <w:p>
      <w:pPr>
        <w:spacing w:after="0" w:line="206"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Our estimates are derived from publicly available information released by third-party sources, as well as data from our internal research, which we believe to be reasonable. None of the independent industry publications used in this prospectus were prepared on our behalf.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Certain estimates of market opportunity and forecasts of market growth included in this prospectus may prove to be inaccurate. The market for e-commerce solutions is relatively new and will experience changes over time. E-commerce market estimates and growth forecasts, whether obtained from third-party sources or developed internally, are uncertain and based on assumptions and estimates that may prove to be inaccurate. The estimates and forecasts in this prospectus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We or our licensors have proprietary rights to trademarks used in this prospectus.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or “</w:t>
      </w:r>
      <w:r>
        <w:rPr>
          <w:rFonts w:ascii="Arial" w:cs="Arial" w:eastAsia="Arial" w:hAnsi="Arial"/>
          <w:sz w:val="15"/>
          <w:szCs w:val="15"/>
          <w:color w:val="auto"/>
        </w:rPr>
        <w:t>™</w:t>
      </w:r>
      <w:r>
        <w:rPr>
          <w:rFonts w:ascii="Arial" w:cs="Arial" w:eastAsia="Arial" w:hAnsi="Arial"/>
          <w:sz w:val="18"/>
          <w:szCs w:val="18"/>
          <w:color w:val="auto"/>
        </w:rPr>
        <w:t>”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47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58470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w:t>
      </w:r>
    </w:p>
    <w:p>
      <w:pPr>
        <w:spacing w:after="0" w:line="212" w:lineRule="exact"/>
        <w:rPr>
          <w:sz w:val="20"/>
          <w:szCs w:val="20"/>
          <w:color w:val="auto"/>
        </w:rPr>
      </w:pPr>
    </w:p>
    <w:p>
      <w:pPr>
        <w:ind w:left="340" w:right="80" w:firstLine="527"/>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ordinary shares. You should read the entire prospectus carefully, including the “Risk Factors,” “Business,” and “Management’s Discussion and Analysis of Financial Condition and Results of Operations” sections and our consolidated financial statements and notes to those consolidated financial statements before making an investment decision.</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Mission</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Global-e’s mission is to make global e-commerce “border-agnostic” – Go global. Be local.</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Business Overview</w:t>
      </w:r>
    </w:p>
    <w:p>
      <w:pPr>
        <w:spacing w:after="0" w:line="230" w:lineRule="exact"/>
        <w:rPr>
          <w:sz w:val="20"/>
          <w:szCs w:val="20"/>
          <w:color w:val="auto"/>
        </w:rPr>
      </w:pPr>
    </w:p>
    <w:p>
      <w:pPr>
        <w:ind w:left="340" w:right="920" w:firstLine="527"/>
        <w:spacing w:after="0" w:line="239" w:lineRule="auto"/>
        <w:rPr>
          <w:sz w:val="20"/>
          <w:szCs w:val="20"/>
          <w:color w:val="auto"/>
        </w:rPr>
      </w:pPr>
      <w:r>
        <w:rPr>
          <w:rFonts w:ascii="Arial" w:cs="Arial" w:eastAsia="Arial" w:hAnsi="Arial"/>
          <w:sz w:val="18"/>
          <w:szCs w:val="18"/>
          <w:color w:val="auto"/>
        </w:rPr>
        <w:t>We have built the world’s leading platform to enable and accelerate global, direct-to-consumer (“D2C”) cross-border e-commerce.</w:t>
      </w:r>
    </w:p>
    <w:p>
      <w:pPr>
        <w:spacing w:after="0" w:line="203" w:lineRule="exact"/>
        <w:rPr>
          <w:sz w:val="20"/>
          <w:szCs w:val="20"/>
          <w:color w:val="auto"/>
        </w:rPr>
      </w:pPr>
    </w:p>
    <w:p>
      <w:pPr>
        <w:ind w:left="340" w:right="340" w:firstLine="527"/>
        <w:spacing w:after="0" w:line="237" w:lineRule="auto"/>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w:t>
      </w:r>
    </w:p>
    <w:p>
      <w:pPr>
        <w:spacing w:after="0" w:line="203" w:lineRule="exact"/>
        <w:rPr>
          <w:sz w:val="20"/>
          <w:szCs w:val="20"/>
          <w:color w:val="auto"/>
        </w:rPr>
      </w:pPr>
    </w:p>
    <w:p>
      <w:pPr>
        <w:ind w:left="340" w:right="100" w:firstLine="527"/>
        <w:spacing w:after="0" w:line="234"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6"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6" w:lineRule="exact"/>
        <w:rPr>
          <w:sz w:val="20"/>
          <w:szCs w:val="20"/>
          <w:color w:val="auto"/>
        </w:rPr>
      </w:pPr>
    </w:p>
    <w:p>
      <w:pPr>
        <w:ind w:left="340" w:right="60" w:firstLine="527"/>
        <w:spacing w:after="0" w:line="235"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their shoppers’ experience based on the country from which they shop. We support local messaging in</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6"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14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200" cy="54140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spacing w:after="0" w:line="235" w:lineRule="auto"/>
        <w:rPr>
          <w:sz w:val="20"/>
          <w:szCs w:val="20"/>
          <w:color w:val="auto"/>
        </w:rPr>
      </w:pPr>
      <w:r>
        <w:rPr>
          <w:rFonts w:ascii="Arial" w:cs="Arial" w:eastAsia="Arial" w:hAnsi="Arial"/>
          <w:sz w:val="18"/>
          <w:szCs w:val="18"/>
          <w:color w:val="auto"/>
        </w:rPr>
        <w:t>over 25 languages, purchases in more than 100 currencies by over 150 payment methods and a multitude of competitively-priced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merchants’ international traffic, thereby increasing their cross-border revenues. We have seen merchants experience significant uplift (often exceeding 60%) in international traffic conversion after beginning to use our platform.</w:t>
      </w:r>
    </w:p>
    <w:p>
      <w:pPr>
        <w:spacing w:after="0" w:line="202" w:lineRule="exact"/>
        <w:rPr>
          <w:sz w:val="20"/>
          <w:szCs w:val="20"/>
          <w:color w:val="auto"/>
        </w:rPr>
      </w:pPr>
    </w:p>
    <w:p>
      <w:pPr>
        <w:ind w:left="340" w:right="80" w:firstLine="527"/>
        <w:spacing w:after="0" w:line="250" w:lineRule="auto"/>
        <w:rPr>
          <w:sz w:val="20"/>
          <w:szCs w:val="20"/>
          <w:color w:val="auto"/>
        </w:rPr>
      </w:pPr>
      <w:r>
        <w:rPr>
          <w:rFonts w:ascii="Arial" w:cs="Arial" w:eastAsia="Arial" w:hAnsi="Arial"/>
          <w:sz w:val="17"/>
          <w:szCs w:val="17"/>
          <w:color w:val="auto"/>
        </w:rPr>
        <w:t>For merchants, our platform also removes much of the complexity that is associated with cross-border e-commerce. Sales are reconciled and paid for locally and in the currency of the merchant’s 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As of June 30, 2021, we have more than 520 merchants on our platform across diversified verticals and ranging from small, emerging brands to globally-recognized retailers.</w:t>
      </w:r>
    </w:p>
    <w:p>
      <w:pPr>
        <w:spacing w:after="0" w:line="196" w:lineRule="exact"/>
        <w:rPr>
          <w:sz w:val="20"/>
          <w:szCs w:val="20"/>
          <w:color w:val="auto"/>
        </w:rPr>
      </w:pPr>
    </w:p>
    <w:p>
      <w:pPr>
        <w:ind w:left="340" w:right="120" w:firstLine="527"/>
        <w:spacing w:after="0" w:line="234" w:lineRule="auto"/>
        <w:rPr>
          <w:sz w:val="20"/>
          <w:szCs w:val="20"/>
          <w:color w:val="auto"/>
        </w:rPr>
      </w:pPr>
      <w:r>
        <w:rPr>
          <w:rFonts w:ascii="Arial" w:cs="Arial" w:eastAsia="Arial" w:hAnsi="Arial"/>
          <w:sz w:val="18"/>
          <w:szCs w:val="18"/>
          <w:color w:val="auto"/>
        </w:rPr>
        <w:t>The scale and sophistication of our platform rely on the data and insights we have accumulated since our founding more than seven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our merchants.</w:t>
      </w:r>
    </w:p>
    <w:p>
      <w:pPr>
        <w:spacing w:after="0" w:line="203" w:lineRule="exact"/>
        <w:rPr>
          <w:sz w:val="20"/>
          <w:szCs w:val="20"/>
          <w:color w:val="auto"/>
        </w:rPr>
      </w:pPr>
    </w:p>
    <w:p>
      <w:pPr>
        <w:ind w:left="340" w:right="180" w:firstLine="527"/>
        <w:spacing w:after="0" w:line="235" w:lineRule="auto"/>
        <w:rPr>
          <w:sz w:val="20"/>
          <w:szCs w:val="20"/>
          <w:color w:val="auto"/>
        </w:rPr>
      </w:pPr>
      <w:r>
        <w:rPr>
          <w:rFonts w:ascii="Arial" w:cs="Arial" w:eastAsia="Arial" w:hAnsi="Arial"/>
          <w:sz w:val="18"/>
          <w:szCs w:val="18"/>
          <w:color w:val="auto"/>
        </w:rPr>
        <w:t>The merchants’ success is our success, and we aspire to become their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has typically been over 98% since 2018, and our Net Dollar Retention Rate, which has typically been over 140% during the same period. These retention rates demonstrate both the strong retention we enjoy among our merchants and the strong growth of GMV from merchants that use our platform.</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Since launching our platform in 2013, our business has experienced rapid growth. Our GMV amounted to $211 million,</w:t>
      </w:r>
    </w:p>
    <w:p>
      <w:pPr>
        <w:ind w:left="340" w:right="140"/>
        <w:spacing w:after="0" w:line="234" w:lineRule="auto"/>
        <w:rPr>
          <w:sz w:val="20"/>
          <w:szCs w:val="20"/>
          <w:color w:val="auto"/>
        </w:rPr>
      </w:pPr>
      <w:r>
        <w:rPr>
          <w:rFonts w:ascii="Arial" w:cs="Arial" w:eastAsia="Arial" w:hAnsi="Arial"/>
          <w:sz w:val="18"/>
          <w:szCs w:val="18"/>
          <w:color w:val="auto"/>
        </w:rPr>
        <w:t>$382 million and $774 million in the years ended December 31, 2018, 2019 and 2020, respectively, representing an increase of 81% and 103% in the years ended December 31, 2019 and 2020, respectively. For the six months ended June 30, 2021, our GMV amounted to $592.8 million, representing a 110.6% increase from the $281.4 million for the six months ended June 30, 2020. Our revenues were $38.6 million, $65.9 million and $136.4 million in the years ended December 31, 2018, 2019 and 2020, respectively, representing an increase of 70.4% and 107.1% in the years ended December 31, 2019 and 2020, respectively. For the six months ended June 30, 2021, we generated $103.4 million in revenue, representing a 109% increase from $49.5 million for the six months ended June 30, 2020. We incurred net losses of $11.6 million and $7.5 million in the years ended December 31, 2018 and 2019, respectively, representing a decrease in net losses of 35% in the</w:t>
      </w: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6"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year ended December 31, 2019, and realized net income of $ 3.9 million in the year ended December 31, 2020. For the six months ended June 30, 2021, we incurred a net loss of $24.0 million, representing a 1,337% increase in net losses from a net loss of $1.7 million for the six months ended June 30, 2020, attributable to increase in sales and marketing expenses as a result of an amortization expense of $25.5 million related to the Shopify warrants. Our operating efficiency and growing economies of scale have allowed our gross profit growth rates to outpace those of our revenue growth. Our gross profit increased by 117% and 133% in the years ended December 31, 2019 and 2020, respectively, and by 133% in the six months ended June 30, 2021 compared to the same period in the prior year. Our gross margin has steadily improved from 22.2% in 2018 to 28.3% in 2019 and to 31.9% in 2020, and reached 34.8% for the six months ended June 30, 2021.</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ind w:left="340" w:right="420" w:firstLine="527"/>
        <w:spacing w:after="0" w:line="239" w:lineRule="auto"/>
        <w:rPr>
          <w:sz w:val="20"/>
          <w:szCs w:val="20"/>
          <w:color w:val="auto"/>
        </w:rPr>
      </w:pPr>
      <w:r>
        <w:rPr>
          <w:rFonts w:ascii="Arial" w:cs="Arial" w:eastAsia="Arial" w:hAnsi="Arial"/>
          <w:sz w:val="18"/>
          <w:szCs w:val="18"/>
          <w:color w:val="auto"/>
        </w:rPr>
        <w:t>A number of industry trends are reshaping the business environment in which we operate, leading to what we believe is a significant opportunity:</w:t>
      </w:r>
    </w:p>
    <w:p>
      <w:pPr>
        <w:spacing w:after="0" w:line="109" w:lineRule="exact"/>
        <w:rPr>
          <w:sz w:val="20"/>
          <w:szCs w:val="20"/>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shift towards e-commerce, with growth in online sales outpacing that of traditional retail;</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Cross-border e-commerce growing faster than domestic e-commerce, propelled by the rise of social media;</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Merchants’ strategic focus on D2C sales, maintaining and strengthening the relationship with shoppers worldwide;</w:t>
      </w:r>
    </w:p>
    <w:p>
      <w:pPr>
        <w:spacing w:after="0" w:line="127" w:lineRule="exact"/>
        <w:rPr>
          <w:rFonts w:ascii="Arial" w:cs="Arial" w:eastAsia="Arial" w:hAnsi="Arial"/>
          <w:sz w:val="18"/>
          <w:szCs w:val="18"/>
          <w:color w:val="auto"/>
        </w:rPr>
      </w:pPr>
    </w:p>
    <w:p>
      <w:pPr>
        <w:ind w:left="1060" w:right="180" w:hanging="190"/>
        <w:spacing w:after="0" w:line="23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Complexity and limitations of a “do-it-yourself” cross-border strategy, which is typically expensive, time-intensive, inflexible and difficult to scale and maintain; and</w:t>
      </w:r>
    </w:p>
    <w:p>
      <w:pPr>
        <w:spacing w:after="0" w:line="109" w:lineRule="exact"/>
        <w:rPr>
          <w:rFonts w:ascii="Arial" w:cs="Arial" w:eastAsia="Arial" w:hAnsi="Arial"/>
          <w:sz w:val="18"/>
          <w:szCs w:val="18"/>
          <w:color w:val="auto"/>
        </w:rPr>
      </w:pPr>
    </w:p>
    <w:p>
      <w:pPr>
        <w:ind w:left="1060" w:right="380" w:hanging="190"/>
        <w:spacing w:after="0" w:line="23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tailwinds which have accelerated existing trends of shoppers moving online and merchants prioritizing digital channels these trends are expected to continue post-pandemic.</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 result of these and other market factors, cross-border e-commerce transactions are expected to continue to grow.</w:t>
      </w:r>
    </w:p>
    <w:p>
      <w:pPr>
        <w:ind w:left="340"/>
        <w:spacing w:after="0"/>
        <w:rPr>
          <w:sz w:val="20"/>
          <w:szCs w:val="20"/>
          <w:color w:val="auto"/>
        </w:rPr>
      </w:pPr>
      <w:r>
        <w:rPr>
          <w:rFonts w:ascii="Arial" w:cs="Arial" w:eastAsia="Arial" w:hAnsi="Arial"/>
          <w:sz w:val="18"/>
          <w:szCs w:val="18"/>
          <w:color w:val="auto"/>
        </w:rPr>
        <w:t>Forrester expects that by 2023, the cross-border e-commerce market will reach $736 billion.</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Solution</w:t>
      </w:r>
    </w:p>
    <w:p>
      <w:pPr>
        <w:spacing w:after="0" w:line="230" w:lineRule="exact"/>
        <w:rPr>
          <w:sz w:val="20"/>
          <w:szCs w:val="20"/>
          <w:color w:val="auto"/>
        </w:rPr>
      </w:pPr>
    </w:p>
    <w:p>
      <w:pPr>
        <w:ind w:left="340" w:right="140" w:firstLine="527"/>
        <w:spacing w:after="0" w:line="239" w:lineRule="auto"/>
        <w:rPr>
          <w:sz w:val="20"/>
          <w:szCs w:val="20"/>
          <w:color w:val="auto"/>
        </w:rPr>
      </w:pPr>
      <w:r>
        <w:rPr>
          <w:rFonts w:ascii="Arial" w:cs="Arial" w:eastAsia="Arial" w:hAnsi="Arial"/>
          <w:sz w:val="18"/>
          <w:szCs w:val="18"/>
          <w:color w:val="auto"/>
        </w:rPr>
        <w:t>We believe that our solution creates unique benefits for shoppers while at the same time serving the end-to-end needs of the merchants.</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Shoppers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offer an intuitive and frictionless shopper journey, through various features which include the following:</w:t>
      </w:r>
    </w:p>
    <w:p>
      <w:pPr>
        <w:spacing w:after="0" w:line="114" w:lineRule="exact"/>
        <w:rPr>
          <w:sz w:val="20"/>
          <w:szCs w:val="20"/>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Language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localized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messaging and checkout in over 25 languages.</w:t>
      </w:r>
    </w:p>
    <w:p>
      <w:pPr>
        <w:spacing w:after="0" w:line="127" w:lineRule="exact"/>
        <w:rPr>
          <w:rFonts w:ascii="Arial" w:cs="Arial" w:eastAsia="Arial" w:hAnsi="Arial"/>
          <w:sz w:val="18"/>
          <w:szCs w:val="18"/>
          <w:color w:val="auto"/>
        </w:rPr>
      </w:pPr>
    </w:p>
    <w:p>
      <w:pPr>
        <w:ind w:left="1060" w:right="380" w:hanging="190"/>
        <w:spacing w:after="0" w:line="26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 support for more than 100 currencies as well as a sophisticated pricing engine, customizable according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shopper’s location, local market retail pricing conventions and the merchant’s pricing strategy.</w:t>
      </w:r>
    </w:p>
    <w:p>
      <w:pPr>
        <w:spacing w:after="0" w:line="64" w:lineRule="exact"/>
        <w:rPr>
          <w:rFonts w:ascii="Arial" w:cs="Arial" w:eastAsia="Arial" w:hAnsi="Arial"/>
          <w:sz w:val="18"/>
          <w:szCs w:val="18"/>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Payments </w:t>
      </w:r>
      <w:r>
        <w:rPr>
          <w:rFonts w:ascii="Arial" w:cs="Arial" w:eastAsia="Arial" w:hAnsi="Arial"/>
          <w:sz w:val="18"/>
          <w:szCs w:val="18"/>
          <w:color w:val="auto"/>
        </w:rPr>
        <w:t>– over 150 payment methods, with new payment methods being continuously added.</w:t>
      </w: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320" w:top="456" w:right="7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80" w:hanging="190"/>
        <w:spacing w:after="0" w:line="24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Duties and taxes </w:t>
      </w:r>
      <w:r>
        <w:rPr>
          <w:rFonts w:ascii="Arial" w:cs="Arial" w:eastAsia="Arial" w:hAnsi="Arial"/>
          <w:sz w:val="18"/>
          <w:szCs w:val="18"/>
          <w:color w:val="auto"/>
        </w:rPr>
        <w:t>– the ability to accurately pre-calculate import duties and taxes, and remit them in over 170 destination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simplifying the customs clearance process and allowing for a fully-guaranteed landed price quote for both the shopper and the merchant.</w:t>
      </w:r>
    </w:p>
    <w:p>
      <w:pPr>
        <w:spacing w:after="0" w:line="77" w:lineRule="exact"/>
        <w:rPr>
          <w:rFonts w:ascii="Arial" w:cs="Arial" w:eastAsia="Arial" w:hAnsi="Arial"/>
          <w:sz w:val="18"/>
          <w:szCs w:val="18"/>
          <w:color w:val="auto"/>
        </w:rPr>
      </w:pPr>
    </w:p>
    <w:p>
      <w:pPr>
        <w:ind w:left="1060" w:right="340" w:hanging="190"/>
        <w:spacing w:after="0" w:line="26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Delivery </w:t>
      </w:r>
      <w:r>
        <w:rPr>
          <w:rFonts w:ascii="Arial" w:cs="Arial" w:eastAsia="Arial" w:hAnsi="Arial"/>
          <w:sz w:val="18"/>
          <w:szCs w:val="18"/>
          <w:color w:val="auto"/>
        </w:rPr>
        <w:t>– an extensive network of more than 20 shipping carriers, including market-specific preferred methods,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shipping modes at attractive rates.</w:t>
      </w:r>
    </w:p>
    <w:p>
      <w:pPr>
        <w:spacing w:after="0" w:line="64" w:lineRule="exact"/>
        <w:rPr>
          <w:rFonts w:ascii="Arial" w:cs="Arial" w:eastAsia="Arial" w:hAnsi="Arial"/>
          <w:sz w:val="18"/>
          <w:szCs w:val="18"/>
          <w:color w:val="auto"/>
        </w:rPr>
      </w:pPr>
    </w:p>
    <w:p>
      <w:pPr>
        <w:ind w:left="1060" w:right="180" w:hanging="190"/>
        <w:spacing w:after="0" w:line="26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After-sale support and returns </w:t>
      </w:r>
      <w:r>
        <w:rPr>
          <w:rFonts w:ascii="Arial" w:cs="Arial" w:eastAsia="Arial" w:hAnsi="Arial"/>
          <w:sz w:val="18"/>
          <w:szCs w:val="18"/>
          <w:color w:val="auto"/>
        </w:rPr>
        <w:t>– multi-lingual shopper services and multiple returns options, including pre-paid and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in relevant markets.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Merchants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purpose-built platform satisfies merchants’ needs by providing the following key benefits:</w:t>
      </w:r>
    </w:p>
    <w:p>
      <w:pPr>
        <w:spacing w:after="0" w:line="114" w:lineRule="exact"/>
        <w:rPr>
          <w:sz w:val="20"/>
          <w:szCs w:val="20"/>
          <w:color w:val="auto"/>
        </w:rPr>
      </w:pPr>
    </w:p>
    <w:p>
      <w:pPr>
        <w:ind w:left="106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sales conversion </w:t>
      </w:r>
      <w:r>
        <w:rPr>
          <w:rFonts w:ascii="Arial" w:cs="Arial" w:eastAsia="Arial" w:hAnsi="Arial"/>
          <w:sz w:val="18"/>
          <w:szCs w:val="18"/>
          <w:color w:val="auto"/>
        </w:rPr>
        <w:t>– we ensure that merchants are able to better capitalize on their valuable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shopper traffic by eliminating friction at every step of the process. This enables merchants to generate an immediate uplift in sales from the conversion of their international traffic. We have seen merchants experience significant uplift (often exceeding 60%) in international traffic conversion after beginning to use our platform.</w:t>
      </w:r>
    </w:p>
    <w:p>
      <w:pPr>
        <w:spacing w:after="0" w:line="84" w:lineRule="exact"/>
        <w:rPr>
          <w:rFonts w:ascii="Arial" w:cs="Arial" w:eastAsia="Arial" w:hAnsi="Arial"/>
          <w:sz w:val="18"/>
          <w:szCs w:val="18"/>
          <w:color w:val="auto"/>
        </w:rPr>
      </w:pPr>
    </w:p>
    <w:p>
      <w:pPr>
        <w:ind w:left="1060" w:right="380" w:hanging="190"/>
        <w:spacing w:after="0" w:line="295"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Offloading of complexities </w:t>
      </w:r>
      <w:r>
        <w:rPr>
          <w:rFonts w:ascii="Arial" w:cs="Arial" w:eastAsia="Arial" w:hAnsi="Arial"/>
          <w:sz w:val="17"/>
          <w:szCs w:val="17"/>
          <w:color w:val="auto"/>
        </w:rPr>
        <w:t>– our handling of the complexities related to local pricing, payment collection, taxes, import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duties, fraud and after-sale support allows for a frictionless process and encourages international shopper conversion.</w:t>
      </w:r>
    </w:p>
    <w:p>
      <w:pPr>
        <w:spacing w:after="0" w:line="41" w:lineRule="exact"/>
        <w:rPr>
          <w:rFonts w:ascii="Arial" w:cs="Arial" w:eastAsia="Arial" w:hAnsi="Arial"/>
          <w:sz w:val="17"/>
          <w:szCs w:val="17"/>
          <w:color w:val="auto"/>
        </w:rPr>
      </w:pPr>
    </w:p>
    <w:p>
      <w:pPr>
        <w:ind w:left="1060" w:right="8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Reduction of risk </w:t>
      </w:r>
      <w:r>
        <w:rPr>
          <w:rFonts w:ascii="Arial" w:cs="Arial" w:eastAsia="Arial" w:hAnsi="Arial"/>
          <w:sz w:val="18"/>
          <w:szCs w:val="18"/>
          <w:color w:val="auto"/>
        </w:rPr>
        <w:t>– we significantly reduce legal complexity for merchants, as we report and forward relevant import duties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taxes as well as handle import compliance in the local market where a purchase is made, in line with specific market regulations. We adapt our systems and operations on an ongoing basis to address the evolving regulatory landscape and technical backdrop.</w:t>
      </w:r>
    </w:p>
    <w:p>
      <w:pPr>
        <w:spacing w:after="0" w:line="84" w:lineRule="exact"/>
        <w:rPr>
          <w:rFonts w:ascii="Arial" w:cs="Arial" w:eastAsia="Arial" w:hAnsi="Arial"/>
          <w:sz w:val="18"/>
          <w:szCs w:val="18"/>
          <w:color w:val="auto"/>
        </w:rPr>
      </w:pPr>
    </w:p>
    <w:p>
      <w:pPr>
        <w:ind w:left="1060" w:right="60" w:hanging="190"/>
        <w:spacing w:after="0" w:line="270"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Enabling growth to new markets </w:t>
      </w:r>
      <w:r>
        <w:rPr>
          <w:rFonts w:ascii="Arial" w:cs="Arial" w:eastAsia="Arial" w:hAnsi="Arial"/>
          <w:sz w:val="17"/>
          <w:szCs w:val="17"/>
          <w:color w:val="auto"/>
        </w:rPr>
        <w:t>– we present merchants with unique flexibility to expand where and when they want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they seek to capture the cross-border opportunity. We transform what otherwise would have required significant time and financial investments in proprietary development and go-to-market efforts, into a rapid and efficient expansion solution.</w:t>
      </w:r>
    </w:p>
    <w:p>
      <w:pPr>
        <w:spacing w:after="0" w:line="62" w:lineRule="exact"/>
        <w:rPr>
          <w:rFonts w:ascii="Arial" w:cs="Arial" w:eastAsia="Arial" w:hAnsi="Arial"/>
          <w:sz w:val="17"/>
          <w:szCs w:val="17"/>
          <w:color w:val="auto"/>
        </w:rPr>
      </w:pPr>
    </w:p>
    <w:p>
      <w:pPr>
        <w:ind w:left="1060" w:right="200" w:hanging="190"/>
        <w:spacing w:after="0" w:line="26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Emphasizing merchant branding </w:t>
      </w:r>
      <w:r>
        <w:rPr>
          <w:rFonts w:ascii="Arial" w:cs="Arial" w:eastAsia="Arial" w:hAnsi="Arial"/>
          <w:sz w:val="18"/>
          <w:szCs w:val="18"/>
          <w:color w:val="auto"/>
        </w:rPr>
        <w:t>– the Global-e platform uses minimal Global-e branding so shoppers primarily face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existing storefront and brand experience, maintaining the direct merchant-shopper relationship.</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Smart Insights</w:t>
      </w:r>
    </w:p>
    <w:p>
      <w:pPr>
        <w:spacing w:after="0" w:line="123"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 xml:space="preserve">The scale and sophistication of our platform relies on our data and its applications, which we refer to as “Smart Insights.” Our Smart Insights are country-, price-point- and vertical-specific and focus on shopper behavior. These insights are deepened every time potential shoppers enter the merchants’ online stores, whether or not they make a purchase, allowing us to gather additional data points along their journey. The value of our massive and fast-growing data asset is due to its depth and breadth. Based on this data, and coupled with our operational experience accumulated over the years, we enjoy both </w:t>
      </w:r>
      <w:r>
        <w:rPr>
          <w:rFonts w:ascii="Arial" w:cs="Arial" w:eastAsia="Arial" w:hAnsi="Arial"/>
          <w:sz w:val="18"/>
          <w:szCs w:val="18"/>
          <w:i w:val="1"/>
          <w:iCs w:val="1"/>
          <w:color w:val="auto"/>
        </w:rPr>
        <w:t>economies of scale</w:t>
      </w:r>
      <w:r>
        <w:rPr>
          <w:rFonts w:ascii="Arial" w:cs="Arial" w:eastAsia="Arial" w:hAnsi="Arial"/>
          <w:sz w:val="18"/>
          <w:szCs w:val="18"/>
          <w:color w:val="auto"/>
        </w:rPr>
        <w:t xml:space="preserve"> and </w:t>
      </w:r>
      <w:r>
        <w:rPr>
          <w:rFonts w:ascii="Arial" w:cs="Arial" w:eastAsia="Arial" w:hAnsi="Arial"/>
          <w:sz w:val="18"/>
          <w:szCs w:val="18"/>
          <w:i w:val="1"/>
          <w:iCs w:val="1"/>
          <w:color w:val="auto"/>
        </w:rPr>
        <w:t>economies of skill</w:t>
      </w:r>
      <w:r>
        <w:rPr>
          <w:rFonts w:ascii="Arial" w:cs="Arial" w:eastAsia="Arial" w:hAnsi="Arial"/>
          <w:sz w:val="18"/>
          <w:szCs w:val="18"/>
          <w:color w:val="auto"/>
        </w:rPr>
        <w:t>, which enable us to optimize merchants’ cross-border sales on a market-by-market basis. We believe that by leveraging our Smart Insights, merchants can provide highly-optimized experiences for shoppers, driving increased conversion and revenues.</w:t>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Competitive Advantages</w:t>
      </w:r>
    </w:p>
    <w:p>
      <w:pPr>
        <w:spacing w:after="0" w:line="230" w:lineRule="exact"/>
        <w:rPr>
          <w:sz w:val="20"/>
          <w:szCs w:val="20"/>
          <w:color w:val="auto"/>
        </w:rPr>
      </w:pPr>
    </w:p>
    <w:p>
      <w:pPr>
        <w:ind w:left="340" w:right="900" w:firstLine="527"/>
        <w:spacing w:after="0" w:line="239" w:lineRule="auto"/>
        <w:rPr>
          <w:sz w:val="20"/>
          <w:szCs w:val="20"/>
          <w:color w:val="auto"/>
        </w:rPr>
      </w:pPr>
      <w:r>
        <w:rPr>
          <w:rFonts w:ascii="Arial" w:cs="Arial" w:eastAsia="Arial" w:hAnsi="Arial"/>
          <w:sz w:val="18"/>
          <w:szCs w:val="18"/>
          <w:color w:val="auto"/>
        </w:rPr>
        <w:t>We believe that we have built a leading platform to address merchants’ cross-border e-commerce needs, creating a competitive advantage for our business. Our differentiated offering means we are</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320" w:top="456"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44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744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20"/>
        <w:spacing w:after="0" w:line="239" w:lineRule="auto"/>
        <w:rPr>
          <w:sz w:val="20"/>
          <w:szCs w:val="20"/>
          <w:color w:val="auto"/>
        </w:rPr>
      </w:pPr>
      <w:r>
        <w:rPr>
          <w:rFonts w:ascii="Arial" w:cs="Arial" w:eastAsia="Arial" w:hAnsi="Arial"/>
          <w:sz w:val="18"/>
          <w:szCs w:val="18"/>
          <w:color w:val="auto"/>
        </w:rPr>
        <w:t>uniquely positioned to cater to shoppers globally, driving meaningful uplifts in international sales conversion rates and revenue growth for our merchants, while also removing much of the complexity and many of the costs inherent to cross-border e-commerce.</w:t>
      </w:r>
    </w:p>
    <w:p>
      <w:pPr>
        <w:spacing w:after="0" w:line="87" w:lineRule="exact"/>
        <w:rPr>
          <w:sz w:val="20"/>
          <w:szCs w:val="20"/>
          <w:color w:val="auto"/>
        </w:rPr>
      </w:pPr>
    </w:p>
    <w:p>
      <w:pPr>
        <w:ind w:left="1060" w:right="240" w:hanging="190"/>
        <w:spacing w:after="0" w:line="24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Purpose-built, end-to-end platform</w:t>
      </w:r>
      <w:r>
        <w:rPr>
          <w:rFonts w:ascii="Arial" w:cs="Arial" w:eastAsia="Arial" w:hAnsi="Arial"/>
          <w:sz w:val="18"/>
          <w:szCs w:val="18"/>
          <w:b w:val="1"/>
          <w:bCs w:val="1"/>
          <w:color w:val="auto"/>
        </w:rPr>
        <w:t>—</w:t>
      </w:r>
      <w:r>
        <w:rPr>
          <w:rFonts w:ascii="Arial" w:cs="Arial" w:eastAsia="Arial" w:hAnsi="Arial"/>
          <w:sz w:val="18"/>
          <w:szCs w:val="18"/>
          <w:color w:val="auto"/>
        </w:rPr>
        <w:t>we provide merchants with the capabilities required for effective cross-border D2C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using a potent combination of our proprietary technology and third-party providers. Our solution is easy to integrate, platform-agnostic, scalable and able to support merchants of all sizes, from small, emerging brands to the world’s largest retailers.</w:t>
      </w:r>
    </w:p>
    <w:p>
      <w:pPr>
        <w:spacing w:after="0" w:line="84" w:lineRule="exact"/>
        <w:rPr>
          <w:rFonts w:ascii="Arial" w:cs="Arial" w:eastAsia="Arial" w:hAnsi="Arial"/>
          <w:sz w:val="18"/>
          <w:szCs w:val="18"/>
          <w:color w:val="auto"/>
        </w:rPr>
      </w:pPr>
    </w:p>
    <w:p>
      <w:pPr>
        <w:ind w:left="1060" w:right="340" w:hanging="190"/>
        <w:spacing w:after="0" w:line="24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True global cross-border enabler at scale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diversified by vertical, merchant sector, and end-market. Our wide-reaching scale enables us to provide a solution to merchants in any region of the world. This scale, coupled with strong brand recognition gained since inception, has allowed us to acquire some of the largest merchants in the world as customers.</w:t>
      </w:r>
    </w:p>
    <w:p>
      <w:pPr>
        <w:spacing w:after="0" w:line="84"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growing data asset driving flywheel effects </w:t>
      </w:r>
      <w:r>
        <w:rPr>
          <w:rFonts w:ascii="Arial" w:cs="Arial" w:eastAsia="Arial" w:hAnsi="Arial"/>
          <w:sz w:val="18"/>
          <w:szCs w:val="18"/>
          <w:color w:val="auto"/>
        </w:rPr>
        <w:t>– we have a highly differentiated data asset that informs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how we make decisions and optimizes how merchants conduct cross-border business on a market-by-market basis. Our rich data serves as the basis for a powerful </w:t>
      </w:r>
      <w:r>
        <w:rPr>
          <w:rFonts w:ascii="Arial" w:cs="Arial" w:eastAsia="Arial" w:hAnsi="Arial"/>
          <w:sz w:val="18"/>
          <w:szCs w:val="18"/>
          <w:i w:val="1"/>
          <w:iCs w:val="1"/>
          <w:color w:val="auto"/>
        </w:rPr>
        <w:t>flywheel effect</w:t>
      </w:r>
      <w:r>
        <w:rPr>
          <w:rFonts w:ascii="Arial" w:cs="Arial" w:eastAsia="Arial" w:hAnsi="Arial"/>
          <w:sz w:val="18"/>
          <w:szCs w:val="18"/>
          <w:color w:val="auto"/>
        </w:rPr>
        <w:t>: the uplift we generate for our merchants drives more sales and 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 Our Smart Insights get even “smarter” with each new merchant, shopper and website visit.</w:t>
      </w:r>
    </w:p>
    <w:p>
      <w:pPr>
        <w:spacing w:after="0" w:line="87" w:lineRule="exact"/>
        <w:rPr>
          <w:rFonts w:ascii="Arial" w:cs="Arial" w:eastAsia="Arial" w:hAnsi="Arial"/>
          <w:sz w:val="18"/>
          <w:szCs w:val="18"/>
          <w:color w:val="auto"/>
        </w:rPr>
      </w:pPr>
    </w:p>
    <w:p>
      <w:pPr>
        <w:ind w:left="1060" w:right="180" w:hanging="1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Partner network fueling our differentiated go-to-market strategy</w:t>
      </w:r>
      <w:r>
        <w:rPr>
          <w:rFonts w:ascii="Arial" w:cs="Arial" w:eastAsia="Arial" w:hAnsi="Arial"/>
          <w:sz w:val="18"/>
          <w:szCs w:val="18"/>
          <w:b w:val="1"/>
          <w:bCs w:val="1"/>
          <w:color w:val="auto"/>
        </w:rPr>
        <w:t>—</w:t>
      </w:r>
      <w:r>
        <w:rPr>
          <w:rFonts w:ascii="Arial" w:cs="Arial" w:eastAsia="Arial" w:hAnsi="Arial"/>
          <w:sz w:val="18"/>
          <w:szCs w:val="18"/>
          <w:color w:val="auto"/>
        </w:rPr>
        <w:t>many of our new merchants are referrals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merchants, which serve as brand ambassadors for Global-e. In addition, our commerce enabler, marketing, payments, shipping and logistics and social media partners, which include global and regional players, act as a meaningful source of referrals and lead generation. These partnerships are further complemented by our highly efficient sales and marketing efforts.</w:t>
      </w:r>
    </w:p>
    <w:p>
      <w:pPr>
        <w:spacing w:after="0" w:line="88" w:lineRule="exact"/>
        <w:rPr>
          <w:rFonts w:ascii="Arial" w:cs="Arial" w:eastAsia="Arial" w:hAnsi="Arial"/>
          <w:sz w:val="18"/>
          <w:szCs w:val="18"/>
          <w:color w:val="auto"/>
        </w:rPr>
      </w:pPr>
    </w:p>
    <w:p>
      <w:pPr>
        <w:ind w:left="1060" w:right="240" w:hanging="190"/>
        <w:spacing w:after="0" w:line="24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Robust business model with sticky customers and a compelling financial profile</w:t>
      </w:r>
      <w:r>
        <w:rPr>
          <w:rFonts w:ascii="Arial" w:cs="Arial" w:eastAsia="Arial" w:hAnsi="Arial"/>
          <w:sz w:val="18"/>
          <w:szCs w:val="18"/>
          <w:color w:val="auto"/>
        </w:rPr>
        <w:t>—Since 2018, our Net Dollar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Rate has typically been over 140% and our Gross Dollar Retention Rate has typically been over 98%, reflecting both the strong retention we enjoy due to the mission-critical nature of our platform, as well as the strong growth of GMV from merchants that use our platform.</w:t>
      </w:r>
    </w:p>
    <w:p>
      <w:pPr>
        <w:spacing w:after="0" w:line="84" w:lineRule="exact"/>
        <w:rPr>
          <w:rFonts w:ascii="Arial" w:cs="Arial" w:eastAsia="Arial" w:hAnsi="Arial"/>
          <w:sz w:val="18"/>
          <w:szCs w:val="18"/>
          <w:color w:val="auto"/>
        </w:rPr>
      </w:pPr>
    </w:p>
    <w:p>
      <w:pPr>
        <w:ind w:left="1060" w:hanging="1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management team with a strong customer-centric culture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inception of Global-e, our founders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worked together and have created a strong culture that is customer-obsessed, initiative- and innovation-driven and team-focused. We put our customer first in everything we do. We strive to constantly improve our product offering through investment and by hiring and empowering the right talent. We believe in collaboration and that every employee can and does makes a difference to Global-e.</w:t>
      </w:r>
    </w:p>
    <w:p>
      <w:pPr>
        <w:spacing w:after="0" w:line="28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Our Growth Opportunities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grow our business by focusing on the following key areas:</w:t>
      </w:r>
    </w:p>
    <w:p>
      <w:pPr>
        <w:spacing w:after="0" w:line="92" w:lineRule="exact"/>
        <w:rPr>
          <w:sz w:val="20"/>
          <w:szCs w:val="20"/>
          <w:color w:val="auto"/>
        </w:rPr>
      </w:pPr>
    </w:p>
    <w:p>
      <w:pPr>
        <w:ind w:left="1060" w:right="140" w:hanging="190"/>
        <w:spacing w:after="0" w:line="270"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Grow within our existing portfolio of merchants</w:t>
      </w:r>
      <w:r>
        <w:rPr>
          <w:rFonts w:ascii="Arial" w:cs="Arial" w:eastAsia="Arial" w:hAnsi="Arial"/>
          <w:sz w:val="17"/>
          <w:szCs w:val="17"/>
          <w:color w:val="auto"/>
        </w:rPr>
        <w:t>—growing within our existing merchant base, by deepening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them through superior service and best-in-class performance. As merchants’ sales grow, attributed either to improved conversion or by expanding their offering into additional geographies, our GMV-based revenue grows as well.</w:t>
      </w: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32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55327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060" w:right="30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merchants within existing geographies and verticals</w:t>
      </w:r>
      <w:r>
        <w:rPr>
          <w:rFonts w:ascii="Arial" w:cs="Arial" w:eastAsia="Arial" w:hAnsi="Arial"/>
          <w:sz w:val="18"/>
          <w:szCs w:val="18"/>
          <w:color w:val="auto"/>
        </w:rPr>
        <w:t>—our merchant acquisition is highly efficient, often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to payback periods of less than six months. We see significant opportunities across multiple existing geographies and brand segments that we believe we are well-positioned to capture.</w:t>
      </w:r>
    </w:p>
    <w:p>
      <w:pPr>
        <w:spacing w:after="0" w:line="77"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Expand into additional geographies, verticals and brand segments</w:t>
      </w:r>
      <w:r>
        <w:rPr>
          <w:rFonts w:ascii="Arial" w:cs="Arial" w:eastAsia="Arial" w:hAnsi="Arial"/>
          <w:sz w:val="18"/>
          <w:szCs w:val="18"/>
          <w:color w:val="auto"/>
        </w:rPr>
        <w:t>—expanding our geographic footprint,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geographies such as APAC, as well as new verticals and brand segments. As we continue to grow and expand into new geographies, through both new merchant acquisition and our existing portfolio of merchants expanding their offerings into additional geographies, we have the ability to reach larger audiences of shoppers as well as new verticals. Our growing brand recognition creates a second flywheel – by leveraging our gained brand recognition and know-how across our trading markets, we can acquire additional merchants more efficiently within current markets as well as new geographies, which further enhances our brand recognition and know-how across our trading markets.</w:t>
      </w:r>
    </w:p>
    <w:p>
      <w:pPr>
        <w:spacing w:after="0" w:line="87" w:lineRule="exact"/>
        <w:rPr>
          <w:rFonts w:ascii="Arial" w:cs="Arial" w:eastAsia="Arial" w:hAnsi="Arial"/>
          <w:sz w:val="18"/>
          <w:szCs w:val="18"/>
          <w:color w:val="auto"/>
        </w:rPr>
      </w:pPr>
    </w:p>
    <w:p>
      <w:pPr>
        <w:ind w:left="1060" w:right="200" w:hanging="190"/>
        <w:spacing w:after="0" w:line="26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Drive continuous innovation on our platform</w:t>
      </w:r>
      <w:r>
        <w:rPr>
          <w:rFonts w:ascii="Arial" w:cs="Arial" w:eastAsia="Arial" w:hAnsi="Arial"/>
          <w:sz w:val="17"/>
          <w:szCs w:val="17"/>
          <w:b w:val="1"/>
          <w:bCs w:val="1"/>
          <w:color w:val="auto"/>
        </w:rPr>
        <w:t>—</w:t>
      </w:r>
      <w:r>
        <w:rPr>
          <w:rFonts w:ascii="Arial" w:cs="Arial" w:eastAsia="Arial" w:hAnsi="Arial"/>
          <w:sz w:val="17"/>
          <w:szCs w:val="17"/>
          <w:color w:val="auto"/>
        </w:rPr>
        <w:t>we will continue to invest in research and development and operate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agile approach to address merchants’ and shoppers’ constantly-evolving needs. We will strive to continue developing new capabilities and add-on offerings, as well as opportunistically look to complement our existing platform and offering through M&amp;A opportunities, to maintain Global-e’s position as a leading holistic platform for cross-border e-commerce.</w:t>
      </w:r>
    </w:p>
    <w:p>
      <w:pPr>
        <w:spacing w:after="0" w:line="69" w:lineRule="exact"/>
        <w:rPr>
          <w:rFonts w:ascii="Arial" w:cs="Arial" w:eastAsia="Arial" w:hAnsi="Arial"/>
          <w:sz w:val="17"/>
          <w:szCs w:val="17"/>
          <w:color w:val="auto"/>
        </w:rPr>
      </w:pPr>
    </w:p>
    <w:p>
      <w:pPr>
        <w:ind w:left="106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and expand our strategic partnerships</w:t>
      </w:r>
      <w:r>
        <w:rPr>
          <w:rFonts w:ascii="Arial" w:cs="Arial" w:eastAsia="Arial" w:hAnsi="Arial"/>
          <w:sz w:val="18"/>
          <w:szCs w:val="18"/>
          <w:color w:val="auto"/>
        </w:rPr>
        <w:t>—we intend to further strengthen our existing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the expansion of our partnership with Shopify, and build new strategic partnerships with other key players across the value chain in the different markets in which we operate.</w:t>
      </w:r>
    </w:p>
    <w:p>
      <w:pPr>
        <w:spacing w:after="0" w:line="27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 Factors</w:t>
      </w:r>
    </w:p>
    <w:p>
      <w:pPr>
        <w:spacing w:after="0" w:line="230" w:lineRule="exact"/>
        <w:rPr>
          <w:sz w:val="20"/>
          <w:szCs w:val="20"/>
          <w:color w:val="auto"/>
        </w:rPr>
      </w:pPr>
    </w:p>
    <w:p>
      <w:pPr>
        <w:ind w:left="340" w:right="20" w:firstLine="527"/>
        <w:spacing w:after="0" w:line="235" w:lineRule="auto"/>
        <w:rPr>
          <w:sz w:val="20"/>
          <w:szCs w:val="20"/>
          <w:color w:val="auto"/>
        </w:rPr>
      </w:pPr>
      <w:r>
        <w:rPr>
          <w:rFonts w:ascii="Arial" w:cs="Arial" w:eastAsia="Arial" w:hAnsi="Arial"/>
          <w:sz w:val="18"/>
          <w:szCs w:val="18"/>
          <w:color w:val="auto"/>
        </w:rPr>
        <w:t>Investing in our ordinary shares involves substantial risks, and our ability to successfully operate our business and execute our growth plan is subject to numerous risks. You should carefully consider the risks described in “Risk Factors” before making a decision to invest in our ordinary shares. If any of these risks actually occurs, our business, financial condition or results of operations could be materially and adversely affected. In such case, the trading price of our ordinary shares would likely decline, and you may lose all or part of your investment. The following is a summary of some of the principal risks we face:</w:t>
      </w:r>
    </w:p>
    <w:p>
      <w:pPr>
        <w:spacing w:after="0" w:line="110" w:lineRule="exact"/>
        <w:rPr>
          <w:sz w:val="20"/>
          <w:szCs w:val="20"/>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retain our existing merchants, or the GMV generated by such merchants on our platform declines;</w:t>
      </w:r>
    </w:p>
    <w:p>
      <w:pPr>
        <w:spacing w:after="0" w:line="127" w:lineRule="exact"/>
        <w:rPr>
          <w:rFonts w:ascii="Arial" w:cs="Arial" w:eastAsia="Arial" w:hAnsi="Arial"/>
          <w:sz w:val="18"/>
          <w:szCs w:val="18"/>
          <w:color w:val="auto"/>
        </w:rPr>
      </w:pPr>
    </w:p>
    <w:p>
      <w:pPr>
        <w:ind w:left="1060" w:right="300" w:hanging="190"/>
        <w:spacing w:after="0" w:line="23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efforts to attract new merchants are not successful, or the merchants we do attract fail to generate GMV or revenue comparable to our current merchants;</w:t>
      </w:r>
    </w:p>
    <w:p>
      <w:pPr>
        <w:spacing w:after="0" w:line="109"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develop or acquire new functionality or enhance our existing platform to meet the needs of our current and future merchants;</w:t>
      </w:r>
    </w:p>
    <w:p>
      <w:pPr>
        <w:spacing w:after="0" w:line="109"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successfully compete against current and future competition or other competing solutions;</w:t>
      </w:r>
    </w:p>
    <w:p>
      <w:pPr>
        <w:spacing w:after="0" w:line="127" w:lineRule="exact"/>
        <w:rPr>
          <w:rFonts w:ascii="Arial" w:cs="Arial" w:eastAsia="Arial" w:hAnsi="Arial"/>
          <w:sz w:val="18"/>
          <w:szCs w:val="18"/>
          <w:color w:val="auto"/>
        </w:rPr>
      </w:pPr>
    </w:p>
    <w:p>
      <w:pPr>
        <w:ind w:left="1060" w:right="380" w:hanging="190"/>
        <w:spacing w:after="0" w:line="23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integrate our platform with e-commerce platforms resulting in reduced attractiveness of our solutions for use by current and future merchants;</w:t>
      </w:r>
    </w:p>
    <w:p>
      <w:pPr>
        <w:spacing w:after="0" w:line="109" w:lineRule="exact"/>
        <w:rPr>
          <w:rFonts w:ascii="Arial" w:cs="Arial" w:eastAsia="Arial" w:hAnsi="Arial"/>
          <w:sz w:val="18"/>
          <w:szCs w:val="18"/>
          <w:color w:val="auto"/>
        </w:rPr>
      </w:pPr>
    </w:p>
    <w:p>
      <w:pPr>
        <w:ind w:left="1060" w:right="140" w:hanging="190"/>
        <w:spacing w:after="0" w:line="23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the functionality of our platform, if real or perceived errors, failures, vulnerabilities, or bugs in our platform abound;</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49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64496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manage our growth effectively;</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forecasting our revenue and evaluating our business and future prospects;</w:t>
      </w:r>
    </w:p>
    <w:p>
      <w:pPr>
        <w:spacing w:after="0" w:line="127" w:lineRule="exact"/>
        <w:rPr>
          <w:rFonts w:ascii="Arial" w:cs="Arial" w:eastAsia="Arial" w:hAnsi="Arial"/>
          <w:sz w:val="18"/>
          <w:szCs w:val="18"/>
          <w:color w:val="auto"/>
        </w:rPr>
      </w:pPr>
    </w:p>
    <w:p>
      <w:pPr>
        <w:ind w:left="1060" w:right="8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expenses continuing to increase in the future, including significant increases in sales and marketing expenses as a result of the issuance of warrants to Shopify;</w:t>
      </w:r>
    </w:p>
    <w:p>
      <w:pPr>
        <w:spacing w:after="0" w:line="109" w:lineRule="exact"/>
        <w:rPr>
          <w:rFonts w:ascii="Arial" w:cs="Arial" w:eastAsia="Arial" w:hAnsi="Arial"/>
          <w:sz w:val="18"/>
          <w:szCs w:val="18"/>
          <w:color w:val="auto"/>
        </w:rPr>
      </w:pPr>
    </w:p>
    <w:p>
      <w:pPr>
        <w:ind w:left="1060" w:right="10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being dependent on operating internationally making us susceptible to risks associated with cross-border sales and operations;</w:t>
      </w:r>
    </w:p>
    <w:p>
      <w:pPr>
        <w:spacing w:after="0" w:line="109" w:lineRule="exact"/>
        <w:rPr>
          <w:rFonts w:ascii="Arial" w:cs="Arial" w:eastAsia="Arial" w:hAnsi="Arial"/>
          <w:sz w:val="18"/>
          <w:szCs w:val="18"/>
          <w:color w:val="auto"/>
        </w:rPr>
      </w:pPr>
    </w:p>
    <w:p>
      <w:pPr>
        <w:ind w:left="1060" w:right="140" w:hanging="190"/>
        <w:spacing w:after="0" w:line="23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as merchant of record for sales conducted using our platform imposes certain obligations and subjects us to certain risks applicable to actors that place products in the market such as product liability, shipping compliance, and waste and packaging compliance;</w:t>
      </w:r>
    </w:p>
    <w:p>
      <w:pPr>
        <w:spacing w:after="0" w:line="108" w:lineRule="exact"/>
        <w:rPr>
          <w:rFonts w:ascii="Arial" w:cs="Arial" w:eastAsia="Arial" w:hAnsi="Arial"/>
          <w:sz w:val="18"/>
          <w:szCs w:val="18"/>
          <w:color w:val="auto"/>
        </w:rPr>
      </w:pPr>
    </w:p>
    <w:p>
      <w:pPr>
        <w:ind w:left="1060" w:right="36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 of shipment services being dependent on third-party providers of cross-docking services for which we have limited redundancy;</w:t>
      </w:r>
    </w:p>
    <w:p>
      <w:pPr>
        <w:spacing w:after="0" w:line="109"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governmental export controls that subject us to liability if we are not in full compliance with applicable laws;</w:t>
      </w:r>
    </w:p>
    <w:p>
      <w:pPr>
        <w:spacing w:after="0" w:line="127" w:lineRule="exact"/>
        <w:rPr>
          <w:rFonts w:ascii="Arial" w:cs="Arial" w:eastAsia="Arial" w:hAnsi="Arial"/>
          <w:sz w:val="18"/>
          <w:szCs w:val="18"/>
          <w:color w:val="auto"/>
        </w:rPr>
      </w:pPr>
    </w:p>
    <w:p>
      <w:pPr>
        <w:ind w:left="1060" w:right="24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the import regulations and restrictions of each country to which we ship merchandise to shoppers and the risk of non-compliance with such regulations;</w:t>
      </w:r>
    </w:p>
    <w:p>
      <w:pPr>
        <w:spacing w:after="0" w:line="109"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our security measures are compromised, our platform may be perceived as not being secure;</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compromise of personal information of our merchants and shoppers we store;</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enhance our reputation and awareness of our platform;</w:t>
      </w:r>
    </w:p>
    <w:p>
      <w:pPr>
        <w:spacing w:after="0" w:line="127" w:lineRule="exact"/>
        <w:rPr>
          <w:rFonts w:ascii="Arial" w:cs="Arial" w:eastAsia="Arial" w:hAnsi="Arial"/>
          <w:sz w:val="18"/>
          <w:szCs w:val="18"/>
          <w:color w:val="auto"/>
        </w:rPr>
      </w:pPr>
    </w:p>
    <w:p>
      <w:pPr>
        <w:ind w:left="1060" w:right="76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dependency upon merchants’ and shoppers’ willingness to use the internet for commerce, and upon merchants continuing to pursue D2C sales as they seek to take advantage of e-commerce trends;</w:t>
      </w:r>
    </w:p>
    <w:p>
      <w:pPr>
        <w:spacing w:after="0" w:line="109" w:lineRule="exact"/>
        <w:rPr>
          <w:rFonts w:ascii="Arial" w:cs="Arial" w:eastAsia="Arial" w:hAnsi="Arial"/>
          <w:sz w:val="18"/>
          <w:szCs w:val="18"/>
          <w:color w:val="auto"/>
        </w:rPr>
      </w:pPr>
    </w:p>
    <w:p>
      <w:pPr>
        <w:ind w:left="1060" w:right="38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diminished demand for our platform and services as a result of changes in laws and regulations related to the internet or changes in the internet infrastructure itself;</w:t>
      </w:r>
    </w:p>
    <w:p>
      <w:pPr>
        <w:spacing w:after="0" w:line="109" w:lineRule="exact"/>
        <w:rPr>
          <w:rFonts w:ascii="Arial" w:cs="Arial" w:eastAsia="Arial" w:hAnsi="Arial"/>
          <w:sz w:val="18"/>
          <w:szCs w:val="18"/>
          <w:color w:val="auto"/>
        </w:rPr>
      </w:pPr>
    </w:p>
    <w:p>
      <w:pPr>
        <w:ind w:left="1060" w:right="32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perceived failure to comply with stringent and changing laws, regulations, standards and contractual obligations related to privacy, data protection and data security;</w:t>
      </w:r>
    </w:p>
    <w:p>
      <w:pPr>
        <w:spacing w:after="0" w:line="109" w:lineRule="exact"/>
        <w:rPr>
          <w:rFonts w:ascii="Arial" w:cs="Arial" w:eastAsia="Arial" w:hAnsi="Arial"/>
          <w:sz w:val="18"/>
          <w:szCs w:val="18"/>
          <w:color w:val="auto"/>
        </w:rPr>
      </w:pPr>
    </w:p>
    <w:p>
      <w:pPr>
        <w:ind w:left="1060" w:right="36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card transactions on our platform subject us to regulatory requirements, additional fees, and other risks that we must spend significant time and effort to comply with or that could harm our business;</w:t>
      </w:r>
    </w:p>
    <w:p>
      <w:pPr>
        <w:spacing w:after="0" w:line="109"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adequately maintain, protect or enforce our intellectual property rights;</w:t>
      </w:r>
    </w:p>
    <w:p>
      <w:pPr>
        <w:spacing w:after="0" w:line="127" w:lineRule="exact"/>
        <w:rPr>
          <w:rFonts w:ascii="Arial" w:cs="Arial" w:eastAsia="Arial" w:hAnsi="Arial"/>
          <w:sz w:val="18"/>
          <w:szCs w:val="18"/>
          <w:color w:val="auto"/>
        </w:rPr>
      </w:pPr>
    </w:p>
    <w:p>
      <w:pPr>
        <w:ind w:left="1060" w:right="560" w:hanging="190"/>
        <w:spacing w:after="0" w:line="23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open source software, which may pose particular risks to our proprietary software, technologies, products and services in a manner that could negatively affect our business; and</w:t>
      </w:r>
    </w:p>
    <w:p>
      <w:pPr>
        <w:spacing w:after="0" w:line="109"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could materially adversely affect our operations.</w:t>
      </w: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30"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We are incorporated in Israel under the Israeli Companies Law, 5759-1999 (the “Companies Law”). Our principal executive offices are located at 25 Basel Street, Petah Tikva 4951038, Israel. Our website address is www.global-e.com, and our telephone number is +972-73-2605078.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75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55753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0" w:lineRule="exact"/>
        <w:rPr>
          <w:sz w:val="20"/>
          <w:szCs w:val="20"/>
          <w:color w:val="auto"/>
        </w:rPr>
      </w:pPr>
    </w:p>
    <w:p>
      <w:pPr>
        <w:ind w:left="340" w:right="60" w:firstLine="527"/>
        <w:spacing w:after="0" w:line="237" w:lineRule="auto"/>
        <w:rPr>
          <w:sz w:val="20"/>
          <w:szCs w:val="20"/>
          <w:color w:val="auto"/>
        </w:rPr>
      </w:pPr>
      <w:r>
        <w:rPr>
          <w:rFonts w:ascii="Arial" w:cs="Arial" w:eastAsia="Arial" w:hAnsi="Arial"/>
          <w:sz w:val="18"/>
          <w:szCs w:val="18"/>
          <w:color w:val="auto"/>
        </w:rPr>
        <w:t>We qualify as an “emerging growth company” pursuant to the Jumpstart Our Business Startups Act of 2012, as amended (the “JOBS Act”). An emerging growth company may take advantage of specified exemptions from various requirements that are otherwise applicable generally to U.S. public companies. These provisions include:</w:t>
      </w:r>
    </w:p>
    <w:p>
      <w:pPr>
        <w:spacing w:after="0" w:line="109" w:lineRule="exact"/>
        <w:rPr>
          <w:sz w:val="20"/>
          <w:szCs w:val="20"/>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27" w:lineRule="exact"/>
        <w:rPr>
          <w:rFonts w:ascii="Arial" w:cs="Arial" w:eastAsia="Arial" w:hAnsi="Arial"/>
          <w:sz w:val="18"/>
          <w:szCs w:val="18"/>
          <w:color w:val="auto"/>
        </w:rPr>
      </w:pPr>
    </w:p>
    <w:p>
      <w:pPr>
        <w:ind w:left="1060" w:right="180" w:hanging="190"/>
        <w:spacing w:after="0" w:line="23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(the “Sarbanes-Oxley Act”) in the assessment of the emerging growth company’s internal control over financial reporting.</w:t>
      </w:r>
    </w:p>
    <w:p>
      <w:pPr>
        <w:spacing w:after="0" w:line="203" w:lineRule="exact"/>
        <w:rPr>
          <w:sz w:val="20"/>
          <w:szCs w:val="20"/>
          <w:color w:val="auto"/>
        </w:rPr>
      </w:pPr>
    </w:p>
    <w:p>
      <w:pPr>
        <w:ind w:left="340" w:right="140" w:firstLine="527"/>
        <w:spacing w:after="0" w:line="237" w:lineRule="auto"/>
        <w:rPr>
          <w:sz w:val="20"/>
          <w:szCs w:val="20"/>
          <w:color w:val="auto"/>
        </w:rPr>
      </w:pPr>
      <w:r>
        <w:rPr>
          <w:rFonts w:ascii="Arial" w:cs="Arial" w:eastAsia="Arial" w:hAnsi="Arial"/>
          <w:sz w:val="18"/>
          <w:szCs w:val="18"/>
          <w:color w:val="auto"/>
        </w:rPr>
        <w:t>The JOBS Act also permits an emerging growth company such as us to delay adopting new or revised accounting standards until such time as those standards are applicable to private companies. We may choose to take advantage of some but not all of these reduced reporting burdens.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4" w:lineRule="exact"/>
        <w:rPr>
          <w:sz w:val="20"/>
          <w:szCs w:val="20"/>
          <w:color w:val="auto"/>
        </w:rPr>
      </w:pPr>
    </w:p>
    <w:p>
      <w:pPr>
        <w:ind w:left="1060" w:hanging="1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revenue of at least $1.07 billion;</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our initial public offering;</w:t>
      </w:r>
    </w:p>
    <w:p>
      <w:pPr>
        <w:spacing w:after="0" w:line="127" w:lineRule="exact"/>
        <w:rPr>
          <w:rFonts w:ascii="Arial" w:cs="Arial" w:eastAsia="Arial" w:hAnsi="Arial"/>
          <w:sz w:val="18"/>
          <w:szCs w:val="18"/>
          <w:color w:val="auto"/>
        </w:rPr>
      </w:pPr>
    </w:p>
    <w:p>
      <w:pPr>
        <w:ind w:left="1060" w:right="40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or</w:t>
      </w:r>
    </w:p>
    <w:p>
      <w:pPr>
        <w:spacing w:after="0" w:line="109" w:lineRule="exact"/>
        <w:rPr>
          <w:rFonts w:ascii="Arial" w:cs="Arial" w:eastAsia="Arial" w:hAnsi="Arial"/>
          <w:sz w:val="18"/>
          <w:szCs w:val="18"/>
          <w:color w:val="auto"/>
        </w:rPr>
      </w:pPr>
    </w:p>
    <w:p>
      <w:pPr>
        <w:ind w:left="1060" w:right="120" w:hanging="190"/>
        <w:spacing w:after="0" w:line="23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Securities Exchange Act of 1934, as amended (the “Exchange Act”), which would occur if the market value of our ordinary shares that are held by non-affiliates exceeds $700 million as of the last business day of our most recently completed second fiscal quarter.</w:t>
      </w:r>
    </w:p>
    <w:p>
      <w:pPr>
        <w:spacing w:after="0" w:line="203"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In addition, we report under the Exchange Act as a “foreign private issuer.” As a foreign private issuer, we may take advantage of certain provisions under The Nasdaq Global Select Market (“Nasdaq”)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10" w:lineRule="exact"/>
        <w:rPr>
          <w:sz w:val="20"/>
          <w:szCs w:val="20"/>
          <w:color w:val="auto"/>
        </w:rPr>
      </w:pPr>
    </w:p>
    <w:p>
      <w:pPr>
        <w:ind w:left="1060" w:right="320" w:hanging="190"/>
        <w:spacing w:after="0" w:line="23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9" w:lineRule="exact"/>
        <w:rPr>
          <w:rFonts w:ascii="Arial" w:cs="Arial" w:eastAsia="Arial" w:hAnsi="Arial"/>
          <w:sz w:val="18"/>
          <w:szCs w:val="18"/>
          <w:color w:val="auto"/>
        </w:rPr>
      </w:pPr>
    </w:p>
    <w:p>
      <w:pPr>
        <w:ind w:left="1060" w:right="200" w:hanging="190"/>
        <w:spacing w:after="0" w:line="23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09" w:lineRule="exact"/>
        <w:rPr>
          <w:rFonts w:ascii="Arial" w:cs="Arial" w:eastAsia="Arial" w:hAnsi="Arial"/>
          <w:sz w:val="18"/>
          <w:szCs w:val="18"/>
          <w:color w:val="auto"/>
        </w:rPr>
      </w:pPr>
    </w:p>
    <w:p>
      <w:pPr>
        <w:ind w:left="1060" w:right="240" w:hanging="190"/>
        <w:spacing w:after="0" w:line="23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U.S. Securities and Exchange Commission (the “SEC”) of quarterly reports containing unaudited financial and other specified information, or current reports upon the occurrence of specified significant events; and</w:t>
      </w:r>
    </w:p>
    <w:p>
      <w:pPr>
        <w:spacing w:after="0" w:line="108" w:lineRule="exact"/>
        <w:rPr>
          <w:rFonts w:ascii="Arial" w:cs="Arial" w:eastAsia="Arial" w:hAnsi="Arial"/>
          <w:sz w:val="18"/>
          <w:szCs w:val="18"/>
          <w:color w:val="auto"/>
        </w:rPr>
      </w:pPr>
    </w:p>
    <w:p>
      <w:pPr>
        <w:ind w:left="1060" w:hanging="19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 Fair Disclosure (“Regulation FD”), which regulates selective disclosures of material information by issuers.</w:t>
      </w: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320" w:top="456" w:right="7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076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20764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firstLine="527"/>
        <w:spacing w:after="0" w:line="236" w:lineRule="auto"/>
        <w:rPr>
          <w:sz w:val="20"/>
          <w:szCs w:val="20"/>
          <w:color w:val="auto"/>
        </w:rPr>
      </w:pPr>
      <w:r>
        <w:rPr>
          <w:rFonts w:ascii="Arial" w:cs="Arial" w:eastAsia="Arial" w:hAnsi="Arial"/>
          <w:sz w:val="18"/>
          <w:szCs w:val="18"/>
          <w:color w:val="auto"/>
        </w:rPr>
        <w:t>Foreign private issuers, like emerging growth companies, also are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202" w:lineRule="exact"/>
        <w:rPr>
          <w:sz w:val="20"/>
          <w:szCs w:val="20"/>
          <w:color w:val="auto"/>
        </w:rPr>
      </w:pPr>
    </w:p>
    <w:p>
      <w:pPr>
        <w:jc w:val="both"/>
        <w:ind w:left="340" w:right="180" w:firstLine="527"/>
        <w:spacing w:after="0" w:line="236"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109" w:lineRule="exact"/>
        <w:rPr>
          <w:sz w:val="20"/>
          <w:szCs w:val="20"/>
          <w:color w:val="auto"/>
        </w:rPr>
      </w:pPr>
    </w:p>
    <w:p>
      <w:pPr>
        <w:ind w:left="1060" w:hanging="19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than 50% of our assets are located in the United States; or</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0"/>
          </w:cols>
          <w:pgMar w:left="320" w:top="456" w:right="7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006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0063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6220" w:type="dxa"/>
            <w:vAlign w:val="bottom"/>
          </w:tcPr>
          <w:p>
            <w:pPr>
              <w:ind w:left="28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441"/>
        </w:trPr>
        <w:tc>
          <w:tcPr>
            <w:tcW w:w="4320" w:type="dxa"/>
            <w:vAlign w:val="bottom"/>
          </w:tcPr>
          <w:p>
            <w:pPr>
              <w:spacing w:after="0"/>
              <w:rPr>
                <w:sz w:val="20"/>
                <w:szCs w:val="20"/>
                <w:color w:val="auto"/>
              </w:rPr>
            </w:pPr>
            <w:r>
              <w:rPr>
                <w:rFonts w:ascii="Arial" w:cs="Arial" w:eastAsia="Arial" w:hAnsi="Arial"/>
                <w:sz w:val="18"/>
                <w:szCs w:val="18"/>
                <w:color w:val="auto"/>
              </w:rPr>
              <w:t>Ordinary shares offered by the selling shareholders</w:t>
            </w:r>
          </w:p>
        </w:tc>
        <w:tc>
          <w:tcPr>
            <w:tcW w:w="6220" w:type="dxa"/>
            <w:vAlign w:val="bottom"/>
            <w:vMerge w:val="restart"/>
          </w:tcPr>
          <w:p>
            <w:pPr>
              <w:ind w:left="1160"/>
              <w:spacing w:after="0"/>
              <w:rPr>
                <w:sz w:val="20"/>
                <w:szCs w:val="20"/>
                <w:color w:val="auto"/>
              </w:rPr>
            </w:pPr>
            <w:r>
              <w:rPr>
                <w:rFonts w:ascii="Arial" w:cs="Arial" w:eastAsia="Arial" w:hAnsi="Arial"/>
                <w:sz w:val="18"/>
                <w:szCs w:val="18"/>
                <w:color w:val="auto"/>
              </w:rPr>
              <w:t>12,000,000 ordinary shares.</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Arial" w:cs="Arial" w:eastAsia="Arial" w:hAnsi="Arial"/>
                <w:sz w:val="18"/>
                <w:szCs w:val="18"/>
                <w:color w:val="auto"/>
              </w:rPr>
              <w:t>Option to purchase additional ordinary shares</w:t>
            </w:r>
          </w:p>
        </w:tc>
        <w:tc>
          <w:tcPr>
            <w:tcW w:w="6220" w:type="dxa"/>
            <w:vAlign w:val="bottom"/>
          </w:tcPr>
          <w:p>
            <w:pPr>
              <w:ind w:left="1160"/>
              <w:spacing w:after="0"/>
              <w:rPr>
                <w:sz w:val="20"/>
                <w:szCs w:val="20"/>
                <w:color w:val="auto"/>
              </w:rPr>
            </w:pPr>
            <w:r>
              <w:rPr>
                <w:rFonts w:ascii="Arial" w:cs="Arial" w:eastAsia="Arial" w:hAnsi="Arial"/>
                <w:sz w:val="18"/>
                <w:szCs w:val="18"/>
                <w:color w:val="auto"/>
              </w:rPr>
              <w:t>The selling shareholders have granted the underwriters an</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6220" w:type="dxa"/>
            <w:vAlign w:val="bottom"/>
          </w:tcPr>
          <w:p>
            <w:pPr>
              <w:ind w:left="1160"/>
              <w:spacing w:after="0" w:line="201" w:lineRule="exact"/>
              <w:rPr>
                <w:sz w:val="20"/>
                <w:szCs w:val="20"/>
                <w:color w:val="auto"/>
              </w:rPr>
            </w:pPr>
            <w:r>
              <w:rPr>
                <w:rFonts w:ascii="Arial" w:cs="Arial" w:eastAsia="Arial" w:hAnsi="Arial"/>
                <w:sz w:val="18"/>
                <w:szCs w:val="18"/>
                <w:color w:val="auto"/>
                <w:w w:val="98"/>
              </w:rPr>
              <w:t>option for a period of 30 days after the date of this prospectus to</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6220" w:type="dxa"/>
            <w:vAlign w:val="bottom"/>
          </w:tcPr>
          <w:p>
            <w:pPr>
              <w:ind w:left="1160"/>
              <w:spacing w:after="0"/>
              <w:rPr>
                <w:sz w:val="20"/>
                <w:szCs w:val="20"/>
                <w:color w:val="auto"/>
              </w:rPr>
            </w:pPr>
            <w:r>
              <w:rPr>
                <w:rFonts w:ascii="Arial" w:cs="Arial" w:eastAsia="Arial" w:hAnsi="Arial"/>
                <w:sz w:val="18"/>
                <w:szCs w:val="18"/>
                <w:color w:val="auto"/>
              </w:rPr>
              <w:t>purchase up to 1,800,000 additional ordinary shares.</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6220" w:type="dxa"/>
            <w:vAlign w:val="bottom"/>
          </w:tcPr>
          <w:p>
            <w:pPr>
              <w:ind w:left="1160"/>
              <w:spacing w:after="0"/>
              <w:rPr>
                <w:sz w:val="20"/>
                <w:szCs w:val="20"/>
                <w:color w:val="auto"/>
              </w:rPr>
            </w:pPr>
            <w:r>
              <w:rPr>
                <w:rFonts w:ascii="Arial" w:cs="Arial" w:eastAsia="Arial" w:hAnsi="Arial"/>
                <w:sz w:val="18"/>
                <w:szCs w:val="18"/>
                <w:color w:val="auto"/>
              </w:rPr>
              <w:t>The selling shareholders will receive all net proceeds from the</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6220" w:type="dxa"/>
            <w:vAlign w:val="bottom"/>
          </w:tcPr>
          <w:p>
            <w:pPr>
              <w:ind w:left="1160"/>
              <w:spacing w:after="0" w:line="201" w:lineRule="exact"/>
              <w:rPr>
                <w:sz w:val="20"/>
                <w:szCs w:val="20"/>
                <w:color w:val="auto"/>
              </w:rPr>
            </w:pPr>
            <w:r>
              <w:rPr>
                <w:rFonts w:ascii="Arial" w:cs="Arial" w:eastAsia="Arial" w:hAnsi="Arial"/>
                <w:sz w:val="18"/>
                <w:szCs w:val="18"/>
                <w:color w:val="auto"/>
                <w:w w:val="98"/>
              </w:rPr>
              <w:t>sale of the ordinary shares to be sold in this offering, and we will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6220" w:type="dxa"/>
            <w:vAlign w:val="bottom"/>
          </w:tcPr>
          <w:p>
            <w:pPr>
              <w:ind w:left="1160"/>
              <w:spacing w:after="0"/>
              <w:rPr>
                <w:sz w:val="20"/>
                <w:szCs w:val="20"/>
                <w:color w:val="auto"/>
              </w:rPr>
            </w:pPr>
            <w:r>
              <w:rPr>
                <w:rFonts w:ascii="Arial" w:cs="Arial" w:eastAsia="Arial" w:hAnsi="Arial"/>
                <w:sz w:val="18"/>
                <w:szCs w:val="18"/>
                <w:color w:val="auto"/>
              </w:rPr>
              <w:t>not receive any of these proceeds. See “Use of Proceeds.”</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Arial" w:cs="Arial" w:eastAsia="Arial" w:hAnsi="Arial"/>
                <w:sz w:val="18"/>
                <w:szCs w:val="18"/>
                <w:color w:val="auto"/>
              </w:rPr>
              <w:t>Risk factors</w:t>
            </w:r>
          </w:p>
        </w:tc>
        <w:tc>
          <w:tcPr>
            <w:tcW w:w="6220" w:type="dxa"/>
            <w:vAlign w:val="bottom"/>
          </w:tcPr>
          <w:p>
            <w:pPr>
              <w:ind w:left="1160"/>
              <w:spacing w:after="0"/>
              <w:rPr>
                <w:sz w:val="20"/>
                <w:szCs w:val="20"/>
                <w:color w:val="auto"/>
              </w:rPr>
            </w:pPr>
            <w:r>
              <w:rPr>
                <w:rFonts w:ascii="Arial" w:cs="Arial" w:eastAsia="Arial" w:hAnsi="Arial"/>
                <w:sz w:val="18"/>
                <w:szCs w:val="18"/>
                <w:color w:val="auto"/>
              </w:rPr>
              <w:t>Investing in our ordinary shares involves a high degree or risk.</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6220" w:type="dxa"/>
            <w:vAlign w:val="bottom"/>
          </w:tcPr>
          <w:p>
            <w:pPr>
              <w:ind w:left="1160"/>
              <w:spacing w:after="0" w:line="201" w:lineRule="exact"/>
              <w:rPr>
                <w:sz w:val="20"/>
                <w:szCs w:val="20"/>
                <w:color w:val="auto"/>
              </w:rPr>
            </w:pPr>
            <w:r>
              <w:rPr>
                <w:rFonts w:ascii="Arial" w:cs="Arial" w:eastAsia="Arial" w:hAnsi="Arial"/>
                <w:sz w:val="18"/>
                <w:szCs w:val="18"/>
                <w:color w:val="auto"/>
              </w:rPr>
              <w:t>See “Risk Factors” and other information included in this</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6220" w:type="dxa"/>
            <w:vAlign w:val="bottom"/>
          </w:tcPr>
          <w:p>
            <w:pPr>
              <w:ind w:left="1160"/>
              <w:spacing w:after="0" w:line="201" w:lineRule="exact"/>
              <w:rPr>
                <w:sz w:val="20"/>
                <w:szCs w:val="20"/>
                <w:color w:val="auto"/>
              </w:rPr>
            </w:pPr>
            <w:r>
              <w:rPr>
                <w:rFonts w:ascii="Arial" w:cs="Arial" w:eastAsia="Arial" w:hAnsi="Arial"/>
                <w:sz w:val="18"/>
                <w:szCs w:val="18"/>
                <w:color w:val="auto"/>
              </w:rPr>
              <w:t>prospectus for a discussion of factors you should carefully</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6220" w:type="dxa"/>
            <w:vAlign w:val="bottom"/>
          </w:tcPr>
          <w:p>
            <w:pPr>
              <w:ind w:left="1160"/>
              <w:spacing w:after="0"/>
              <w:rPr>
                <w:sz w:val="20"/>
                <w:szCs w:val="20"/>
                <w:color w:val="auto"/>
              </w:rPr>
            </w:pPr>
            <w:r>
              <w:rPr>
                <w:rFonts w:ascii="Arial" w:cs="Arial" w:eastAsia="Arial" w:hAnsi="Arial"/>
                <w:sz w:val="18"/>
                <w:szCs w:val="18"/>
                <w:color w:val="auto"/>
              </w:rPr>
              <w:t>consider before deciding to invest in our ordinary shares.</w:t>
            </w:r>
          </w:p>
        </w:tc>
        <w:tc>
          <w:tcPr>
            <w:tcW w:w="0" w:type="dxa"/>
            <w:vAlign w:val="bottom"/>
          </w:tcPr>
          <w:p>
            <w:pPr>
              <w:spacing w:after="0"/>
              <w:rPr>
                <w:sz w:val="1"/>
                <w:szCs w:val="1"/>
                <w:color w:val="auto"/>
              </w:rPr>
            </w:pPr>
          </w:p>
        </w:tc>
      </w:tr>
      <w:tr>
        <w:trPr>
          <w:trHeight w:val="267"/>
        </w:trPr>
        <w:tc>
          <w:tcPr>
            <w:tcW w:w="4320" w:type="dxa"/>
            <w:vAlign w:val="bottom"/>
          </w:tcPr>
          <w:p>
            <w:pPr>
              <w:spacing w:after="0"/>
              <w:rPr>
                <w:sz w:val="20"/>
                <w:szCs w:val="20"/>
                <w:color w:val="auto"/>
              </w:rPr>
            </w:pPr>
            <w:r>
              <w:rPr>
                <w:rFonts w:ascii="Arial" w:cs="Arial" w:eastAsia="Arial" w:hAnsi="Arial"/>
                <w:sz w:val="18"/>
                <w:szCs w:val="18"/>
                <w:color w:val="auto"/>
              </w:rPr>
              <w:t>Nasdaq trading symbol</w:t>
            </w:r>
          </w:p>
        </w:tc>
        <w:tc>
          <w:tcPr>
            <w:tcW w:w="6220" w:type="dxa"/>
            <w:vAlign w:val="bottom"/>
          </w:tcPr>
          <w:p>
            <w:pPr>
              <w:ind w:left="1160"/>
              <w:spacing w:after="0"/>
              <w:rPr>
                <w:sz w:val="20"/>
                <w:szCs w:val="20"/>
                <w:color w:val="auto"/>
              </w:rPr>
            </w:pPr>
            <w:r>
              <w:rPr>
                <w:rFonts w:ascii="Arial" w:cs="Arial" w:eastAsia="Arial" w:hAnsi="Arial"/>
                <w:sz w:val="18"/>
                <w:szCs w:val="18"/>
                <w:color w:val="auto"/>
              </w:rPr>
              <w:t>GLBE.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200" w:firstLine="527"/>
        <w:spacing w:after="0" w:line="239" w:lineRule="auto"/>
        <w:rPr>
          <w:sz w:val="20"/>
          <w:szCs w:val="20"/>
          <w:color w:val="auto"/>
        </w:rPr>
      </w:pPr>
      <w:r>
        <w:rPr>
          <w:rFonts w:ascii="Arial" w:cs="Arial" w:eastAsia="Arial" w:hAnsi="Arial"/>
          <w:sz w:val="18"/>
          <w:szCs w:val="18"/>
          <w:color w:val="auto"/>
        </w:rPr>
        <w:t>The number of our ordinary shares to be outstanding immediately after this offering is based on 145,641,073 ordinary shares outstanding as of June 30, 2021 and excludes:</w:t>
      </w:r>
    </w:p>
    <w:p>
      <w:pPr>
        <w:spacing w:after="0" w:line="109" w:lineRule="exact"/>
        <w:rPr>
          <w:sz w:val="20"/>
          <w:szCs w:val="20"/>
          <w:color w:val="auto"/>
        </w:rPr>
      </w:pPr>
    </w:p>
    <w:p>
      <w:pPr>
        <w:ind w:left="1060" w:right="720" w:hanging="190"/>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12,112,200 ordinary shares issuable upon the exercise of awards outstanding under our equity incentive plans as of June 30, 2021 at a weighted average exercise price of $2.05 per ordinary share;</w:t>
      </w:r>
    </w:p>
    <w:p>
      <w:pPr>
        <w:spacing w:after="0" w:line="109" w:lineRule="exact"/>
        <w:rPr>
          <w:rFonts w:ascii="Arial" w:cs="Arial" w:eastAsia="Arial" w:hAnsi="Arial"/>
          <w:sz w:val="18"/>
          <w:szCs w:val="18"/>
          <w:color w:val="auto"/>
        </w:rPr>
      </w:pPr>
    </w:p>
    <w:p>
      <w:pPr>
        <w:ind w:left="1060" w:right="220" w:hanging="190"/>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175,254 ordinary shares issuable upon the vesting of restricted share units under our equity incentive plans as of June 30, 2021;</w:t>
      </w:r>
    </w:p>
    <w:p>
      <w:pPr>
        <w:spacing w:after="0" w:line="109" w:lineRule="exact"/>
        <w:rPr>
          <w:rFonts w:ascii="Arial" w:cs="Arial" w:eastAsia="Arial" w:hAnsi="Arial"/>
          <w:sz w:val="18"/>
          <w:szCs w:val="18"/>
          <w:color w:val="auto"/>
        </w:rPr>
      </w:pPr>
    </w:p>
    <w:p>
      <w:pPr>
        <w:ind w:left="1060" w:right="280" w:hanging="190"/>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10,865,916 ordinary shares issuable upon exercise of warrants outstanding as of June 30, 2021, with a weighted average exercise price of $0.01 per share; and</w:t>
      </w:r>
    </w:p>
    <w:p>
      <w:pPr>
        <w:spacing w:after="0" w:line="109" w:lineRule="exact"/>
        <w:rPr>
          <w:rFonts w:ascii="Arial" w:cs="Arial" w:eastAsia="Arial" w:hAnsi="Arial"/>
          <w:sz w:val="18"/>
          <w:szCs w:val="18"/>
          <w:color w:val="auto"/>
        </w:rPr>
      </w:pPr>
    </w:p>
    <w:p>
      <w:pPr>
        <w:ind w:left="1060" w:right="280" w:hanging="190"/>
        <w:spacing w:after="0" w:line="23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13,346,196 ordinary shares reserved for future issuance under our equity incentive plans as described in “Management— Share Incentive Plans.”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14" w:lineRule="exact"/>
        <w:rPr>
          <w:sz w:val="20"/>
          <w:szCs w:val="20"/>
          <w:color w:val="auto"/>
        </w:rPr>
      </w:pPr>
    </w:p>
    <w:p>
      <w:pPr>
        <w:ind w:left="1060" w:hanging="1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additional ordinary shares;</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outstanding options or warrants after June 30, 2021; and</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sales of ordinary shares by any of the selling shareholders after June 30, 2021.</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6"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37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53797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0" w:lineRule="exact"/>
        <w:rPr>
          <w:sz w:val="20"/>
          <w:szCs w:val="20"/>
          <w:color w:val="auto"/>
        </w:rPr>
      </w:pPr>
    </w:p>
    <w:p>
      <w:pPr>
        <w:ind w:left="340" w:right="200" w:firstLine="527"/>
        <w:spacing w:after="0" w:line="234" w:lineRule="auto"/>
        <w:rPr>
          <w:sz w:val="20"/>
          <w:szCs w:val="20"/>
          <w:color w:val="auto"/>
        </w:rPr>
      </w:pPr>
      <w:r>
        <w:rPr>
          <w:rFonts w:ascii="Arial" w:cs="Arial" w:eastAsia="Arial" w:hAnsi="Arial"/>
          <w:sz w:val="18"/>
          <w:szCs w:val="18"/>
          <w:color w:val="auto"/>
        </w:rPr>
        <w:t>The following tables present our summary consolidated financial and other data. We prepare our consolidated financial statements in accordance with GAAP. The summary historical consolidated financial data for the years ended December 31, 2018, 2019 and 2020 has been derived from our audited consolidated financial statements, which are included elsewhere in this prospectus. The summary historical consolidated statements of operations data presented below for the six months ended June 30, 2020 and 2021 and the selected consolidated balance sheet data as of June 30, 2021 have been derived from our unaudited consolidated financial statements, which are included elsewhere in this prospectus. In the opinion of management, the unaudited data reflects all adjustments, consisting of normal recurring adjustments, necessary for the fair statement of the financial information in those statements. Our historical results for any prior period are not necessarily indicative of results expected in any future period.</w:t>
      </w:r>
    </w:p>
    <w:p>
      <w:pPr>
        <w:spacing w:after="0" w:line="204" w:lineRule="exact"/>
        <w:rPr>
          <w:sz w:val="20"/>
          <w:szCs w:val="20"/>
          <w:color w:val="auto"/>
        </w:rPr>
      </w:pPr>
    </w:p>
    <w:p>
      <w:pPr>
        <w:ind w:left="340" w:right="720" w:firstLine="527"/>
        <w:spacing w:after="0" w:line="237"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“Management’s Discussion and Analysis of Financial Condition and Results of Operations” and the consolidated financial statements and notes thereto included elsewhere in this prospectus.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 Operations Data:</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8"/>
              </w:rPr>
              <w:t>49,476</w:t>
            </w:r>
          </w:p>
        </w:tc>
        <w:tc>
          <w:tcPr>
            <w:tcW w:w="180" w:type="dxa"/>
            <w:vAlign w:val="bottom"/>
          </w:tcPr>
          <w:p>
            <w:pPr>
              <w:spacing w:after="0"/>
              <w:rPr>
                <w:sz w:val="17"/>
                <w:szCs w:val="17"/>
                <w:color w:val="auto"/>
              </w:rPr>
            </w:pP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98"/>
              </w:rPr>
              <w:t>103,438</w:t>
            </w:r>
          </w:p>
        </w:tc>
        <w:tc>
          <w:tcPr>
            <w:tcW w:w="180" w:type="dxa"/>
            <w:vAlign w:val="bottom"/>
          </w:tcPr>
          <w:p>
            <w:pPr>
              <w:spacing w:after="0"/>
              <w:rPr>
                <w:sz w:val="17"/>
                <w:szCs w:val="17"/>
                <w:color w:val="auto"/>
              </w:rPr>
            </w:pP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38,640</w:t>
            </w:r>
          </w:p>
        </w:tc>
        <w:tc>
          <w:tcPr>
            <w:tcW w:w="16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65,852</w:t>
            </w:r>
          </w:p>
        </w:tc>
        <w:tc>
          <w:tcPr>
            <w:tcW w:w="2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136,375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34,029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67,471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30,050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47,188</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92,902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4980" w:type="dxa"/>
            <w:vAlign w:val="bottom"/>
          </w:tcPr>
          <w:p>
            <w:pPr>
              <w:ind w:left="520"/>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18,664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6,821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11,182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9,541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12,034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15,400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33,117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4,593</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9,838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4980" w:type="dxa"/>
            <w:vAlign w:val="bottom"/>
          </w:tcPr>
          <w:p>
            <w:pPr>
              <w:ind w:left="360"/>
              <w:spacing w:after="0" w:line="201" w:lineRule="exact"/>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3,960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6,988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9,822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14,557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51,350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18,968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23,615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gridSpan w:val="2"/>
          </w:tcPr>
          <w:p>
            <w:pPr>
              <w:ind w:left="200"/>
              <w:spacing w:after="0"/>
              <w:rPr>
                <w:sz w:val="20"/>
                <w:szCs w:val="20"/>
                <w:color w:val="auto"/>
              </w:rPr>
            </w:pPr>
            <w:r>
              <w:rPr>
                <w:rFonts w:ascii="Arial" w:cs="Arial" w:eastAsia="Arial" w:hAnsi="Arial"/>
                <w:sz w:val="18"/>
                <w:szCs w:val="18"/>
                <w:color w:val="auto"/>
              </w:rPr>
              <w:t>Operating profit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Financial expenses, net</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8,129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2,559</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4,339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Profit (loss) before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taxes</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80" w:type="dxa"/>
            <w:vAlign w:val="bottom"/>
            <w:gridSpan w:val="2"/>
          </w:tcPr>
          <w:p>
            <w:pPr>
              <w:ind w:left="200"/>
              <w:spacing w:after="0"/>
              <w:rPr>
                <w:sz w:val="20"/>
                <w:szCs w:val="20"/>
                <w:color w:val="auto"/>
              </w:rPr>
            </w:pPr>
            <w:r>
              <w:rPr>
                <w:rFonts w:ascii="Arial" w:cs="Arial" w:eastAsia="Arial" w:hAnsi="Arial"/>
                <w:sz w:val="18"/>
                <w:szCs w:val="18"/>
                <w:color w:val="auto"/>
              </w:rPr>
              <w:t>Net profit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(23,973)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(7,544)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Pr>
          <w:p>
            <w:pPr>
              <w:spacing w:after="0"/>
              <w:rPr>
                <w:sz w:val="16"/>
                <w:szCs w:val="16"/>
                <w:color w:val="auto"/>
              </w:rPr>
            </w:pPr>
          </w:p>
        </w:tc>
        <w:tc>
          <w:tcPr>
            <w:tcW w:w="4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Undistributed earnings attributable to participating securities</w:t>
            </w:r>
          </w:p>
        </w:tc>
        <w:tc>
          <w:tcPr>
            <w:tcW w:w="5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3,189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gridSpan w:val="2"/>
          </w:tcPr>
          <w:p>
            <w:pPr>
              <w:ind w:left="200"/>
              <w:spacing w:after="0"/>
              <w:rPr>
                <w:sz w:val="20"/>
                <w:szCs w:val="20"/>
                <w:color w:val="auto"/>
              </w:rPr>
            </w:pPr>
            <w:r>
              <w:rPr>
                <w:rFonts w:ascii="Arial" w:cs="Arial" w:eastAsia="Arial" w:hAnsi="Arial"/>
                <w:sz w:val="18"/>
                <w:szCs w:val="18"/>
                <w:color w:val="auto"/>
              </w:rPr>
              <w:t>Net earnings (loss) attributable to ordinary shareholders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0" w:type="dxa"/>
            <w:vAlign w:val="bottom"/>
          </w:tcPr>
          <w:p>
            <w:pPr>
              <w:spacing w:after="0"/>
              <w:rPr>
                <w:sz w:val="16"/>
                <w:szCs w:val="16"/>
                <w:color w:val="auto"/>
              </w:rPr>
            </w:pPr>
          </w:p>
        </w:tc>
        <w:tc>
          <w:tcPr>
            <w:tcW w:w="4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earnings (loss) per ordinary share attributable to ordinary</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shareholders, basic</w:t>
            </w:r>
          </w:p>
        </w:tc>
        <w:tc>
          <w:tcPr>
            <w:tcW w:w="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(0.38)</w:t>
            </w:r>
          </w:p>
        </w:tc>
        <w:tc>
          <w:tcPr>
            <w:tcW w:w="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rPr>
              <w:t>Net earnings (loss) per ordinary share attributable to ordinary</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shareholders, diluted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48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59486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20" w:type="dxa"/>
            <w:vAlign w:val="bottom"/>
            <w:gridSpan w:val="6"/>
          </w:tcPr>
          <w:p>
            <w:pPr>
              <w:jc w:val="center"/>
              <w:ind w:left="22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10"/>
          </w:tcPr>
          <w:p>
            <w:pPr>
              <w:ind w:left="1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2020" w:type="dxa"/>
            <w:vAlign w:val="bottom"/>
            <w:tcBorders>
              <w:bottom w:val="single" w:sz="8" w:color="auto"/>
            </w:tcBorders>
            <w:gridSpan w:val="6"/>
          </w:tcPr>
          <w:p>
            <w:pPr>
              <w:jc w:val="center"/>
              <w:ind w:left="220"/>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w:t>
            </w:r>
          </w:p>
        </w:tc>
        <w:tc>
          <w:tcPr>
            <w:tcW w:w="980" w:type="dxa"/>
            <w:vAlign w:val="bottom"/>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940" w:type="dxa"/>
            <w:vAlign w:val="bottom"/>
            <w:gridSpan w:val="4"/>
          </w:tcPr>
          <w:p>
            <w:pPr>
              <w:jc w:val="right"/>
              <w:ind w:right="9"/>
              <w:spacing w:after="0" w:line="154"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jc w:val="right"/>
              <w:ind w:right="98"/>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71"/>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320" w:type="dxa"/>
            <w:vAlign w:val="bottom"/>
            <w:vMerge w:val="continue"/>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20"/>
                <w:szCs w:val="20"/>
                <w:color w:val="auto"/>
              </w:rPr>
            </w:pPr>
            <w:r>
              <w:rPr>
                <w:rFonts w:ascii="Arial" w:cs="Arial" w:eastAsia="Arial" w:hAnsi="Arial"/>
                <w:sz w:val="14"/>
                <w:szCs w:val="14"/>
                <w:b w:val="1"/>
                <w:bCs w:val="1"/>
                <w:color w:val="auto"/>
              </w:rPr>
              <w:t>share data)</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 average shares used in computing basic</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earnings (loss) per share</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20,686,427</w:t>
            </w:r>
          </w:p>
        </w:tc>
        <w:tc>
          <w:tcPr>
            <w:tcW w:w="1240" w:type="dxa"/>
            <w:vAlign w:val="bottom"/>
            <w:gridSpan w:val="5"/>
            <w:shd w:val="clear" w:color="auto" w:fill="CCEEFF"/>
          </w:tcPr>
          <w:p>
            <w:pPr>
              <w:jc w:val="right"/>
              <w:spacing w:after="0" w:line="201" w:lineRule="exact"/>
              <w:rPr>
                <w:sz w:val="20"/>
                <w:szCs w:val="20"/>
                <w:color w:val="auto"/>
              </w:rPr>
            </w:pPr>
            <w:r>
              <w:rPr>
                <w:rFonts w:ascii="Arial" w:cs="Arial" w:eastAsia="Arial" w:hAnsi="Arial"/>
                <w:sz w:val="18"/>
                <w:szCs w:val="18"/>
                <w:color w:val="auto"/>
              </w:rPr>
              <w:t>54,750,595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19,366,272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8"/>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19,654,276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spacing w:after="0" w:line="201" w:lineRule="exact"/>
              <w:rPr>
                <w:sz w:val="20"/>
                <w:szCs w:val="20"/>
                <w:color w:val="auto"/>
              </w:rPr>
            </w:pPr>
            <w:r>
              <w:rPr>
                <w:rFonts w:ascii="Arial" w:cs="Arial" w:eastAsia="Arial" w:hAnsi="Arial"/>
                <w:sz w:val="18"/>
                <w:szCs w:val="18"/>
                <w:color w:val="auto"/>
              </w:rPr>
              <w:t>21,120,208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line="200" w:lineRule="exact"/>
              <w:rPr>
                <w:sz w:val="20"/>
                <w:szCs w:val="20"/>
                <w:color w:val="auto"/>
              </w:rPr>
            </w:pPr>
            <w:r>
              <w:rPr>
                <w:rFonts w:ascii="Arial" w:cs="Arial" w:eastAsia="Arial" w:hAnsi="Arial"/>
                <w:sz w:val="18"/>
                <w:szCs w:val="18"/>
                <w:color w:val="auto"/>
              </w:rPr>
              <w:t>Weighted average shares used in computing diluted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Arial" w:cs="Arial" w:eastAsia="Arial" w:hAnsi="Arial"/>
                <w:sz w:val="18"/>
                <w:szCs w:val="18"/>
                <w:color w:val="auto"/>
              </w:rPr>
              <w:t>net earnings (loss)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20,686,427</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54,750,595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6"/>
          </w:tcPr>
          <w:p>
            <w:pPr>
              <w:jc w:val="center"/>
              <w:spacing w:after="0"/>
              <w:rPr>
                <w:sz w:val="20"/>
                <w:szCs w:val="20"/>
                <w:color w:val="auto"/>
              </w:rPr>
            </w:pPr>
            <w:r>
              <w:rPr>
                <w:rFonts w:ascii="Arial" w:cs="Arial" w:eastAsia="Arial" w:hAnsi="Arial"/>
                <w:sz w:val="18"/>
                <w:szCs w:val="18"/>
                <w:color w:val="auto"/>
                <w:w w:val="99"/>
              </w:rPr>
              <w:t>19,366,272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8"/>
          </w:tcPr>
          <w:p>
            <w:pPr>
              <w:ind w:left="220"/>
              <w:spacing w:after="0"/>
              <w:rPr>
                <w:sz w:val="20"/>
                <w:szCs w:val="20"/>
                <w:color w:val="auto"/>
              </w:rPr>
            </w:pPr>
            <w:r>
              <w:rPr>
                <w:rFonts w:ascii="Arial" w:cs="Arial" w:eastAsia="Arial" w:hAnsi="Arial"/>
                <w:sz w:val="18"/>
                <w:szCs w:val="18"/>
                <w:color w:val="auto"/>
                <w:w w:val="95"/>
              </w:rPr>
              <w:t>19,654,276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28,637,801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89"/>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gridSpan w:val="4"/>
          </w:tcPr>
          <w:p>
            <w:pPr>
              <w:jc w:val="right"/>
              <w:ind w:right="60"/>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60"/>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11"/>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 Cash Flows Data:</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operating activities</w:t>
            </w:r>
          </w:p>
        </w:tc>
        <w:tc>
          <w:tcPr>
            <w:tcW w:w="1920" w:type="dxa"/>
            <w:vAlign w:val="bottom"/>
            <w:gridSpan w:val="5"/>
          </w:tcPr>
          <w:p>
            <w:pPr>
              <w:jc w:val="right"/>
              <w:ind w:right="240"/>
              <w:spacing w:after="0" w:line="201" w:lineRule="exact"/>
              <w:rPr>
                <w:sz w:val="20"/>
                <w:szCs w:val="20"/>
                <w:color w:val="auto"/>
              </w:rPr>
            </w:pPr>
            <w:r>
              <w:rPr>
                <w:rFonts w:ascii="Arial" w:cs="Arial" w:eastAsia="Arial" w:hAnsi="Arial"/>
                <w:sz w:val="18"/>
                <w:szCs w:val="18"/>
                <w:color w:val="auto"/>
              </w:rPr>
              <w:t>$ (3,162)</w:t>
            </w:r>
          </w:p>
        </w:tc>
        <w:tc>
          <w:tcPr>
            <w:tcW w:w="100" w:type="dxa"/>
            <w:vAlign w:val="bottom"/>
          </w:tcPr>
          <w:p>
            <w:pPr>
              <w:spacing w:after="0"/>
              <w:rPr>
                <w:sz w:val="17"/>
                <w:szCs w:val="17"/>
                <w:color w:val="auto"/>
              </w:rPr>
            </w:pPr>
          </w:p>
        </w:tc>
        <w:tc>
          <w:tcPr>
            <w:tcW w:w="840" w:type="dxa"/>
            <w:vAlign w:val="bottom"/>
            <w:gridSpan w:val="7"/>
          </w:tcPr>
          <w:p>
            <w:pPr>
              <w:jc w:val="right"/>
              <w:ind w:right="20"/>
              <w:spacing w:after="0" w:line="201" w:lineRule="exact"/>
              <w:rPr>
                <w:sz w:val="20"/>
                <w:szCs w:val="20"/>
                <w:color w:val="auto"/>
              </w:rPr>
            </w:pPr>
            <w:r>
              <w:rPr>
                <w:rFonts w:ascii="Arial" w:cs="Arial" w:eastAsia="Arial" w:hAnsi="Arial"/>
                <w:sz w:val="18"/>
                <w:szCs w:val="18"/>
                <w:color w:val="auto"/>
                <w:w w:val="97"/>
              </w:rPr>
              <w:t>$ (13,696)</w:t>
            </w:r>
          </w:p>
        </w:tc>
        <w:tc>
          <w:tcPr>
            <w:tcW w:w="1300" w:type="dxa"/>
            <w:vAlign w:val="bottom"/>
            <w:gridSpan w:val="7"/>
          </w:tcPr>
          <w:p>
            <w:pPr>
              <w:jc w:val="right"/>
              <w:ind w:right="189"/>
              <w:spacing w:after="0" w:line="201" w:lineRule="exact"/>
              <w:rPr>
                <w:sz w:val="20"/>
                <w:szCs w:val="20"/>
                <w:color w:val="auto"/>
              </w:rPr>
            </w:pPr>
            <w:r>
              <w:rPr>
                <w:rFonts w:ascii="Arial" w:cs="Arial" w:eastAsia="Arial" w:hAnsi="Arial"/>
                <w:sz w:val="18"/>
                <w:szCs w:val="18"/>
                <w:color w:val="auto"/>
              </w:rPr>
              <w:t>$ (7,987)</w:t>
            </w:r>
          </w:p>
        </w:tc>
        <w:tc>
          <w:tcPr>
            <w:tcW w:w="80" w:type="dxa"/>
            <w:vAlign w:val="bottom"/>
          </w:tcPr>
          <w:p>
            <w:pPr>
              <w:spacing w:after="0"/>
              <w:rPr>
                <w:sz w:val="17"/>
                <w:szCs w:val="17"/>
                <w:color w:val="auto"/>
              </w:rPr>
            </w:pPr>
          </w:p>
        </w:tc>
        <w:tc>
          <w:tcPr>
            <w:tcW w:w="560" w:type="dxa"/>
            <w:vAlign w:val="bottom"/>
            <w:gridSpan w:val="4"/>
          </w:tcPr>
          <w:p>
            <w:pPr>
              <w:jc w:val="right"/>
              <w:spacing w:after="0" w:line="201" w:lineRule="exact"/>
              <w:rPr>
                <w:sz w:val="20"/>
                <w:szCs w:val="20"/>
                <w:color w:val="auto"/>
              </w:rPr>
            </w:pPr>
            <w:r>
              <w:rPr>
                <w:rFonts w:ascii="Arial" w:cs="Arial" w:eastAsia="Arial" w:hAnsi="Arial"/>
                <w:sz w:val="18"/>
                <w:szCs w:val="18"/>
                <w:color w:val="auto"/>
                <w:w w:val="98"/>
              </w:rPr>
              <w:t>$7,028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29,350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7"/>
                <w:szCs w:val="17"/>
                <w:color w:val="auto"/>
              </w:rPr>
            </w:pPr>
          </w:p>
        </w:tc>
        <w:tc>
          <w:tcPr>
            <w:tcW w:w="840" w:type="dxa"/>
            <w:vAlign w:val="bottom"/>
            <w:gridSpan w:val="7"/>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(74,122)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89"/>
              <w:spacing w:after="0" w:line="201" w:lineRule="exact"/>
              <w:rPr>
                <w:sz w:val="20"/>
                <w:szCs w:val="20"/>
                <w:color w:val="auto"/>
              </w:rPr>
            </w:pPr>
            <w:r>
              <w:rPr>
                <w:rFonts w:ascii="Arial" w:cs="Arial" w:eastAsia="Arial" w:hAnsi="Arial"/>
                <w:sz w:val="18"/>
                <w:szCs w:val="18"/>
                <w:color w:val="auto"/>
                <w:w w:val="98"/>
              </w:rPr>
              <w:t>(1,612)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59,261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6"/>
          </w:tcPr>
          <w:p>
            <w:pPr>
              <w:ind w:left="120"/>
              <w:spacing w:after="0"/>
              <w:rPr>
                <w:sz w:val="20"/>
                <w:szCs w:val="20"/>
                <w:color w:val="auto"/>
              </w:rPr>
            </w:pPr>
            <w:r>
              <w:rPr>
                <w:rFonts w:ascii="Arial" w:cs="Arial" w:eastAsia="Arial" w:hAnsi="Arial"/>
                <w:sz w:val="18"/>
                <w:szCs w:val="18"/>
                <w:color w:val="auto"/>
                <w:w w:val="95"/>
              </w:rPr>
              <w:t>397,156</w:t>
            </w:r>
          </w:p>
        </w:tc>
        <w:tc>
          <w:tcPr>
            <w:tcW w:w="80" w:type="dxa"/>
            <w:vAlign w:val="bottom"/>
          </w:tcPr>
          <w:p>
            <w:pPr>
              <w:spacing w:after="0"/>
              <w:rPr>
                <w:sz w:val="18"/>
                <w:szCs w:val="18"/>
                <w:color w:val="auto"/>
              </w:rPr>
            </w:pPr>
          </w:p>
        </w:tc>
        <w:tc>
          <w:tcPr>
            <w:tcW w:w="1300" w:type="dxa"/>
            <w:vAlign w:val="bottom"/>
            <w:gridSpan w:val="7"/>
          </w:tcPr>
          <w:p>
            <w:pPr>
              <w:jc w:val="right"/>
              <w:ind w:right="249"/>
              <w:spacing w:after="0"/>
              <w:rPr>
                <w:sz w:val="20"/>
                <w:szCs w:val="20"/>
                <w:color w:val="auto"/>
              </w:rPr>
            </w:pPr>
            <w:r>
              <w:rPr>
                <w:rFonts w:ascii="Arial" w:cs="Arial" w:eastAsia="Arial" w:hAnsi="Arial"/>
                <w:sz w:val="18"/>
                <w:szCs w:val="18"/>
                <w:color w:val="auto"/>
              </w:rPr>
              <w:t>19,972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59,360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4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9"/>
          </w:tcPr>
          <w:p>
            <w:pPr>
              <w:ind w:left="1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spacing w:after="0"/>
              <w:rPr>
                <w:sz w:val="13"/>
                <w:szCs w:val="13"/>
                <w:color w:val="auto"/>
              </w:rPr>
            </w:pPr>
          </w:p>
        </w:tc>
        <w:tc>
          <w:tcPr>
            <w:tcW w:w="40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29"/>
              <w:spacing w:after="0" w:line="154"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6"/>
          </w:tcPr>
          <w:p>
            <w:pPr>
              <w:jc w:val="right"/>
              <w:ind w:right="40"/>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Selected Other Data:</w:t>
            </w:r>
          </w:p>
        </w:tc>
        <w:tc>
          <w:tcPr>
            <w:tcW w:w="9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180"/>
              <w:spacing w:after="0" w:line="201" w:lineRule="exact"/>
              <w:rPr>
                <w:sz w:val="20"/>
                <w:szCs w:val="20"/>
                <w:color w:val="auto"/>
              </w:rPr>
            </w:pPr>
            <w:r>
              <w:rPr>
                <w:rFonts w:ascii="Arial" w:cs="Arial" w:eastAsia="Arial" w:hAnsi="Arial"/>
                <w:sz w:val="18"/>
                <w:szCs w:val="18"/>
                <w:color w:val="auto"/>
              </w:rPr>
              <w:t>Gross Merchandise Value (in millions)(1)</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jc w:val="right"/>
              <w:spacing w:after="0" w:line="201" w:lineRule="exact"/>
              <w:rPr>
                <w:sz w:val="20"/>
                <w:szCs w:val="20"/>
                <w:color w:val="auto"/>
              </w:rPr>
            </w:pPr>
            <w:r>
              <w:rPr>
                <w:rFonts w:ascii="Arial" w:cs="Arial" w:eastAsia="Arial" w:hAnsi="Arial"/>
                <w:sz w:val="18"/>
                <w:szCs w:val="18"/>
                <w:color w:val="auto"/>
              </w:rPr>
              <w:t>$ 281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593</w:t>
            </w:r>
          </w:p>
        </w:tc>
        <w:tc>
          <w:tcPr>
            <w:tcW w:w="4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6"/>
          </w:tcPr>
          <w:p>
            <w:pPr>
              <w:jc w:val="right"/>
              <w:spacing w:after="0" w:line="201" w:lineRule="exact"/>
              <w:rPr>
                <w:sz w:val="20"/>
                <w:szCs w:val="20"/>
                <w:color w:val="auto"/>
              </w:rPr>
            </w:pPr>
            <w:r>
              <w:rPr>
                <w:rFonts w:ascii="Arial" w:cs="Arial" w:eastAsia="Arial" w:hAnsi="Arial"/>
                <w:sz w:val="18"/>
                <w:szCs w:val="18"/>
                <w:color w:val="auto"/>
              </w:rPr>
              <w:t>$382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$ 774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Dollar Retention Rate(1)</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153%</w:t>
            </w:r>
          </w:p>
        </w:tc>
        <w:tc>
          <w:tcPr>
            <w:tcW w:w="1020" w:type="dxa"/>
            <w:vAlign w:val="bottom"/>
            <w:gridSpan w:val="9"/>
            <w:shd w:val="clear" w:color="auto" w:fill="CCEEFF"/>
          </w:tcPr>
          <w:p>
            <w:pPr>
              <w:jc w:val="right"/>
              <w:ind w:right="69"/>
              <w:spacing w:after="0" w:line="201" w:lineRule="exact"/>
              <w:rPr>
                <w:sz w:val="20"/>
                <w:szCs w:val="20"/>
                <w:color w:val="auto"/>
              </w:rPr>
            </w:pPr>
            <w:r>
              <w:rPr>
                <w:rFonts w:ascii="Arial" w:cs="Arial" w:eastAsia="Arial" w:hAnsi="Arial"/>
                <w:sz w:val="18"/>
                <w:szCs w:val="18"/>
                <w:color w:val="auto"/>
              </w:rPr>
              <w:t>134%</w:t>
            </w:r>
          </w:p>
        </w:tc>
        <w:tc>
          <w:tcPr>
            <w:tcW w:w="86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Arial" w:cs="Arial" w:eastAsia="Arial" w:hAnsi="Arial"/>
                <w:sz w:val="18"/>
                <w:szCs w:val="18"/>
                <w:color w:val="auto"/>
              </w:rPr>
              <w:t>Adjusted EBITDA(1)(2) (in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7"/>
              </w:rPr>
              <w:t>(10.0)</w:t>
            </w:r>
          </w:p>
        </w:tc>
        <w:tc>
          <w:tcPr>
            <w:tcW w:w="100" w:type="dxa"/>
            <w:vAlign w:val="bottom"/>
          </w:tcPr>
          <w:p>
            <w:pPr>
              <w:spacing w:after="0"/>
              <w:rPr>
                <w:sz w:val="18"/>
                <w:szCs w:val="18"/>
                <w:color w:val="auto"/>
              </w:rPr>
            </w:pPr>
          </w:p>
        </w:tc>
        <w:tc>
          <w:tcPr>
            <w:tcW w:w="800" w:type="dxa"/>
            <w:vAlign w:val="bottom"/>
            <w:gridSpan w:val="7"/>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4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12"/>
          </w:tcPr>
          <w:p>
            <w:pPr>
              <w:jc w:val="right"/>
              <w:ind w:right="12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54"/>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4"/>
          </w:tcPr>
          <w:p>
            <w:pPr>
              <w:spacing w:after="0" w:line="154" w:lineRule="exact"/>
              <w:rPr>
                <w:sz w:val="20"/>
                <w:szCs w:val="20"/>
                <w:color w:val="auto"/>
              </w:rPr>
            </w:pPr>
            <w:r>
              <w:rPr>
                <w:rFonts w:ascii="Arial" w:cs="Arial" w:eastAsia="Arial" w:hAnsi="Arial"/>
                <w:sz w:val="14"/>
                <w:szCs w:val="14"/>
                <w:b w:val="1"/>
                <w:bCs w:val="1"/>
                <w:color w:val="auto"/>
              </w:rPr>
              <w:t>Actual</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2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5"/>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391,008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743,855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78,993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shares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741,594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deficit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(76,681)</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664,862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60" w:right="640" w:hanging="512"/>
        <w:spacing w:after="0" w:line="232"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the definitions of key performance indicators in “Management’s Discussion and Analysis of Financial Condition and Results of Operations—Key Performance Indicators and Other Operating Metrics.”</w:t>
      </w:r>
    </w:p>
    <w:p>
      <w:pPr>
        <w:spacing w:after="0" w:line="1" w:lineRule="exact"/>
        <w:rPr>
          <w:rFonts w:ascii="Arial" w:cs="Arial" w:eastAsia="Arial" w:hAnsi="Arial"/>
          <w:sz w:val="18"/>
          <w:szCs w:val="18"/>
          <w:color w:val="auto"/>
        </w:rPr>
      </w:pPr>
    </w:p>
    <w:p>
      <w:pPr>
        <w:ind w:left="860" w:right="240" w:hanging="512"/>
        <w:spacing w:after="0" w:line="257"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Adjusted EBITDA of $7.6 million and $3.1 million for the three months ended June 30, 2021 and 2020, respectively. Adjusted EBITDA is a supplemental measure of our performance that is not required by, or presented in accordance with, GAAP. Adjusted EBITDA should not be considered as an alternative to net loss as a measure of financial performance.</w:t>
      </w:r>
    </w:p>
    <w:p>
      <w:pPr>
        <w:spacing w:after="0" w:line="80" w:lineRule="exact"/>
        <w:rPr>
          <w:rFonts w:ascii="Arial" w:cs="Arial" w:eastAsia="Arial" w:hAnsi="Arial"/>
          <w:sz w:val="17"/>
          <w:szCs w:val="17"/>
          <w:color w:val="auto"/>
        </w:rPr>
      </w:pPr>
    </w:p>
    <w:p>
      <w:pPr>
        <w:ind w:left="880" w:right="1060"/>
        <w:spacing w:after="0" w:line="239" w:lineRule="auto"/>
        <w:rPr>
          <w:rFonts w:ascii="Arial" w:cs="Arial" w:eastAsia="Arial" w:hAnsi="Arial"/>
          <w:sz w:val="17"/>
          <w:szCs w:val="17"/>
          <w:color w:val="auto"/>
        </w:rPr>
      </w:pPr>
      <w:r>
        <w:rPr>
          <w:rFonts w:ascii="Arial" w:cs="Arial" w:eastAsia="Arial" w:hAnsi="Arial"/>
          <w:sz w:val="18"/>
          <w:szCs w:val="18"/>
          <w:color w:val="auto"/>
        </w:rPr>
        <w:t>We define Adjusted EBITDA as operating profit (loss) adjusted for depreciation and amortization, and stock-based compensation expense. Adjusted EBITDA is included in this prospectus</w:t>
      </w: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579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35794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80" w:right="320"/>
        <w:spacing w:after="0" w:line="236" w:lineRule="auto"/>
        <w:rPr>
          <w:sz w:val="20"/>
          <w:szCs w:val="20"/>
          <w:color w:val="auto"/>
        </w:rPr>
      </w:pPr>
      <w:r>
        <w:rPr>
          <w:rFonts w:ascii="Arial" w:cs="Arial" w:eastAsia="Arial" w:hAnsi="Arial"/>
          <w:sz w:val="18"/>
          <w:szCs w:val="18"/>
          <w:color w:val="auto"/>
        </w:rPr>
        <w:t>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202" w:lineRule="exact"/>
        <w:rPr>
          <w:sz w:val="20"/>
          <w:szCs w:val="20"/>
          <w:color w:val="auto"/>
        </w:rPr>
      </w:pPr>
    </w:p>
    <w:p>
      <w:pPr>
        <w:ind w:left="880"/>
        <w:spacing w:after="0" w:line="234"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loss as a measure of financial performance, as an alternative to cash flows from operations as a measure of liquidity, or as an alternative to any other performance measure derived in accordance with GAAP. Adjusted EBITDA should not be construed as an inference that our future results will be unaffected by unusual or other items. Management compensates for these limitations by relying on our GAAP results in addition to using Adjusted EBITDA as a supplemental measure. Our measure of Adjusted EBITDA is not necessarily comparable to similarly titled captions of other companies due to different methods of calculation.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reconciles Adjusted EBITDA to the most directly comparable GAAP measure:</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Year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560" w:type="dxa"/>
            <w:vAlign w:val="bottom"/>
            <w:tcBorders>
              <w:top w:val="single" w:sz="8" w:color="auto"/>
            </w:tcBorders>
          </w:tcPr>
          <w:p>
            <w:pPr>
              <w:jc w:val="right"/>
              <w:ind w:right="4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8"/>
              <w:spacing w:after="0" w:line="154" w:lineRule="exact"/>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tcBorders>
            <w:gridSpan w:val="2"/>
          </w:tcPr>
          <w:p>
            <w:pPr>
              <w:jc w:val="right"/>
              <w:ind w:right="111"/>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4"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77"/>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8"/>
              </w:rPr>
              <w:t>(19,493)</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890</w:t>
            </w:r>
          </w:p>
        </w:tc>
        <w:tc>
          <w:tcPr>
            <w:tcW w:w="11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$(15,383)</w:t>
            </w: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(10,378)</w:t>
            </w:r>
          </w:p>
        </w:tc>
        <w:tc>
          <w:tcPr>
            <w:tcW w:w="10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$(4,951)</w:t>
            </w:r>
          </w:p>
        </w:tc>
        <w:tc>
          <w:tcPr>
            <w:tcW w:w="2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9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109</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7"/>
                <w:szCs w:val="17"/>
                <w:color w:val="auto"/>
              </w:rPr>
            </w:pP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171</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agreement asset amortization</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25,486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25,486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Stock-based compensation(a)</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1,686</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7,613</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2,685</w:t>
            </w:r>
          </w:p>
        </w:tc>
        <w:tc>
          <w:tcPr>
            <w:tcW w:w="9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$ 12,852</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(9,997)</w:t>
            </w:r>
          </w:p>
        </w:tc>
        <w:tc>
          <w:tcPr>
            <w:tcW w:w="10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(4,559)</w:t>
            </w:r>
          </w:p>
        </w:tc>
        <w:tc>
          <w:tcPr>
            <w:tcW w:w="2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520" w:right="5180" w:hanging="5172"/>
        <w:spacing w:after="0" w:line="500" w:lineRule="auto"/>
        <w:tabs>
          <w:tab w:leader="none" w:pos="8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non-cash share-based compensation expense. 13</w:t>
      </w:r>
    </w:p>
    <w:p>
      <w:pPr>
        <w:sectPr>
          <w:pgSz w:w="11900" w:h="16838" w:orient="portrait"/>
          <w:cols w:equalWidth="0" w:num="1">
            <w:col w:w="10900"/>
          </w:cols>
          <w:pgMar w:left="320" w:top="456"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ordinary shares could decline due to any of these risks, and you may lose all or part of your investment. 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have experienced rapid growth in recent periods. Our revenue was $38.6 million, $65.9 million and $136.4 million for the years ended December 31, 2018, 2019 and 2020, respectively, representing an annual growth of 70.4% and 107.1% for the years ended December 31, 2019 and 2020, respectively. For the six months ended June 30, 2021, we generated revenue of $103.4 million, representing an increase of 109% from $49.5 million for the six months ended June 30, 2020. GMV processed through our platform during the years ended December 31, 2018, 2019 and 2020 was $211 million, $382 million and $ 774 million, respectively, representing an annual growth of 81% and 103% for the years ended December 31, 2019 and 2020, respectively. For the six months ended June 30, 2020, GMV amounted to $592.8 million, representing an increase of 110.6% from $281.4 million for the six months ended June 30, 2020. In future periods, we may not be able to sustain revenue or GMV growth consistent with recent history, or at all.</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our revenue and GMV growth depends on a number of factors, including, but not limited to, our ability to:</w:t>
      </w:r>
    </w:p>
    <w:p>
      <w:pPr>
        <w:spacing w:after="0" w:line="114" w:lineRule="exact"/>
        <w:rPr>
          <w:sz w:val="20"/>
          <w:szCs w:val="20"/>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overall sales volume facilitated by our platform;</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merchant retention rates;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merchants’ e-commerce sales conversion rates;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expand our merchants into new geographies;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new merchants to our platform in existing and new geographies, segments and verticals;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integration with our merchants’ online e-commerce web-stores;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 security, reliability and integrity of our platform;</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compliance with existing and comply with new applicable laws and regulations, including new tax rates and tariffs;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our platform effectively so that we are able to attract and retain merchants;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compete against our current and future competition and competing solutions;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service levels and consistent quality of our platform.</w:t>
      </w:r>
    </w:p>
    <w:p>
      <w:pPr>
        <w:spacing w:after="0" w:line="221"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growth rates may slow and our business could suffer. Further, our rapid growth may make it difficult to evaluate our future prospects. In addition, a portion of our growth in recent periods may be attributed to trends, including</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the increasing adoption of e-commerce, facilitated by the emergence of the COVID-19 pandemic. There is no assurance these trends will continue.</w:t>
      </w:r>
    </w:p>
    <w:p>
      <w:pPr>
        <w:spacing w:after="0" w:line="18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If we are unable to retain our existing merchants, or the GMV generated by such merchants on our platform declines or does not increase, our business, operating results and financial condition could be adversely affected.</w:t>
      </w:r>
    </w:p>
    <w:p>
      <w:pPr>
        <w:spacing w:after="0" w:line="18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Our revenues are correlated with the level of GMV that is processed through our platform and we expect our future revenue growth to be partially driven by increases to our existing merchants’ GMV. We aim to sign contracts with merchants for a minimum term of 12 months and with a minimum committed monthly volume, but our merchants (including our largest merchant, which represented approximately 15% and 12% of total GMV and generated 18% and 16% of our total revenues in the year ended December 31, 2020 and six months ended June 30, 2021, respectively) typically have the right to terminate their agreements for convenience by providing 30 to 180 days prior written notice, and have no obligation to renew their agreements with us after their terms expire. Even if our agreements with the merchants are renewed or not terminated, they may not be renewed on the same or as profitable terms, and may exclude utilization of our shipping services which may reduce our revenues. Although we typically maintain minimum fee arrangements with the merchants, we cannot guarantee that such minimum fees will be commensurate with revenues earned in previous periods. As a result, if existing merchants terminate their agreements with us, renew them on less favorable terms, or otherwise reduce the scope of their activity through our platform, our operating results and financial condition could suffer.</w:t>
      </w:r>
    </w:p>
    <w:p>
      <w:pPr>
        <w:spacing w:after="0" w:line="18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i w:val="1"/>
          <w:iCs w:val="1"/>
          <w:color w:val="auto"/>
        </w:rPr>
        <w:t>The growth of our business depends on our ability to attract new merchants and increase the GMV of transactions processed on our platform.</w:t>
      </w:r>
    </w:p>
    <w:p>
      <w:pPr>
        <w:spacing w:after="0" w:line="180" w:lineRule="exact"/>
        <w:rPr>
          <w:sz w:val="20"/>
          <w:szCs w:val="20"/>
          <w:color w:val="auto"/>
        </w:rPr>
      </w:pPr>
    </w:p>
    <w:p>
      <w:pPr>
        <w:jc w:val="both"/>
        <w:ind w:left="160" w:right="160" w:firstLine="546"/>
        <w:spacing w:after="0" w:line="246" w:lineRule="auto"/>
        <w:rPr>
          <w:sz w:val="20"/>
          <w:szCs w:val="20"/>
          <w:color w:val="auto"/>
        </w:rPr>
      </w:pPr>
      <w:r>
        <w:rPr>
          <w:rFonts w:ascii="Arial" w:cs="Arial" w:eastAsia="Arial" w:hAnsi="Arial"/>
          <w:sz w:val="17"/>
          <w:szCs w:val="17"/>
          <w:color w:val="auto"/>
        </w:rPr>
        <w:t>Our growth strategies include attracting new merchants to our platform and increasing the GMV processed through our platform. There is no guarantee that we can sustain our historical merchant acquisition rates and if we do, that such new merchants will lead to an increase of the GMV processed through our platform or to an increase in our revenues. Our ability to attract new merchants depends on the success of our platform with existing merchants and the success of our sales and marketing efforts, which may not be successful.</w:t>
      </w:r>
    </w:p>
    <w:p>
      <w:pPr>
        <w:spacing w:after="0" w:line="1"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Merchants who are not currently engaged in cross-border e-commerce may not be familiar with our solution and those currently engaged in cross-border e-commerce may use other products or services for their cross-border e-commerce needs. In addition, merchants may develop their own solutions to address their cross-border e-commerce needs, purchase competitive product offerings, or engage third-party providers of services and solutions that do not or will not enable the use of our platform and services. It may be difficult to engage and market to merchants who either do not currently have cross-border e-commerce needs, are unfamiliar with our platform and services, or utilize competing solutions and services for their e-commerce needs. This requires us to spend substantial time, effort and resources assisting merchants in evaluating our platform and services, including providing demonstrations, conducting gap analyses and substantiating the value of our platform and services. Furthermore, engaging and marketing to merchants in segments, verticals or new regions where we do not have a presence may also require effort and resources and may not result in the acquisition of new merchants or in increase of GMV. If merchants do not perceive our offerings to be of sufficiently high value and quality, we may not be able to attract new merchants or increase our GMV and our business, operating results and financial condition could be adversely affected.</w:t>
      </w:r>
    </w:p>
    <w:p>
      <w:pPr>
        <w:spacing w:after="0" w:line="210"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Additionally, even if we are successful in attracting new merchants, they may not generate GMV or revenue at the same rate or scale as our current or historical merchants. If new merchants that we acquire fail to use our platform to the same extent that our existing merchants do, it would reduce the GMV processed on our platform and therefore our revenue, which could materially adversely affect our operating results and our growth.</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320"/>
        <w:spacing w:after="0" w:line="243" w:lineRule="auto"/>
        <w:rPr>
          <w:sz w:val="20"/>
          <w:szCs w:val="20"/>
          <w:color w:val="auto"/>
        </w:rPr>
      </w:pPr>
      <w:r>
        <w:rPr>
          <w:rFonts w:ascii="Arial" w:cs="Arial" w:eastAsia="Arial" w:hAnsi="Arial"/>
          <w:sz w:val="18"/>
          <w:szCs w:val="18"/>
          <w:b w:val="1"/>
          <w:bCs w:val="1"/>
          <w:i w:val="1"/>
          <w:iCs w:val="1"/>
          <w:color w:val="auto"/>
        </w:rPr>
        <w:t>If we fail to develop or acquire new functionality or enhance our existing platform to meet the needs of our current and future merchants, or if we fail to estimate the impact of developing and introducing new functionality or enhanced solutions in response to rapid market or technological changes, our revenue could decline and our expenditures could increase significantly.</w:t>
      </w:r>
    </w:p>
    <w:p>
      <w:pPr>
        <w:spacing w:after="0" w:line="20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e-commerce market is characterized by rapid technological changes, frequent new product and service introductions, evolving industry standards and regulations and changing merchant and shopper preferences. To keep pace with technological and regulatory developments, satisfy increasingly sophisticated merchant and shopper needs, achieve market acceptance and maintain the performance and security of our platform, we must continue to adapt, enhance and improve our platform and existing services and we must also continue to introduce new functionality to our platform. Any new solutions or functionality we develop or acquire may not be introduced in a timely manner and may not achieve the broad market acceptance necessary to generate significant revenue. If we are unable to successfully develop or acquire new solutions or enhance our existing solutions, our business, operating results and financial condition could be adversely affected.</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to incur significant expenses to develop additional solutions and functionalities and to integrate any acquired solutions or functionalities into our existing platform to maintain our competitive position. These efforts may not result in commercially viable solutions. We may experience difficulties with software development, industry standards, threats to the security and integrity of our technological infrastructure, design, manufacturing or marketing that could delay or prevent our development, introduction or implementation of new solutions and enhancements. If we do not receive significant revenue from these investments, our business, operating results and financial condition could be adversely affected. Merchants may require customized integrations, or features and functions that we do not yet offer or do not intend to offer, which may cause them to choose a competing solution. If we fail to develop solutions that satisfy merchant and shoppers’ preferences in a timely and cost-effective manner, our ability to renew our contracts with existing merchants and our ability to create or increase demand for our platform could be harmed, and our business, operating results and financial condition could be materially adversely affected.</w:t>
      </w:r>
    </w:p>
    <w:p>
      <w:pPr>
        <w:spacing w:after="0" w:line="180"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We may not be able to successfully compete against current and future competition or other competing solutions, and we may need to change our pricing and model to remain competitive.</w:t>
      </w:r>
    </w:p>
    <w:p>
      <w:pPr>
        <w:spacing w:after="0" w:line="18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face increasing competition in the market of cross-border e-commerce, and we expect competition and alternative and competing solutions to intensify in the future. Increased competition could lead to a decrease in the GMV processed through our platform and could reduce our revenue or margins, any of which could negatively affect our business, financial condition and results of operations. A number of competitive factors could cause merchants to cease using or decline to use our platform and services, or could reduce the transaction volume that they process through our platform, including, among others:</w:t>
      </w:r>
    </w:p>
    <w:p>
      <w:pPr>
        <w:spacing w:after="0" w:line="110" w:lineRule="exact"/>
        <w:rPr>
          <w:sz w:val="20"/>
          <w:szCs w:val="20"/>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merchants may choose to develop cross-border e-commerce capabilities internally or choose competing solutions;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merchants may merge with or be acquired by companies using a competing solution or an internally-developed solution;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solutions may be offered as part of a bundle of e-commerce services;</w:t>
      </w:r>
    </w:p>
    <w:p>
      <w:pPr>
        <w:spacing w:after="0" w:line="127" w:lineRule="exact"/>
        <w:rPr>
          <w:rFonts w:ascii="Arial" w:cs="Arial" w:eastAsia="Arial" w:hAnsi="Arial"/>
          <w:sz w:val="18"/>
          <w:szCs w:val="18"/>
          <w:color w:val="auto"/>
        </w:rPr>
      </w:pPr>
    </w:p>
    <w:p>
      <w:pPr>
        <w:ind w:left="920" w:right="160" w:hanging="218"/>
        <w:spacing w:after="0" w:line="23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current and potential competition and competing solutions may adopt more aggressive pricing policies, offer more attractive sales terms, adapt more quickly to new technologies and changes in merchant requirements or devote greater resources to the promotion and sale of their products and solutions than we can; and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340" w:hanging="218"/>
        <w:spacing w:after="0" w:line="268"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current and potential competition may merge or establish cooperative relationships among themselves or with third parties to enhance their products, solutions and expand their markets, forming alliances that rapidly acquire significant market share.</w:t>
      </w:r>
    </w:p>
    <w:p>
      <w:pPr>
        <w:spacing w:after="0" w:line="179"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We cannot assure that we will be able to compete successfully against current and future competition or competing solutions. If we cannot compete successfully against our current and future competition or such competing solutions, our business, operating results and financial condition could be materially and negatively impacted.</w:t>
      </w:r>
    </w:p>
    <w:p>
      <w:pPr>
        <w:spacing w:after="0" w:line="20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In addition, as new or existing competing solutions may be offered in competitive prices, we may be unable to retain existing merchants or attract new merchants. Mid-market and large enterprise merchants may demand substantial price discounts as part of the negotiation of contracts. As a result, we could be required to choose either to reduce our prices or otherwise change our pricing model, or both, which could adversely affect our business, operating results, and financial condition.</w:t>
      </w:r>
    </w:p>
    <w:p>
      <w:pPr>
        <w:spacing w:after="0" w:line="180"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We cannot be certain that we will realize the benefits of strategic alliances, joint ventures or partnership arrangements, including with third-party e-commerce platforms. Any failure to manage such strategic alliances, partnerships or joint ventures, or to integrate them with our existing or future business, could have a material adverse effect on us.</w:t>
      </w:r>
    </w:p>
    <w:p>
      <w:pPr>
        <w:spacing w:after="0" w:line="194"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We have entered into partnership arrangements, and in the future may consider opportunities to enter into additional arrangements or strategic alliances that may be beneficial for our operations and the growth of our platform. Our ability to grow through these types of partnerships is subject to a number of risks, including unanticipated costs associated with strategic alliances, issues conforming to standards, procedures and contractual requirements, and diversion of management’s attention from our existing business. For example, we have entered into a Services and Partnership Agreement with Shopify Inc. and its affiliate (“Shopify”), dated April 12, 2021 (the “Services and Partnership Agreement”), making our platform services available to certain Shopify merchants through Shopify’s e-commerce platform. Entering into such relationship with Shopify will require us to incur non-recurring and other charges, significantly increase our near and long-term expenditures, including payment to Shopify of a fee equal to a percentage of the GMV for all transactions processed through our platform for applicable Shopify merchants, that may negatively impact our margins, and issue securities that may dilute our existing shareholders. The potential benefits of our relationship with Shopify are hard to estimate or quantify at this time, and we cannot be certain that our arrangement with Shopify will provide the revenue or net income that justifies such a transaction.</w:t>
      </w:r>
    </w:p>
    <w:p>
      <w:pPr>
        <w:spacing w:after="0" w:line="199"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The Services and Partnership Agreement is terminable by either party immediately upon notice of certain events, subject to applicable cure periods, or without cause upon prior notice. Any termination of the Services and Partnership Agreement could have a material adverse effect on our business, financial condition or results of operations. In addition, Shopify is permitted to offer its own white label or branded merchant of record solution to any merchants without limitation. These risks could apply to any similar arrangement we may enter into, and any potential future collaborations may be similarly terminable by our collaborators.</w:t>
      </w:r>
    </w:p>
    <w:p>
      <w:pPr>
        <w:spacing w:after="0" w:line="182"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b w:val="1"/>
          <w:bCs w:val="1"/>
          <w:i w:val="1"/>
          <w:iCs w:val="1"/>
          <w:color w:val="auto"/>
        </w:rPr>
        <w:t>The success of our business model is reliant on our ability to integrate our platform with third-party e-commerce platforms, our ability to operate according to such third parties’ terms of use and integration requirements, and our ability to maintain any partnership that we have entered into or may enter into with such third parties. Inability or failure to do so would reduce the attractiveness of our solutions for use by current and future merchants.</w:t>
      </w:r>
    </w:p>
    <w:p>
      <w:pPr>
        <w:spacing w:after="0" w:line="20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Merchants sometimes carry out e-commerce activity through third-party e-commerce platforms, such as Salesforce Commerce Cloud, Shopify, BigCommerce, Magento Commerce, SAP/Hybris,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WooCommerce, PrestaShop and others. Our ability to attract merchants that utilize such platforms to conduct their e-commerce activity is contingent on our ability to integrate our solutions into the e-commerce platforms they use. Each of the companies that operates these e-commerce platforms dictates the terms of use of its respective platform, including the manner and procedure by which we integrate to their platform. To the extent any such operators offer or promote alternative products or solutions or would limit or prevent merchants from utilizing our platform, our business, financial condition or results of operations could be materially and adversely affected.</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Some of these companies also demand that certain certification processes are satisfied prior to implementing an integration into the e-commerce platform they operate. Compliance with such terms may subject us to waiting periods due to certification and onboarding processes and may require us to modify aspects of our platform’s functionality in order to fit applicable technical standards. While we exert substantial efforts to maintain compliance, and although notice of changes and instructions are typically provided in advance, the terms of use and requirements may change unilaterally at the discretion of the e-commerce platform, and none of our efforts as a result would be sufficient. If we fail to maintain certification or compliance, the willingness of merchants to adopt or continue to use our solutions may be by reduced.</w:t>
      </w:r>
    </w:p>
    <w:p>
      <w:pPr>
        <w:spacing w:after="0" w:line="206"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 addition, in the event that our solutions do not integrate optimally with third-party e-commerce platforms, leading to errors, defects, disruption or other performance problems, shoppers’ experience will be adversely affected, our reputation may be harmed and our ability to achieve and maintain growth among merchants on the e-commerce platforms would be adversely affected.</w:t>
      </w:r>
    </w:p>
    <w:p>
      <w:pPr>
        <w:spacing w:after="0" w:line="203"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We have recently entered into the Services and Partnership Agreement. If we are unable to perform under the Services and Partnership Agreement, fail to maintain our relationship with Shopify, or the Services and Partnership Agreement is otherwise terminated for any reason, our business, financial condition and results of operation could be materially and adversely effected.</w:t>
      </w:r>
    </w:p>
    <w:p>
      <w:pPr>
        <w:spacing w:after="0" w:line="18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If we are not successful in maintaining the functionality of our platform or if real or perceived errors, failures, vulnerabilities, or bugs in our platform abound, our business, results of operations, and financial condition could be adversely affected.</w:t>
      </w:r>
    </w:p>
    <w:p>
      <w:pPr>
        <w:spacing w:after="0" w:line="18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Any errors, defects, or disruptions in our platform, or other performance problems with our platform could harm our reputation and may damage the businesses of our merchants. Our platform could contain undetected errors, “bugs” or misconfigurations that could adversely affect its performance. Additionally, we regularly update and enhance our platform and introduce new versions of our platform and service. These updates may contain undetected errors when introduced or released, which may cause disruptions in our services and may reduce merchants and shoppers satisfaction. Our continued growth depends in part on our ability to maintain the existing functionality of our platform and services, meet our service levels, prevent down time and degradation of services on our platform for both merchants and shoppers. Failure to do so may result in damage to our reputation which may have an adverse effect on our business and results of operation.</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experienced in the past and may in the future experience disruptions, data loss, outages, and other performance problems with our infrastructure due to a variety of factors, including infrastructure changes, introductions of new functionality, human or software errors, capacity constraints, denial-of-service attacks, ransomware attacks, or other security-related incidents. In some instances, we may not be able to identify the cause or causes of these performance problems immediately or in short order. We may not be able to maintain the level of service uptime and performance required by merchants, especially during peak usage times as traffic and volumes increase. Since our merchants rely on our platform to carry out cross-border e-commerce on an ongoing basis, any outage on our platform would have a direct adverse impact on our merchants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business. Our merchants may seek compensation from us for any losses they suffer or cease conducting business with us altogether. Further, a merchant could share information about bad experiences, which could result in damage to our reputation and loss of current and future sales. There can be no assurance that provisions typically included in our contracts with our merchants that attempt to limit our exposure to claims would be enforceable or adequate or would otherwise protect us from liabilities or damages with respect to any particular claim. Even if not successful, a claim brought against us by any of our merchants would likely be time-consuming and costly to defend and could seriously damage our reputation and harm our ability to attract new merchants to our platform.</w:t>
      </w:r>
    </w:p>
    <w:p>
      <w:pPr>
        <w:spacing w:after="0" w:line="180"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profitability.</w:t>
      </w:r>
    </w:p>
    <w:p>
      <w:pPr>
        <w:spacing w:after="0" w:line="18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Although we realized net income of $3.9 million for the year ended December 31, 2020, we incurred significant net losses in previous years, including net losses of $11.6 million and $7.6 million for the years ended December 31, 2018 and, 2019, respectively, and incurred a net loss of $24.0 million for the six months ended June 30, 2021. Because the market for our platform and services is rapidly evolving, it is difficult for us to predict our future results of operations or the limits of our market opportunity. As a result of our entry into the Services and Partnership Agreement and the related issuance of warrants to purchase 19,604,239 ordinary shares to Shopify, we will recognize a commercial agreement asset which will be recognized upon the vesting of the warrants, and will be amortized over time. This has resulted in increased sales and marketing expenses and the reporting of a net loss for the six months ended June 30, 2021 and we expect this will continue to result in significant increases to sales and marketing expenses in future periods and the reporting of net losses for such periods. We also expect our operating expenses to significantly increase over the next several years as we hire additional personnel, expand into new geographies, expand our partnerships, operations, and infrastructure, continue to enhance our platform, develop and expand its features, integrations and capabilities, expand and improve our service offering and increase our spending on sales and marketing. We intend to continue to build and enhance our platform through internal research and development and we may also selectively pursue acquisitions. In addition, as a public company, we will continue to incur additional significant legal, accounting, and other expenses that we did not incur as a private company. If we are unable to maintain revenues high enough to offset the expected increases in our operating expenses, we will not be profitable in future periods.</w:t>
      </w:r>
    </w:p>
    <w:p>
      <w:pPr>
        <w:spacing w:after="0" w:line="187"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service and merchants satisfaction.</w:t>
      </w:r>
    </w:p>
    <w:p>
      <w:pPr>
        <w:spacing w:after="0" w:line="18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technological, operational and financial resources. For example, our headcount has grown from 289 employees as at December 31, 2020 to 365 employees as at June 30, 2021. We have established international offices, including offices in Israel, the US, the UK, France and Japan and we plan to continue to expand our international operations into other countries in the future. We have also experienced significant growth in both the number of merchants and the number of transactions facilitated by our platform. For example, during the year ended December 31, 2020, approximately 4.6 million transactions were processed through our platform, generating in the aggregate $774 million of GMV, representing an increase of 103% relative to the GMV for the year ended December 31, 2019. Additionally, our organizational structure is becoming more complex as we scale our technological, operational, financial and management controls as well as our reporting systems and procedures.</w:t>
      </w:r>
    </w:p>
    <w:p>
      <w:pPr>
        <w:spacing w:after="0" w:line="203"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grow and adapt to our developing needs in these areas without undermining our culture, which has been central to our growth so far. If we fail to manage our anticipated growth and change in a manner that preserves the key aspects of our corporate culture, the quality of our platform and services may suffer, which could negatively affect merchants and shoppers and as a result our reputation.</w:t>
      </w:r>
    </w:p>
    <w:p>
      <w:pPr>
        <w:spacing w:after="0" w:line="181" w:lineRule="exact"/>
        <w:rPr>
          <w:sz w:val="20"/>
          <w:szCs w:val="20"/>
          <w:color w:val="auto"/>
        </w:rPr>
      </w:pPr>
    </w:p>
    <w:p>
      <w:pPr>
        <w:ind w:left="160" w:right="440"/>
        <w:spacing w:after="0" w:line="265" w:lineRule="auto"/>
        <w:rPr>
          <w:sz w:val="20"/>
          <w:szCs w:val="20"/>
          <w:color w:val="auto"/>
        </w:rPr>
      </w:pPr>
      <w:r>
        <w:rPr>
          <w:rFonts w:ascii="Arial" w:cs="Arial" w:eastAsia="Arial" w:hAnsi="Arial"/>
          <w:sz w:val="18"/>
          <w:szCs w:val="18"/>
          <w:b w:val="1"/>
          <w:bCs w:val="1"/>
          <w:i w:val="1"/>
          <w:iCs w:val="1"/>
          <w:color w:val="auto"/>
        </w:rPr>
        <w:t>Our operations are subject to seasonal fluctuations. If we fail to accommodate increased volumes during peak seasons and events, our results of operations may be adversely affected.</w:t>
      </w:r>
    </w:p>
    <w:p>
      <w:pPr>
        <w:spacing w:after="0" w:line="18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business is seasonal in nature and the fourth quarter is a significant period for our operating results. Our revenue is correlated with the level of GMV that our merchants generate through our platform, and our merchants typically process additional GMV in the fourth quarter, which includes Black Friday, Cyber Monday and the holiday season and other peak events included in the e-commerce calendar, such as Chinese Singles’ Day and Thanksgiving. In the years ended December 31, 2018, 2019 and 2020, fourth quarter GMV represented approximately 37%, 38% and 39%, respectively, of our total GMV. As a result, GMV and accordingly our revenue will generally decline in the first quarter of each year relative to the fourth quarter of the previous year.</w:t>
      </w: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Any disruption in our ability to process and ship shopper orders, especially during the fourth quarter, could have a negative effect on our quarterly and annual operating results. Surges in volumes during peak periods may strain our technological infrastructure, logistics channels, shopper and merchant support activities as well as our third-party service providers. Inability of any of these components to process increased volumes may prevent us from efficiently processing and shipping orders, which may reduce our GMV and the attractiveness of our platform.</w:t>
      </w:r>
    </w:p>
    <w:p>
      <w:pPr>
        <w:spacing w:after="0" w:line="204" w:lineRule="exact"/>
        <w:rPr>
          <w:sz w:val="20"/>
          <w:szCs w:val="20"/>
          <w:color w:val="auto"/>
        </w:rPr>
      </w:pPr>
    </w:p>
    <w:p>
      <w:pPr>
        <w:jc w:val="both"/>
        <w:ind w:left="160" w:right="160" w:firstLine="546"/>
        <w:spacing w:after="0" w:line="237" w:lineRule="auto"/>
        <w:rPr>
          <w:sz w:val="20"/>
          <w:szCs w:val="20"/>
          <w:color w:val="auto"/>
        </w:rPr>
      </w:pPr>
      <w:r>
        <w:rPr>
          <w:rFonts w:ascii="Arial" w:cs="Arial" w:eastAsia="Arial" w:hAnsi="Arial"/>
          <w:sz w:val="18"/>
          <w:szCs w:val="18"/>
          <w:color w:val="auto"/>
        </w:rPr>
        <w:t>Any disruption to our operations or the operations of our merchants, our shipping and logistics partners, or other service providers could lead to a material decrease in GMV or revenues relative to our expectations for the fourth quarter which could result in a significant shortfall in revenue and operating cash flows for the full year.</w:t>
      </w:r>
    </w:p>
    <w:p>
      <w:pPr>
        <w:spacing w:after="0" w:line="181" w:lineRule="exact"/>
        <w:rPr>
          <w:sz w:val="20"/>
          <w:szCs w:val="20"/>
          <w:color w:val="auto"/>
        </w:rPr>
      </w:pPr>
    </w:p>
    <w:p>
      <w:pPr>
        <w:ind w:left="160" w:right="620"/>
        <w:spacing w:after="0" w:line="265"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revenue and evaluate our business and future prospects, especially in light of the COVID-19 pandemic and its impact on consumer behavior.</w:t>
      </w:r>
    </w:p>
    <w:p>
      <w:pPr>
        <w:spacing w:after="0" w:line="180" w:lineRule="exact"/>
        <w:rPr>
          <w:sz w:val="20"/>
          <w:szCs w:val="20"/>
          <w:color w:val="auto"/>
        </w:rPr>
      </w:pPr>
    </w:p>
    <w:p>
      <w:pPr>
        <w:ind w:left="160" w:right="300" w:firstLine="546"/>
        <w:spacing w:after="0" w:line="236" w:lineRule="auto"/>
        <w:rPr>
          <w:sz w:val="20"/>
          <w:szCs w:val="20"/>
          <w:color w:val="auto"/>
        </w:rPr>
      </w:pPr>
      <w:r>
        <w:rPr>
          <w:rFonts w:ascii="Arial" w:cs="Arial" w:eastAsia="Arial" w:hAnsi="Arial"/>
          <w:sz w:val="18"/>
          <w:szCs w:val="18"/>
          <w:color w:val="auto"/>
        </w:rPr>
        <w:t>We launched our operations in 2013 and our growth has occurred primarily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 addition, while our ongoing operations are impacted by the COVID-19 pandemic and its related restrictions, the onset of the COVID-19 pandemic has greatly accelerated existing trends of shoppers moving online and merchants prioritizing digital channels and D2C, due in part to the shutdown of bricks-and-mortar stores, social distancing measures and travel restrictions which have diverted spending previously conducted in physical stores to the online space. Consumers diverting spending to online stores and e-commerce platforms, as well as merchants recognizing the importance of either transitioning to e-commerce or supplementing their existing efforts with an e-commerce offering, has created a substantial growth opportunity for us to service this newfound demand and interest in both e-commerce generally and cross-border e-commerce specifically. Although to date, the COVID-19 pandemic has had a generally positive impact on our growth and business, there is an uncertainty regarding future developments and whether the increased e-commerce adoption resulting from the COVID-19 pandemic will continue. It is possible that the growth in GMV and revenues in recent periods may not be indicative of future results.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Accordingly, we may be unable to prepare accurate internal financial forecasts or replace anticipated revenue that we do not receive as a result of these factors. If we do not address these risks successfully, our results of operations could differ materially from our estimates and forecasts or the expectations of investors, causing our business to suffer and our ordinary share price to decline.</w:t>
      </w:r>
    </w:p>
    <w:p>
      <w:pPr>
        <w:spacing w:after="0" w:line="181" w:lineRule="exact"/>
        <w:rPr>
          <w:sz w:val="20"/>
          <w:szCs w:val="20"/>
          <w:color w:val="auto"/>
        </w:rPr>
      </w:pPr>
    </w:p>
    <w:p>
      <w:pPr>
        <w:ind w:left="160" w:right="480"/>
        <w:spacing w:after="0" w:line="265" w:lineRule="auto"/>
        <w:rPr>
          <w:sz w:val="20"/>
          <w:szCs w:val="20"/>
          <w:color w:val="auto"/>
        </w:rPr>
      </w:pPr>
      <w:r>
        <w:rPr>
          <w:rFonts w:ascii="Arial" w:cs="Arial" w:eastAsia="Arial" w:hAnsi="Arial"/>
          <w:sz w:val="18"/>
          <w:szCs w:val="18"/>
          <w:b w:val="1"/>
          <w:bCs w:val="1"/>
          <w:i w:val="1"/>
          <w:iCs w:val="1"/>
          <w:color w:val="auto"/>
        </w:rPr>
        <w:t>Failure to effectively expand our marketing and sales capabilities could harm our ability to increase our merchant base and achieve broader market acceptance of our platform.</w:t>
      </w:r>
    </w:p>
    <w:p>
      <w:pPr>
        <w:spacing w:after="0" w:line="18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ability to increase our merchant base and achieve broader market acceptance of our platform will depend on our ability to expand our marketing and sales operations. We plan to continue expanding our sales force and our reliance on strategic partners. We also plan to dedicate significant resources to sales and marketing programs, including search engine and online advertising. Our business and operating results will be harmed if our sales and marketing efforts do not generate a corresponding increase in GMV and revenue. We may not achieve anticipated GMV and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Furthermore, if the cost of marketing our platform increases, our business and operating results could be adversely affected.</w:t>
      </w:r>
    </w:p>
    <w:p>
      <w:pPr>
        <w:spacing w:after="0" w:line="182" w:lineRule="exact"/>
        <w:rPr>
          <w:sz w:val="20"/>
          <w:szCs w:val="20"/>
          <w:color w:val="auto"/>
        </w:rPr>
      </w:pPr>
    </w:p>
    <w:p>
      <w:pPr>
        <w:ind w:left="160" w:right="680"/>
        <w:spacing w:after="0" w:line="265" w:lineRule="auto"/>
        <w:rPr>
          <w:sz w:val="20"/>
          <w:szCs w:val="20"/>
          <w:color w:val="auto"/>
        </w:rPr>
      </w:pPr>
      <w:r>
        <w:rPr>
          <w:rFonts w:ascii="Arial" w:cs="Arial" w:eastAsia="Arial" w:hAnsi="Arial"/>
          <w:sz w:val="18"/>
          <w:szCs w:val="18"/>
          <w:b w:val="1"/>
          <w:bCs w:val="1"/>
          <w:i w:val="1"/>
          <w:iCs w:val="1"/>
          <w:color w:val="auto"/>
        </w:rPr>
        <w:t>Lengthy sales cycles with enterprise merchants make it difficult to predict our future revenue and cause variability in our operating results.</w:t>
      </w:r>
    </w:p>
    <w:p>
      <w:pPr>
        <w:spacing w:after="0" w:line="18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sales cycle can vary substantially from merchant to merchant, but with enterprise merchants it typically requires 12 to 16 weeks on average. Our ability to accurately forecast revenue is affected by our ability to forecast new merchant acquisition. Lengthy sales cycles make it difficult to predict the quarter in which revenue from a new merchant may first be recognized. If we overestimate new merchant growth, our revenue will not grow as quickly as our estimates, our costs and expenses may continue to exceed our revenue and our ability to become profitable will be harmed. In addition, we plan our operating expenses, including sales and marketing expenses, and our hiring needs in part on our forecasts of new merchant growth and future revenue. If new merchant growth or revenue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181"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Our long-term success depends on our ability to operate internationally, making us susceptible to risks associated with cross-border sales and operations.</w:t>
      </w:r>
    </w:p>
    <w:p>
      <w:pPr>
        <w:spacing w:after="0" w:line="18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currently support cross-border transactions of merchants in multiple countries of origin, mainly the United States, the United Kingdom, France and other Western European markets, to shoppers in over 200 destination markets and territories and settle transactions in more than 100 currencies. We aim to expand our operations to support more outbound countries, and reach new markets and geographies. Conducting international operations subjects us to risks and burdens which include:</w:t>
      </w:r>
    </w:p>
    <w:p>
      <w:pPr>
        <w:spacing w:after="0" w:line="109" w:lineRule="exact"/>
        <w:rPr>
          <w:sz w:val="20"/>
          <w:szCs w:val="20"/>
          <w:color w:val="auto"/>
        </w:rPr>
      </w:pPr>
    </w:p>
    <w:p>
      <w:pPr>
        <w:ind w:left="920" w:right="104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localize our solutions, including product customizations and adaptation for local practices and regulatory requirements;</w:t>
      </w:r>
    </w:p>
    <w:p>
      <w:pPr>
        <w:spacing w:after="0" w:line="109" w:lineRule="exact"/>
        <w:rPr>
          <w:rFonts w:ascii="Arial" w:cs="Arial" w:eastAsia="Arial" w:hAnsi="Arial"/>
          <w:sz w:val="18"/>
          <w:szCs w:val="18"/>
          <w:color w:val="auto"/>
        </w:rPr>
      </w:pPr>
    </w:p>
    <w:p>
      <w:pPr>
        <w:ind w:left="920" w:right="20" w:hanging="218"/>
        <w:spacing w:after="0" w:line="235"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heightened exposure to fraud;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uncertainty in foreign countries with less developed legal systems;</w:t>
      </w:r>
    </w:p>
    <w:p>
      <w:pPr>
        <w:spacing w:after="0" w:line="127"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exchange rates that may increase our foreign exchange exposure;</w:t>
      </w:r>
    </w:p>
    <w:p>
      <w:pPr>
        <w:spacing w:after="0" w:line="12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tax laws (including with respect to value added taxes) and restrictions on the repatriation of earnings;</w:t>
      </w:r>
    </w:p>
    <w:p>
      <w:pPr>
        <w:spacing w:after="0" w:line="109" w:lineRule="exact"/>
        <w:rPr>
          <w:rFonts w:ascii="Arial" w:cs="Arial" w:eastAsia="Arial" w:hAnsi="Arial"/>
          <w:sz w:val="18"/>
          <w:szCs w:val="18"/>
          <w:color w:val="auto"/>
        </w:rPr>
      </w:pPr>
    </w:p>
    <w:p>
      <w:pPr>
        <w:ind w:left="920" w:right="120" w:hanging="218"/>
        <w:spacing w:after="0" w:line="236"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likelihood of potential or actual violations of domestic and international anti-money laundering laws and anticorruption laws, such as the U.S. Foreign Corrupt Practices Act and the U.K. Bribery Act, which correlates with the scope of our sales and operations in foreign jurisdictions and operations in certain industries, such that an increase in such operations would increase risk of non-compliance with the aforementioned laws;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 political and economic climates in foreign markets;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and staffing operations over a broader geographic area with varying cultural norms and customs;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varying levels of internet, e-commerce and mobile technology adoption and infrastructure;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27"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liabilities related to compliance with the numerous and ever-growing landscape of international data privacy and cybersecurity regimes, many of which involve disparate standards and enforcement approaches;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data privacy laws which may require that merchant and/or shopper data be processed and stored in a designated territory.</w:t>
      </w:r>
    </w:p>
    <w:p>
      <w:pPr>
        <w:spacing w:after="0" w:line="221"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third-party services, such as shipping partners and payment providers, in our platform and services.</w:t>
      </w:r>
    </w:p>
    <w:p>
      <w:pPr>
        <w:spacing w:after="0" w:line="230"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We rely on third parties, such as our shipping partners, to deliver products from the merchants to the shoppers.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and adverse weather conditions, or other adverse changes related to such third-party services, including as a result of the COVID-19 pandemic or the measures attempting to contain and mitigate the effects thereof, could increase our costs and disrupt our operations and our ability to deliver products from the merchants to our shoppers on the timing they expect or at all. The failure of our shipping partners to provide quality customer service when delivering products to shoppers would adversely affect the merchants and our</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relationship with the merchants which in turn could negatively impact our business and operating results. Furthermore, we rely on third parties to process payments and we cannot guarantee that such providers will perform adequately. Errors made by, or delays in service from, such third-party providers could adversely affect our ability to process payments and process purchases by shoppers on our platform in a timely manner or at all, which could adversely affect our business, operating results and financial condition.</w:t>
      </w:r>
    </w:p>
    <w:p>
      <w:pPr>
        <w:spacing w:after="0" w:line="202" w:lineRule="exact"/>
        <w:rPr>
          <w:sz w:val="20"/>
          <w:szCs w:val="20"/>
          <w:color w:val="auto"/>
        </w:rPr>
      </w:pPr>
    </w:p>
    <w:p>
      <w:pPr>
        <w:ind w:left="160" w:right="340" w:firstLine="546"/>
        <w:spacing w:after="0" w:line="235" w:lineRule="auto"/>
        <w:rPr>
          <w:sz w:val="20"/>
          <w:szCs w:val="20"/>
          <w:color w:val="auto"/>
        </w:rPr>
      </w:pPr>
      <w:r>
        <w:rPr>
          <w:rFonts w:ascii="Arial" w:cs="Arial" w:eastAsia="Arial" w:hAnsi="Arial"/>
          <w:sz w:val="18"/>
          <w:szCs w:val="18"/>
          <w:color w:val="auto"/>
        </w:rPr>
        <w:t>Our success will depend on our ability to build and maintain relationships with these and other third-party service providers on commercially reasonable terms. If we are unable to build and maintain such relationships on commercially reasonable terms, we may have to suspend or cease operations. Even if we are able to build and maintain such relationships, if these third parties are unable to deliver their services on a timely basis, shoppers could become dissatisfied and decline to make future purchases from the merchants, which would adversely affect our revenue. If the merchants become dissatisfied with the services provided by these third parties, our reputation and our business could suffer.</w:t>
      </w:r>
    </w:p>
    <w:p>
      <w:pPr>
        <w:spacing w:after="0" w:line="180"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b w:val="1"/>
          <w:bCs w:val="1"/>
          <w:i w:val="1"/>
          <w:iCs w:val="1"/>
          <w:color w:val="auto"/>
        </w:rPr>
        <w:t>Operating as merchant of record for sales conducted using our platform imposes certain obligations and subjects us to certain risks applicable to actors that place products in the market such as product liability, shipping compliance, and waste and packaging compliance.</w:t>
      </w:r>
    </w:p>
    <w:p>
      <w:pPr>
        <w:spacing w:after="0" w:line="19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business model and activities are predicated upon our operating as the merchant of record (“MoR”) of the products sold through our platform. As a result of us being identified as a seller rather than the merchants, we could bear responsibility for the products and may be liable for product liability claims brought by our shoppers or other third parties, and we may be subject to various regulatory compliance requirements, such as waste and packaging compliance. Although we have policies in place crafted to ensure compliance and reduce risk of such liabilities, for example by avoiding the sale of products that we determine to be “high risk,” and although our commercial arrangements with the merchants typically require the merchants to cover such liabilities, it is possible that we may be subject to product liability or other compliance regulations or litigation and may incur various related costs which may or may not be fully covered by our contractual arrangements or insurance coverage. Furthermore, any actual or alleged non-compliance on our part in a specific geography may not be treated by local authorities as an isolated event. Heightened scrutiny by local authorities in a specific geography could impede our local activities irrespective of the product vertical or merchant from which the products originated.</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As MoR, we could be adversely affected if the packages provided by the merchants do not contain the correct articles ordered by the shopper, or if articles and the packages provided by the merchants are not shipped in compliance with applicable rules or do not contain all requisite documentation for cross-border shipping. Failure to ensure such compliance may result in shipping delays or diminished shopper satisfaction, result in confiscation or destruction of articles and payment of additional costs, fines or assessments from our fulfillment partners and other third parties, which in turn may adversely affect our results of operations.</w:t>
      </w:r>
    </w:p>
    <w:p>
      <w:pPr>
        <w:spacing w:after="0" w:line="204"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While merchandise is in our possession, we bear the risk of loss. While the majority of merchants are responsible for transporting the goods to our facilities, certain of our merchant agreements require us to take possession of products for an extended period of time. To the extent that products are damaged, lost or stolen during the period in which we bear the risk of loss, our business may be adversely affected.</w:t>
      </w:r>
    </w:p>
    <w:p>
      <w:pPr>
        <w:spacing w:after="0" w:line="180"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Our provision of shipping services is dependent on third-party providers of cross-docking services for which we have limited redundancy. To the extent that we may be unable to secure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comparable services in the countries in which we operate, the ongoing operation of our business may be adversely affected.</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countries in which we operate, we rely on third-party providers of “cross-docking services” to collect, sort and prepare for cross-border shipping the products sold by merchants through our platform. We generally employ a single provider of cross-docking services in each of our outbound markets due to a paucity of providers and minimum volume requirements imposed by such providers. Our ability to ship products in a timely manner is dependent on our ability to secure cross-docking services and in the event that we cannot secure them in specific geographies, or are unable to secure them at competitive prices or with adequate service reliability and availability, our operations may be adversely affected. Moreover, if a cross-docking service provider fails to provide the service, our operations will be adversely affected until such time that we are able to shift to an alternative provider.</w:t>
      </w:r>
    </w:p>
    <w:p>
      <w:pPr>
        <w:spacing w:after="0" w:line="184"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Payment transactions through our e-commerce platform subject us to regulatory requirements, additional fees, and other risks that could be costly and difficult to comply with or that could harm our business.</w:t>
      </w:r>
    </w:p>
    <w:p>
      <w:pPr>
        <w:spacing w:after="0" w:line="18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business depends on our ability to process a wide range of payment methods, including credit and debit cards, as well as other alternative payment methods and this ability is facilitated by the payment card and alternative payment networks. We do not directly acquire the payment card networks that enable our acceptance of payment cards and alternative payment methods. As a result, we must rely on banks, acquiring processors and other third-party payment processors to process transactions on our behalf. These third parties perform the card processing, currency exchange, identity verification and fraud analysis services. These third parties may fail or refuse to process transactions adequately, may breach their agreements with us, or may refuse to renegotiate or renew these agreements on terms that are favorable or commercially reasonable. They might also take actions that degrade the functionality of our services, impose additional costs or requirements on us, or give preferential treatment to competitive competing services, including their own services. If we are unsuccessful in establishing, renegotiating or maintaining mutually beneficial relationships with these payment card networks, banks and acquiring processors, our business may be harmed.</w:t>
      </w:r>
    </w:p>
    <w:p>
      <w:pPr>
        <w:spacing w:after="0" w:line="202" w:lineRule="exact"/>
        <w:rPr>
          <w:sz w:val="20"/>
          <w:szCs w:val="20"/>
          <w:color w:val="auto"/>
        </w:rPr>
      </w:pPr>
    </w:p>
    <w:p>
      <w:pPr>
        <w:ind w:left="160" w:right="20" w:firstLine="546"/>
        <w:spacing w:after="0" w:line="248" w:lineRule="auto"/>
        <w:rPr>
          <w:sz w:val="20"/>
          <w:szCs w:val="20"/>
          <w:color w:val="auto"/>
        </w:rPr>
      </w:pPr>
      <w:r>
        <w:rPr>
          <w:rFonts w:ascii="Arial" w:cs="Arial" w:eastAsia="Arial" w:hAnsi="Arial"/>
          <w:sz w:val="17"/>
          <w:szCs w:val="17"/>
          <w:color w:val="auto"/>
        </w:rPr>
        <w:t>We are required by our third-party payment processors to comply with payment card network operating rules, including the Payment Card Industry Data Security Standard (“PCI DSS”), and we have agreed to reimburse our payment processors for any fees or fines that they are assessed by payment card networks as a result of any rule violations by us or our merchants. The payment card schemes have discretion to determine, change and interpret the card rules, and our third-party payment processors are required to assess our compliance with the card scheme rules, and may make assessments or determinations that are unfavorable to our business model. In past assessments of us operating as MoR, we demonstrated our compliance with MoR operating rules and demonstrated that we should not be subject to compliance with other operating rules (e.g. such as those applicable to “payment facilitators”). There is no assurance that the third-party payment processors or their payment card networks will not re-evaluate that conclusion, or make a different determination in the future. If such third-party payment processors or their payment card networks were to determine that we must comply with other operating rules, we may be subject to additional regulations, might incur higher compliance costs, and may be required to modify certain aspects of our platform and service offering in order to maintain compliance, which may have an adverse impact on our business.</w:t>
      </w:r>
    </w:p>
    <w:p>
      <w:pPr>
        <w:spacing w:after="0" w:line="199"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If we fail to comply with the payment card network rules, we would be in breach of our contractual obligations to our third-party payment processors, financial institutions, partners and merchants. Such failure to comply may subject us to fines, penalties, damages, higher transaction fees and civil liability, and could eventually prevent us from processing or accepting payment methods or could lead to a loss of a third-party payment processor. Further, there is no guarantee that, even if we are in compliance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with such rules or requirements, such compliance will prevent illegal or improper use of our payment systems or the theft, loss, or misuse of data pertaining to credit and debit cards, credit and debit card holders, and credit and debit card transactions.</w:t>
      </w:r>
    </w:p>
    <w:p>
      <w:pPr>
        <w:spacing w:after="0" w:line="203"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In addition, we face the risk that one or more payment card networks or other third-party payment processors may, at any time, assess penalties against us or our merchants, or terminate our ability to accept credit card payments or other forms of online payments from shoppers, which would have an adverse effect on our business, financial condition and operating results.</w:t>
      </w:r>
    </w:p>
    <w:p>
      <w:pPr>
        <w:spacing w:after="0" w:line="18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b w:val="1"/>
          <w:bCs w:val="1"/>
          <w:i w:val="1"/>
          <w:iCs w:val="1"/>
          <w:color w:val="auto"/>
        </w:rPr>
        <w:t>We are subject to governmental export controls that may subject us to liability if we are not in full compliance with applicable economic sanctions and export control laws.</w:t>
      </w:r>
    </w:p>
    <w:p>
      <w:pPr>
        <w:spacing w:after="0" w:line="18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activities are subject to certain economic sanctions and export control laws and regulations that prohibit or restrict transactions or dealings with certain countries, regions, governments and persons targeted by U.S., Israel, E.U. or other applicable jurisdictions’ embargoes or sanctions. As a result, we bear the responsibility for ensuring that transactions processed through our platform are conducted in compliance with such laws and regulations. U.S., Israel and E.U. sanctions may change from time to time, and the countries, regions, governments and persons that are sanctioned by each jurisdiction may be different. Ensuring compliance with applicable export control laws and regulations requires ongoing efforts and resources. Identifying commerce with, or sales made to, sanctioned countries or denied parties and obtaining export licenses or other authorizations for a particular product sale may be time-consuming and may result in the delay or loss of sales opportunities even if the export license ultimately may be granted. We generally apply precautions to prevent sales to sanctioned countries and denied parties, such as screening against listed denied parties and blocking sales at the point of checkout; however, we cannot guarantee that the precautions we take will prevent all violations of applicable export control and sanctions laws. We are aware that certain sales of immaterial value and volume made by certain of our non-Israeli merchants through our platform, operated by one or more of our non-Israeli subsidiaries, to a specific country (not sanctioned under U.S. or E.U. laws), as to which country we apply the foregoing precautions, are not in compliance with certain Israeli export laws. Violations of U.S., Israeli or E.U. sanctions or export control laws may result in penalties and significant fines and possible incarceration of responsible employees and managers could be imposed for criminal violations of these laws.</w:t>
      </w:r>
    </w:p>
    <w:p>
      <w:pPr>
        <w:spacing w:after="0" w:line="209"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If our carriers and brokers fail to file or obtain appropriate import, export or re-export declarations,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jc w:val="both"/>
        <w:ind w:left="160" w:right="240"/>
        <w:spacing w:after="0" w:line="249" w:lineRule="auto"/>
        <w:rPr>
          <w:sz w:val="20"/>
          <w:szCs w:val="20"/>
          <w:color w:val="auto"/>
        </w:rPr>
      </w:pPr>
      <w:r>
        <w:rPr>
          <w:rFonts w:ascii="Arial" w:cs="Arial" w:eastAsia="Arial" w:hAnsi="Arial"/>
          <w:sz w:val="18"/>
          <w:szCs w:val="18"/>
          <w:b w:val="1"/>
          <w:bCs w:val="1"/>
          <w:i w:val="1"/>
          <w:iCs w:val="1"/>
          <w:color w:val="auto"/>
        </w:rPr>
        <w:t>We are subject to the import regulations and restrictions of each country to which we ship merchandise and non-compliance with such regulations may subject us to liability and may impede our ability to provide services in specific geographies in the future.</w:t>
      </w:r>
    </w:p>
    <w:p>
      <w:pPr>
        <w:spacing w:after="0" w:line="19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Import and export regulations and restrictions vary by country, product and quantity and require costly resources in order to ensure compliance. While we take precautions in order to avoid non-compliance with these restrictions, including focusing on products that carry lower inherent risk of being subject to import/export restrictions and avoiding highly regulated industries, some of the products offered using our platform may be subject to such restrictions. For example, the United States Food and Drug Administration regulates the import of sunglasses as medical devices, and the Australian Department of Agriculture regulates the import of timber, wood articles or bamboo related products. Non-compliance with the local import rules and restrictions applicable to such products may cause our products to be detained, confiscated, or destroyed at the port of entry.</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6"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addition, because we operate as MoR, in the event that we are flagged by a specific country due to non-compliance with import restrictions applicable to a specific product or vertical our ability to continue to import such product in the future may be impeded, regardless of the identity of the merchant from which the product originates. If our service offerings are curtailed to exclude the import of whole verticals to specific countries, or if we are barred from importing products of any vertical to specific countries, our GMV attributable to such destination markets may decrease, our reputation will be harmed, and our platform will become less attractive to our current and future merchants.</w:t>
      </w:r>
    </w:p>
    <w:p>
      <w:pPr>
        <w:spacing w:after="0" w:line="180" w:lineRule="exact"/>
        <w:rPr>
          <w:sz w:val="20"/>
          <w:szCs w:val="20"/>
          <w:color w:val="auto"/>
        </w:rPr>
      </w:pPr>
    </w:p>
    <w:p>
      <w:pPr>
        <w:ind w:left="160" w:right="920"/>
        <w:spacing w:after="0" w:line="265" w:lineRule="auto"/>
        <w:rPr>
          <w:sz w:val="20"/>
          <w:szCs w:val="20"/>
          <w:color w:val="auto"/>
        </w:rPr>
      </w:pPr>
      <w:r>
        <w:rPr>
          <w:rFonts w:ascii="Arial" w:cs="Arial" w:eastAsia="Arial" w:hAnsi="Arial"/>
          <w:sz w:val="18"/>
          <w:szCs w:val="18"/>
          <w:b w:val="1"/>
          <w:bCs w:val="1"/>
          <w:i w:val="1"/>
          <w:iCs w:val="1"/>
          <w:color w:val="auto"/>
        </w:rPr>
        <w:t>Our business relies on the personal importation model and its applicability to the products provided to shoppers. Any modification of the rules, requirements or applicability of this model may adversely affect our business.</w:t>
      </w:r>
    </w:p>
    <w:p>
      <w:pPr>
        <w:spacing w:after="0" w:line="180"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products provided by the merchants to shoppers are shipped to and imported by the shopper for personal rather than commercial use. Each country determines its own rules and criteria for an import to qualify as importation for personal use, and determines which, if any, licenses, certifications, registrations, fees, quantity limitations and obligations apply to such an import. In the event that certain countries modify their personal importation rules, or impose additional compliance requirements or limitations related to this form of import, it could have an adverse effect on the cross-border e-commerce market as a whole, and may reduce the demand for cross-border e-commerce purchases. This in turn would reduce the demand for our platform and services and have an adverse effect on our business and result of operations.</w:t>
      </w:r>
    </w:p>
    <w:p>
      <w:pPr>
        <w:spacing w:after="0" w:line="184"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b w:val="1"/>
          <w:bCs w:val="1"/>
          <w:i w:val="1"/>
          <w:iCs w:val="1"/>
          <w:color w:val="auto"/>
        </w:rPr>
        <w:t>We store personal information of merchants and shoppers. 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p>
    <w:p>
      <w:pPr>
        <w:spacing w:after="0" w:line="20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operations involve the storage and transmission of data, including personal information and other confidential information of our third-party providers, merchants and shoppers. Third-party applications that we rely on for provision of certain services, such as acquiring processors, may also store personal information, credit card information, and other confidential information. Cyberattacks and other malicious internet-based activity continue to increase, and cloud-based platform providers of services are expected to continue to be targeted. Threats include traditional computer “hackers,” malicious code (such as viruses and worms), employee theft or misuse and denial-of-service attacks. Sophisticated nation-states and nation-state supported actors now engage in such attacks, including advanced persistent threat intrusions. Although we do not store payment card information, hackers and adverse third parties may mistake us for the merchants, causing them to target us in order to obtain payment card information. Despite significant efforts to create security barriers to such threats, it is virtually impossible for us to entirely mitigate these risks. If our security measures are compromised as a result of third-party action, employee or merchant error, malfeasance, stolen or fraudulently obtained log-in credentials, technical malfunction or otherwise, our reputation could be damaged, our business may be harmed, and we could incur significant liability (including, but not limited to, fines imposed by data privacy authorities). Moreover, many companies that provide cloud-based services have reported a significant increase in cyberattack activity since the beginning of the COVID-19 pandemic.</w:t>
      </w:r>
    </w:p>
    <w:p>
      <w:pPr>
        <w:spacing w:after="0" w:line="21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Because the techniques used to obtain unauthorized access or sabotage systems change frequently and generally are not identified until they are launched against a target, we may be unable to anticipate these techniques or to implement adequate preventative measures. Additionally, because we rely on third-party and public-cloud infrastructure, we are reliant in part on third-party security measures to protect against unauthorized access, cyberattacks, and the mishandling of shopper and merchant data. Even if such a data breach did not arise out of our action or inaction, or if it were to</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49" w:lineRule="auto"/>
        <w:rPr>
          <w:sz w:val="20"/>
          <w:szCs w:val="20"/>
          <w:color w:val="auto"/>
        </w:rPr>
      </w:pPr>
      <w:r>
        <w:rPr>
          <w:rFonts w:ascii="Arial" w:cs="Arial" w:eastAsia="Arial" w:hAnsi="Arial"/>
          <w:sz w:val="17"/>
          <w:szCs w:val="17"/>
          <w:color w:val="auto"/>
        </w:rPr>
        <w:t>affect our competition rather than us, the resulting concern could negatively affect merchants, shoppers and our business. Concerns regarding data privacy and security may cause some of our merchants to stop using our platform and fail to renew their agreements with us. In addition, failures to meet merchants’ or shoppers’ expectations with respect to security and confidentiality of their data and information could damage our reputation and affect our ability to retain merchants, attract new merchants, and grow our business. Furthermore, failure to comply with legal or contractual requirements around the security of personal information could lead to significant fines and penalties, as well as claims by merchants and shoppers.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spacing w:after="0" w:line="196" w:lineRule="exact"/>
        <w:rPr>
          <w:sz w:val="20"/>
          <w:szCs w:val="20"/>
          <w:color w:val="auto"/>
        </w:rPr>
      </w:pPr>
    </w:p>
    <w:p>
      <w:pPr>
        <w:ind w:left="160" w:right="800" w:firstLine="546"/>
        <w:spacing w:after="0" w:line="239" w:lineRule="auto"/>
        <w:rPr>
          <w:sz w:val="20"/>
          <w:szCs w:val="20"/>
          <w:color w:val="auto"/>
        </w:rPr>
      </w:pPr>
      <w:r>
        <w:rPr>
          <w:rFonts w:ascii="Arial" w:cs="Arial" w:eastAsia="Arial" w:hAnsi="Arial"/>
          <w:sz w:val="18"/>
          <w:szCs w:val="18"/>
          <w:color w:val="auto"/>
        </w:rPr>
        <w:t>A cybersecurity event could have significant costs, including regulatory enforcement actions, litigation, litigation indemnity obligations, remediation costs, network downtime, increases in insurance premiums, and reputational damage.</w:t>
      </w:r>
    </w:p>
    <w:p>
      <w:pPr>
        <w:spacing w:after="0" w:line="181" w:lineRule="exact"/>
        <w:rPr>
          <w:sz w:val="20"/>
          <w:szCs w:val="20"/>
          <w:color w:val="auto"/>
        </w:rPr>
      </w:pPr>
    </w:p>
    <w:p>
      <w:pPr>
        <w:ind w:left="160" w:right="680"/>
        <w:spacing w:after="0" w:line="265"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or internet service providers could impair our platform and our business could suffer.</w:t>
      </w:r>
    </w:p>
    <w:p>
      <w:pPr>
        <w:spacing w:after="0" w:line="180" w:lineRule="exact"/>
        <w:rPr>
          <w:sz w:val="20"/>
          <w:szCs w:val="20"/>
          <w:color w:val="auto"/>
        </w:rPr>
      </w:pPr>
    </w:p>
    <w:p>
      <w:pPr>
        <w:jc w:val="both"/>
        <w:ind w:left="160" w:right="240" w:firstLine="546"/>
        <w:spacing w:after="0" w:line="237" w:lineRule="auto"/>
        <w:rPr>
          <w:sz w:val="20"/>
          <w:szCs w:val="20"/>
          <w:color w:val="auto"/>
        </w:rPr>
      </w:pPr>
      <w:r>
        <w:rPr>
          <w:rFonts w:ascii="Arial" w:cs="Arial" w:eastAsia="Arial" w:hAnsi="Arial"/>
          <w:sz w:val="18"/>
          <w:szCs w:val="18"/>
          <w:color w:val="auto"/>
        </w:rPr>
        <w:t>We rely on the internet and, accordingly, depend upon the continuous, reliable, and secure operation of internet servers, related hardware and software, and network infrastructure. Any damage to, failure or delay of our systems would prevent us from operating our business.</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host our platform using third-party data centers and providers of cloud infrastructure services. We currently use one third-party provider for these data and cloud services. Our operations depend on protecting the virtual cloud infrastructure hosted by this cloud services provider by maintaining its configuration, architecture, and interconnection specifications, as well as the information stored in these virtual data centers and transmitted by third-party internet service providers. Furthermore, we have no physical access to or control over the services provided by our cloud services provider. Although we have disaster recovery plans that utilize multiple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our data, or prevent us from being able to continuously back up or record changes in our platform. In the event of significant physical damage to one of these data centers, it may take a significant period of time to achieve full resumption of our services, we may incur data loss during the service resumption process and our disaster recovery planning may not account for all eventualities. Further, a prolonged service disruption to our cloud services provider, affecting our platform for any of the foregoing reasons could damage our reputation with current and potential organizations, expose us to liability, cause us to lose merchants and shoppers, or otherwise harm our business. We may also incur significant costs for using alternative equipment or taking other actions in preparation for, or in reaction to, events that damage the systems we use. Damage or interruptions to these data centers could harm our business. Moreover, negative publicity arising from these types of disruptions could damage our reputation and may adversely impact use of our solutions and platform. We may not carry sufficient business interruption insurance to compensate us for losses that may occur as a result of any events that cause interruptions in our service. Further, the contractual commitments that we provide to merchants on our platform as well as our third-party providers with regard to data privacy are limited by the commitments that our third-party cloud infrastructure services provider has provided us.</w:t>
      </w:r>
    </w:p>
    <w:p>
      <w:pPr>
        <w:spacing w:after="0" w:line="208"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Our cloud services provider enables us to order and reserve server capacity in varying amounts and sizes distributed across multiple regions. In addition, our cloud services provider provides us with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computing and storage capacity pursuant to terms of service that continue until terminated by either party. If we do not accurately predict our infrastructure capacity requirements, merchants could experience service shortfalls which could interrupt the performance of our platform, which could adversely affect the perception of its reliability and our revenue and harm the sales and business of our merchants. We may also be unable to effectively address capacity constraints, upgrade our systems as needed and continually develop our technology and network architecture to accommodate actual and anticipated changes in technology.</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Our platform is utilized by a large number of merchants, and as we continue to expand the number of merchants and shoppers, we may not be able to scale our technology to accommodate the increased capacity requirements, which may result in interruptions or delays in service. Merchants often draw significant numbers of shoppers over short periods of time (typically during events such as new product releases, holiday shopping season and flash sales). In the event that merchants conduct a high volume of sales in a short period of time, we may not be capable of securing the then-necessary capacity for such traffic which may cause a degradation in the quality of our platform and services. Furthermore, if we are incapable of anticipating high traffic levels and reserving server capacity accordingly, our platform and services may be adversely affected. In addition, the failure of our cloud services provider’s data centers or third-party internet service providers to meet our capacity requirements could impede our ability to scale our operations. In some cases, our cloud services provider may terminate the agreement for cause upon 30 days’ notice. Termination of the agreement may harm our ability to access data centers we need to host our platform or to do so on terms as favorable as those we currently have in place. We currently rely exclusively on one cloud services provider for our cloud infrastructure and therefore a transition to an alternative provider may take time, cause us to incur additional costs and reduce the quality and functionality of our platform.</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Increases in shipping rates could negatively impact our revenues generated through shipping services.</w:t>
      </w:r>
    </w:p>
    <w:p>
      <w:pPr>
        <w:spacing w:after="0" w:line="230"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Shipping rates and surcharges are volatile and subject to market fluctuations. A portion of our revenues is generated through shipping services provided through our shipping and logistics partners. Therefore, a substantial increase in shipping rates may reduce our margins from shipping services. Although some of such cost would be borne by merchants and shoppers, significant increases of costs may diminish demand for cross-border e-commerce, reduce the attractiveness of our service among merchants and adversely affect our results of operations. In particular, DHL, (which holds more than 5% of our outstanding ordinary shares) provided shipping services with respect to 59% of the transactions processed on our platform for the year ended December 31, 2020. The terms of our arrangements with DHL may be less favorable than the terms we could have received if entering into similar arrangements with third parties that are not related parties.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Fluctuations in the exchange rate of foreign currencies could adversely impact our results of operations.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 majority of our purchase and sale transactions are carried out in different currencies and we bear the risk of diminution in value of the shopper’s purchasing currency in the interim periods between the transaction stages (e.g. placement/payment and returns/refund). Despite the natural hedge provided by our bi-directional volume of sales and broad international activity, we may incur additional costs and experience losses resulting from fluctuations in exchange rates.</w:t>
      </w:r>
    </w:p>
    <w:p>
      <w:pPr>
        <w:spacing w:after="0" w:line="202"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We currently have revenues denominated in foreign currencies, including Pounds Sterling, Euros, and US Dollars and, may in the future, have significant sales denominated in the currencies of additional countries. We incur a substantial portion of our operating expenses in New Israeli Shekels, Pounds Sterling and US Dollars, and to a lesser extent, other foreign currencies. We may incur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60"/>
        <w:spacing w:after="0" w:line="237" w:lineRule="auto"/>
        <w:rPr>
          <w:sz w:val="20"/>
          <w:szCs w:val="20"/>
          <w:color w:val="auto"/>
        </w:rPr>
      </w:pPr>
      <w:r>
        <w:rPr>
          <w:rFonts w:ascii="Arial" w:cs="Arial" w:eastAsia="Arial" w:hAnsi="Arial"/>
          <w:sz w:val="18"/>
          <w:szCs w:val="18"/>
          <w:color w:val="auto"/>
        </w:rPr>
        <w:t>additional costs and experience losses resulting from fluctuations in exchange rates for revenues in foreign currencies or upon translation of New Israeli Shekels expenses incurred in Israel, or Pounds Sterling expenses incurred in the United Kingdom, to US Dollars which may negatively impact our operating results.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Merchants rely on our personnel for support related to our platform and services. High-quality support is important for maintaining, renewing and expanding our agreements with existing merchants and maintaining our reputation among merchants. As we expand our business and pursue engagements with new merchants, the importance of high-quality support will increase, and we expect to incur additional support related costs in order to meet the requirements of our new and future merchants. If we do not help merchants and shoppers quickly to resolve issues and provide effective ongoing support, our ability to retain existing merchants and attract new merchants could suffer and our reputation could be harmed.</w:t>
      </w:r>
    </w:p>
    <w:p>
      <w:pPr>
        <w:spacing w:after="0" w:line="180" w:lineRule="exact"/>
        <w:rPr>
          <w:sz w:val="20"/>
          <w:szCs w:val="20"/>
          <w:color w:val="auto"/>
        </w:rPr>
      </w:pPr>
    </w:p>
    <w:p>
      <w:pPr>
        <w:jc w:val="both"/>
        <w:ind w:left="160" w:right="360"/>
        <w:spacing w:after="0" w:line="249" w:lineRule="auto"/>
        <w:rPr>
          <w:sz w:val="20"/>
          <w:szCs w:val="20"/>
          <w:color w:val="auto"/>
        </w:rPr>
      </w:pPr>
      <w:r>
        <w:rPr>
          <w:rFonts w:ascii="Arial" w:cs="Arial" w:eastAsia="Arial" w:hAnsi="Arial"/>
          <w:sz w:val="18"/>
          <w:szCs w:val="18"/>
          <w:b w:val="1"/>
          <w:bCs w:val="1"/>
          <w:i w:val="1"/>
          <w:iCs w:val="1"/>
          <w:color w:val="auto"/>
        </w:rPr>
        <w:t>If we fail to enhance our reputation and awareness of our platform, our ability to expand the number of merchants using our platform and increase our GMV will be impaired, our reputation may be harmed, and our business, results of operations, and financial condition may suffer.</w:t>
      </w:r>
    </w:p>
    <w:p>
      <w:pPr>
        <w:spacing w:after="0" w:line="194"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believe that developing and maintaining awareness and a favorable reputation is critical to achieving widespread acceptance of our platform and services and is an important element in attracting new merchants to our platform, and retaining existing merchants. Furthermore, we believe that the importance of brand recognition will increase as competition in our market increases. Our ability to increase awareness will depend largely on the effectiveness of our marketing efforts, our ability to ensure that our platform and services remain of high quality, reliable, and useful at competitive prices, our ability to maintain our merchants’ trust, our ability to continue to develop new functionality and solutions, and our ability to successfully differentiate our platform.</w:t>
      </w:r>
    </w:p>
    <w:p>
      <w:pPr>
        <w:spacing w:after="0" w:line="202" w:lineRule="exact"/>
        <w:rPr>
          <w:sz w:val="20"/>
          <w:szCs w:val="20"/>
          <w:color w:val="auto"/>
        </w:rPr>
      </w:pPr>
    </w:p>
    <w:p>
      <w:pPr>
        <w:ind w:left="160" w:firstLine="546"/>
        <w:spacing w:after="0" w:line="253" w:lineRule="auto"/>
        <w:rPr>
          <w:sz w:val="20"/>
          <w:szCs w:val="20"/>
          <w:color w:val="auto"/>
        </w:rPr>
      </w:pPr>
      <w:r>
        <w:rPr>
          <w:rFonts w:ascii="Arial" w:cs="Arial" w:eastAsia="Arial" w:hAnsi="Arial"/>
          <w:sz w:val="17"/>
          <w:szCs w:val="17"/>
          <w:color w:val="auto"/>
        </w:rPr>
        <w:t>Efforts to increase awareness may not yield increased revenue, and even if they do, any increased revenue may not offset the expenses we incur. If we fail to successfully promote our platform, or incur substantial expenses in an unsuccessful attempt to promote our platform, we may fail to attract new merchants or grow or maintain the volume of sales facilitated by our platform to the extent necessary to realize a sufficient return on our marketing efforts, and our business, results of operations, and financial condition could suffer.</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reputation may be harmed by our merchants’ or third-party service providers’ unethical business practices.</w:t>
      </w:r>
    </w:p>
    <w:p>
      <w:pPr>
        <w:spacing w:after="0" w:line="230" w:lineRule="exact"/>
        <w:rPr>
          <w:sz w:val="20"/>
          <w:szCs w:val="20"/>
          <w:color w:val="auto"/>
        </w:rPr>
      </w:pPr>
    </w:p>
    <w:p>
      <w:pPr>
        <w:ind w:left="160" w:right="440" w:firstLine="546"/>
        <w:spacing w:after="0" w:line="235" w:lineRule="auto"/>
        <w:rPr>
          <w:sz w:val="20"/>
          <w:szCs w:val="20"/>
          <w:color w:val="auto"/>
        </w:rPr>
      </w:pPr>
      <w:r>
        <w:rPr>
          <w:rFonts w:ascii="Arial" w:cs="Arial" w:eastAsia="Arial" w:hAnsi="Arial"/>
          <w:sz w:val="18"/>
          <w:szCs w:val="18"/>
          <w:color w:val="auto"/>
        </w:rPr>
        <w:t>Our emphasis on our values makes our reputation particularly sensitive to allegations of unethical business practices by our merchants or third-party service providers. Our policies promote legal and ethical business practices. However, we do not control our merchants or third-party service providers or their business practices and cannot ensure that they comply with our policies. If our merchants or third-party service providers engage in illegal or unethical business practices or are perceived to do so, we may receive negative publicity and our reputation may be harmed.</w:t>
      </w:r>
    </w:p>
    <w:p>
      <w:pPr>
        <w:spacing w:after="0" w:line="182" w:lineRule="exact"/>
        <w:rPr>
          <w:sz w:val="20"/>
          <w:szCs w:val="20"/>
          <w:color w:val="auto"/>
        </w:rPr>
      </w:pPr>
    </w:p>
    <w:p>
      <w:pPr>
        <w:jc w:val="both"/>
        <w:ind w:left="160" w:right="580"/>
        <w:spacing w:after="0" w:line="249" w:lineRule="auto"/>
        <w:rPr>
          <w:sz w:val="20"/>
          <w:szCs w:val="20"/>
          <w:color w:val="auto"/>
        </w:rPr>
      </w:pPr>
      <w:r>
        <w:rPr>
          <w:rFonts w:ascii="Arial" w:cs="Arial" w:eastAsia="Arial" w:hAnsi="Arial"/>
          <w:sz w:val="18"/>
          <w:szCs w:val="18"/>
          <w:b w:val="1"/>
          <w:bCs w:val="1"/>
          <w:i w:val="1"/>
          <w:iCs w:val="1"/>
          <w:color w:val="auto"/>
        </w:rPr>
        <w:t>Mobile devices are increasingly being used to conduct e-commerce transactions, and if our platform and services do not operate as effectively when the merchants’ sites and checkout pages are accessed through these devices, the merchants’ experience will be negatively impacted, reducing merchant satisfaction with our platform and services.</w:t>
      </w:r>
    </w:p>
    <w:p>
      <w:pPr>
        <w:spacing w:after="0" w:line="194"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E-commerce transacted over mobile devices (including tablets and other hand-held devices) continues to grow more rapidly than desktop transactions. We are dependent on the interoperability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49" w:lineRule="auto"/>
        <w:rPr>
          <w:sz w:val="20"/>
          <w:szCs w:val="20"/>
          <w:color w:val="auto"/>
        </w:rPr>
      </w:pPr>
      <w:r>
        <w:rPr>
          <w:rFonts w:ascii="Arial" w:cs="Arial" w:eastAsia="Arial" w:hAnsi="Arial"/>
          <w:sz w:val="17"/>
          <w:szCs w:val="17"/>
          <w:color w:val="auto"/>
        </w:rPr>
        <w:t>our platform with third-party mobile devices, merchants’ mobile applications and mobile operating systems as well as web browsers. Changes in such devices, systems, applications or web browsers that degrade the functionality of our platform could adversely affect adoption and usage of our platform and services. For example, we provide our merchants with development libraries which allow for easy implementation of our platform as well as bug and error fixes. Our merchants’ ability to timely utilize such libraries in order to fix bugs and errors is contingent on application stores (such as Google Play and Apple App Store) approving our software development kit and libraries. If such approval is not obtained in a timely manner, merchant may be delayed in fixing bugs and errors relating to the use of our platform and may forgo the use of our solutions until an applicable error or bug fix is available. Mobile e-commerce and effective mobile functionality are integral both to our merchants and to our long-term growth strategy. If the functionality of our platform is inhibited when access to our merchants’ stores is done through mobile devices, our business and operating results could be adversely affected.</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dependent upon the continued use of the internet for commerce.</w:t>
      </w:r>
    </w:p>
    <w:p>
      <w:pPr>
        <w:spacing w:after="0" w:line="23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success depends upon the general public’s continued willingness to use the internet as a means to pay for purchases, communicate, access social media, research and conduct commercial transactions, including through mobile devices. Federal, state, or foreign government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platform and services, increase our cost of doing business and harm our results of operations. Changes in these laws or regulations could require us to modify our platform, or certain aspects of it,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platforms such as ours. In addition, the use of the internet could be harmed due to delays in the development or adoption of new standards and protocols to handle increased demands of internet activity, security, reliability, cost, ease-of-use, accessibility, and quality of service. Further, demand for our platform depends on the quality of shoppers’ access to the internet. Certain features of our platform may require significant bandwidth and fidelity to work effectively. Internet access is frequently provided by companies that have significant market power that could take actions that degrade, disrupt or increase the cost of access to our platform, which would negatively impact our business. The performance of the internet and its acceptance as a commerce tool has been harmed by “viruses,” “worms” and similar malicious programs and the internet has experienced a variety of outages and other delays as a result of damage to portions of its infrastructure. If the use of the internet is adversely affected by these issues, demand for platform and services could decline. Additionally, if merchants or shoppers become unwilling or less willing to use the internet for commerce for any other reason, including lack of access to high-speed communications equipment, congestion of traffic on the internet, internet outages or delays, disruptions or other damage to merchants’ and shoppers computers, increases in the cost of accessing the internet and security and privacy risks or the perception of such risks, our business could be adversely affected.</w:t>
      </w:r>
    </w:p>
    <w:p>
      <w:pPr>
        <w:spacing w:after="0" w:line="207" w:lineRule="exact"/>
        <w:rPr>
          <w:sz w:val="20"/>
          <w:szCs w:val="20"/>
          <w:color w:val="auto"/>
        </w:rPr>
      </w:pPr>
    </w:p>
    <w:p>
      <w:pPr>
        <w:ind w:left="160" w:right="460" w:firstLine="546"/>
        <w:spacing w:after="0" w:line="257" w:lineRule="auto"/>
        <w:rPr>
          <w:sz w:val="20"/>
          <w:szCs w:val="20"/>
          <w:color w:val="auto"/>
        </w:rPr>
      </w:pPr>
      <w:r>
        <w:rPr>
          <w:rFonts w:ascii="Arial" w:cs="Arial" w:eastAsia="Arial" w:hAnsi="Arial"/>
          <w:sz w:val="17"/>
          <w:szCs w:val="17"/>
          <w:color w:val="auto"/>
        </w:rPr>
        <w:t>Finally, our success depends upon merchants continuing to pursue D2C sales as they seek to take advantage of e-commerce trends and gain ownership and knowledge of their international customers. If merchants cease to pursue D2C sales for any reason, including if such merchants prefer to sell their products on e-commerce marketplaces, our business could be adversely affected.</w:t>
      </w:r>
    </w:p>
    <w:p>
      <w:pPr>
        <w:spacing w:after="0" w:line="166" w:lineRule="exact"/>
        <w:rPr>
          <w:sz w:val="20"/>
          <w:szCs w:val="20"/>
          <w:color w:val="auto"/>
        </w:rPr>
      </w:pPr>
    </w:p>
    <w:p>
      <w:pPr>
        <w:ind w:left="160" w:right="540"/>
        <w:spacing w:after="0" w:line="295" w:lineRule="auto"/>
        <w:rPr>
          <w:sz w:val="20"/>
          <w:szCs w:val="20"/>
          <w:color w:val="auto"/>
        </w:rPr>
      </w:pPr>
      <w:r>
        <w:rPr>
          <w:rFonts w:ascii="Arial" w:cs="Arial" w:eastAsia="Arial" w:hAnsi="Arial"/>
          <w:sz w:val="17"/>
          <w:szCs w:val="17"/>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harm our business.</w:t>
      </w:r>
    </w:p>
    <w:p>
      <w:pPr>
        <w:spacing w:after="0" w:line="157"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We receive, collect, store, process, share, transfer, disclose, and use personal information and other data relating to shoppers, employees, contractors and other persons. We are subject 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3" w:lineRule="auto"/>
        <w:rPr>
          <w:sz w:val="20"/>
          <w:szCs w:val="20"/>
          <w:color w:val="auto"/>
        </w:rPr>
      </w:pPr>
      <w:r>
        <w:rPr>
          <w:rFonts w:ascii="Arial" w:cs="Arial" w:eastAsia="Arial" w:hAnsi="Arial"/>
          <w:sz w:val="18"/>
          <w:szCs w:val="18"/>
          <w:color w:val="auto"/>
        </w:rPr>
        <w:t>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including across the various jurisdictions in which we operate remotely and may conflict with our other legal obligations or our practices. Further, any significant change to applicable laws, regulations or industry practices regarding the collection, use, processing, storage, sharing, transferring, security or disclosure of data, or their interpretation, or any changes regarding the manner in which the consent of shoppers or other data subjects for the collection, use, processing, storage, sharing, transferring, or disclosure of such data must be obtained, could increase our costs and require us to modify our services and features, possibly in a material manner, which we may be unable to complete, and may limit our ability to collect, use, process, store, share, transfer, or disclose shopper data or develop new services and features.</w:t>
      </w:r>
    </w:p>
    <w:p>
      <w:pPr>
        <w:spacing w:after="0" w:line="209"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If we were found in violation of any applicable laws or regulations relating to privacy, data protection, or security, in any jurisdiction, including in jurisdictions where we operate remotely (such as by selling to shoppers residing in such jurisdictions), our business may be materially and adversely affected and we would be liable for any damages and regulatory fines and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were to occur or to be alleged to have occurred, if any violation of laws and regulations relating to privacy, data protection or data security were to be alleged, or if we had any actual or alleged defect in our safeguards or practices relating to privacy, data protection, or data security, our platform and services may be perceived as less desirable and our business, prospects, financial condition, and results of operations could be materially and adversely affected.</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we are subject to the General Data Protection Regulation, or GDPR, which came into effect in May 2018 and imposes stringent operational requirements regarding, among others, data use, sharing and processing, data breach notifications, data subject rights, documentation, and cross-border data transfers for entities collecting and/or processing personal data of European Union, or EU, residents and significant penalties for non-compliance.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204"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addition to the GDPR, we are subject to the United Kingdom’s privacy regime that imposes obligations and penalties similar to the GDPR including fines up to the greater of £17.5 million or 4% of global turnover. The relationship between the United Kingdom and the EU in relation to certain aspects of data protection law remains unclear, and it is unclear how UK data protection laws and regulations will develop in the medium to longer term. We are also subject to Directive 2002/58 on Privacy and Electronic Communications (the “ePrivacy Directive”), which requires entities to obtain informed and</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freely given consent for the placement of cookies and similar technologies on shoppers’ devices and imposes restrictions on electronic marketing. If and when it comes into effect, proposed legislation known as the Regulation of Privacy and Electronic Communications (“ePrivacy Regulation”), would replace the current ePrivacy Directive.</w:t>
      </w:r>
    </w:p>
    <w:p>
      <w:pPr>
        <w:spacing w:after="0" w:line="203"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In addition, we are also subject to Lei Geral de Proteção de Dados, or LGPD, which went into effect in Brazil in August 2020, and that imposes similar requirements to GDPR on the collection and processing of data of Brazilian residents.</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Additionally, we are also subject to the California Consumer Privacy Act (“CCPA”), which came into effect on January 1, 2020 and, imposes heightened transparency obligations, adds restrictions on the “sale” of personal information (which it defines broadly), and creates new data privacy rights for California residents and carries significant enforcement penalties for non-compliance. The California Attorney General enforces the CCPA and can seek an injunction and civil penalties up to $7,500 per intentional violation and $2,500 per other violation. The CCPA also provides California consumers a private right of action for certain data breaches where they can recover up to $750 per incident, per consumer or actual damages, whichever is greater, and which is expected to increase data breach litigation. The CCPA may require us to modify our data practices and policies and to incur substantial costs and expenses in order to comply. In addition, on November 3, 2020, California voters passed the California Privacy Rights Act (“CPRA”) into law, which will take effect on January 1, 2023 with enforcement beginning on July 1, 2023. The CPRA will significantly modify the CCPA and create a new state agency that will be vested with authority to implement and enforce the CCPA and the CPRA, potentially resulting in further uncertainty and requiring us to incur additional costs and expenses in an effort to comply. More generally, some observers have noted the CCPA and CPRA could mark the beginning of a trend toward more stringent privacy legislation in the U.S., including similar laws in other U.S. states and a potential federal privacy law, all of which could increase our potential liability and adversely affect our business.</w:t>
      </w:r>
    </w:p>
    <w:p>
      <w:pPr>
        <w:spacing w:after="0" w:line="21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In addition, we are also subject to the Israeli Privacy Protection Law 5741-1981 (the “PPL”), and its regulations, including the Israeli Privacy Protection Regulations (Data Security) 2017 (“Data Security Regulations”),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 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209"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Additionally, some countries such as Australia, Singapore, Hong Kong, South Korea and Japan are considering or have enacted privacy legislation, which could increase the cost and complexity of delivering our services.</w:t>
      </w:r>
    </w:p>
    <w:p>
      <w:pPr>
        <w:spacing w:after="0" w:line="20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Data privacy legislation restricts the cross-border transfer of personal data and some countries introduced data localization into their laws. Specifically, the GDPR, UK GDPR and other European and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49" w:lineRule="auto"/>
        <w:rPr>
          <w:sz w:val="20"/>
          <w:szCs w:val="20"/>
          <w:color w:val="auto"/>
        </w:rPr>
      </w:pPr>
      <w:r>
        <w:rPr>
          <w:rFonts w:ascii="Arial" w:cs="Arial" w:eastAsia="Arial" w:hAnsi="Arial"/>
          <w:sz w:val="17"/>
          <w:szCs w:val="17"/>
          <w:color w:val="auto"/>
        </w:rPr>
        <w:t>UK data protection laws generally prohibit the transfer of personal data from the EEA, UK and Switzerland, to the United States and most other countries unless the transfer is to an entity established in a country deemed to provide adequate protection (such as Israel) or the parties to the transfer have implemented specific safeguards to protect the transferred personal data. Where we transfer personal data outside the EEA to a country that is not deemed to be “adequate”, we take steps to comply with applicable laws. In some jurisdictions like the EU and UK, the law and guidance on data transfers is rapidly developing and recent developments will require us to review and may require us to amend the legal mechanisms by which we make and/or receive personal data transfers, which could affect the manner in which we provide our solutions, the geographical location or segregation of our relevant systems and operations, may reduce demand for our solutions from companies subject to these data protection laws and could adversely affect our financial results.</w:t>
      </w:r>
    </w:p>
    <w:p>
      <w:pPr>
        <w:spacing w:after="0" w:line="19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merchants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merchants to lose trust in us, and otherwise materially and adversely affect our reputation and business. Furthermore, the costs of compliance with, and other burdens imposed by, the laws, regulations, other obligations, and policies that are applicable to the businesses of our merchants may limit the adoption and use of, and reduce the overall demand for, our platform. Additionally, if third parties we work with violate applicable laws, regulations or contractual obligations, such violations may put our data at risk, could result in governmental investigations or enforcement actions, fines, litigation, claims, or public statements against us by consumer advocacy groups or others and could result in significant liability, cause our merchants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COVID-19 pandemic could materially adversely affect our business, financial condition and results of operations.</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COVID-19 pandemic, the measures attempting to contain and mitigate the effects of the COVID-19 pandemic, including stay-at-home, business closure, social distancing, capsuled labor and other restrictive orders, and the resulting changes in consumer behaviors, have disrupted our normal operations and impacted our employees, suppliers, merchants and shoppers. We expect these disruptions and impacts to continue. In response to the COVID-19 pandemic, we have taken a number of actions that have impacted and continue to impact our business, including transitioning employees across all our offices (including our corporate headquarters) to remote work-from-home arrangements and imposing travel and related restrictions. While we believe these actions were reasonable and necessary as a result of the COVID-19 pandemic, they have been disruptive to our business and could adversely impact our results of operations. In addition, remote work, lockdowns and travel restrictions have added challenges and complexity to the operations of our shipping and logistics partners. As such, continued COVID-19 related restrictions that inhibit the ordinary course operation of our shipping and logistics partners may have an adverse effect on our business.</w:t>
      </w:r>
    </w:p>
    <w:p>
      <w:pPr>
        <w:spacing w:after="0" w:line="20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Given the continued spread of COVID-19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320" w:top="456"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workforce has not historically been fully remote. Prior to the COVID-19 pandemic, certain of our employees traveled frequently to establish and maintain relationships with one another and with our merchants, partners, and investors. We continue to monitor the situation and may adjust our current policies as more information and guidance become available. Suspending travel and long-term inability of doing business in-person could negatively impact our marketing efforts, our ability to enter into merchant contracts in a timely manner, our ability to integrate and launch the service for merchants in a timely manner, our international expansion efforts, our ability to recruit and train employees across the organization and our ability to visit and oversee the activity of our third-party service providers and local fulfillment hubs. These changes could negatively impact our operations, sales and marketing in particular, which could have longer-term effects on our sales pipeline, or create operational or other challenges as our workforce remains predominantly remote, any of which could harm our business.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21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degree to which COVID-19 will affect our business and results of operations will depend on future developments that are highly uncertain and cannot currently be predicted. These developments include, but are not limited to, the duration, extent, and severity of the COVID-19 pandemic in different geographies, actions taken to contain the COVID-19 pandemic, the impact of the COVID-19 pandemic and related restrictions on economic activity and domestic and international trade, and the extent of the impact of these and other factors on our employees, suppliers, partners, merchants and shoppers. The COVID-19 pandemic and related restrictions could limit merchants’ ability to continue to operate (limiting their abilities to obtain inventory, generate sales, ship and dispatch orders or make timely payments to us). It could disrupt or delay the ability of employees to work because they become sick or are required to care for those who become sick, or for dependents for whom external care is not available. In addition, the COVID-19 pandemic may also result in reduced consumer spending and adverse or uncertain economic conditions globally, which in turn may impact the GMV processed through our platform. See “—General Risks Affecting Our Business and Operations—Unfavorable conditions in our industry, the global economy, or e-commerce in general, could limit our ability to grow our business and negatively affect our results of operations.”</w:t>
      </w:r>
    </w:p>
    <w:p>
      <w:pPr>
        <w:spacing w:after="0" w:line="188"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to international markets, create significant currency fluctuations, create logistic and other customs-related complexities, adversely affect our operations in the United Kingdom and pose additional risks to our business, financial condition, and results of operations.</w:t>
      </w:r>
    </w:p>
    <w:p>
      <w:pPr>
        <w:spacing w:after="0" w:line="200"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In connection with the United Kingdom’s withdrawal from the EU (“Brexit”), the United Kingdom ceased to be an EU Member State and ratified a 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this agreement merely sets forth a framework in many respects and will require complex additional bilateral negotiations between the United Kingdom and the EU as both parties continue to work on the rules for implementation, significant political and economic uncertainty remains about how the precise terms of the relationship between the parties will differ from the terms before withdrawal. The ongoing uncertainty related to Brexit has negatively impacted the United Kingdom’s economy, and will likely continue to have a negative impact until the United Kingdom and EU reach definitive resolutions on any outstanding trade and legal matters. 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firstLine="546"/>
        <w:spacing w:after="0" w:line="251" w:lineRule="auto"/>
        <w:rPr>
          <w:sz w:val="20"/>
          <w:szCs w:val="20"/>
          <w:color w:val="auto"/>
        </w:rPr>
      </w:pPr>
      <w:r>
        <w:rPr>
          <w:rFonts w:ascii="Arial" w:cs="Arial" w:eastAsia="Arial" w:hAnsi="Arial"/>
          <w:sz w:val="17"/>
          <w:szCs w:val="17"/>
          <w:color w:val="auto"/>
        </w:rPr>
        <w:t>Although it is difficult to predict the impact of Brexit on our business and e-commerce conducted between the United Kingdom and the EU, it is likely that the price of goods that are sold cross-border between the United Kingdom and the EU may be subject to additional costs such as customs clearance costs and tariffs which may decrease the attractiveness of such purchases and reduce GMV and revenues relating to these markets. In addition, Brexit may lead to additional complexities and difficulties relating to shipment of products to shoppers, customs formalities and previously inapplicable procedures, resulting in shipping delays and reducing shopper satisfaction.</w:t>
      </w:r>
    </w:p>
    <w:p>
      <w:pPr>
        <w:spacing w:after="0" w:line="195"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Additionally, we may face new regulations in numerous fields, including data privacy, shopper rights, trade, aviation, tax, security, and employees, among others, in the United Kingdom which may require us to amend or adjust our platform and service. Compliance with such regulations could be costly, negatively impacting our business, results of operations, and financial condition. Furthermore, rapid change to or uncertainty regarding applicable customs clearance costs, tariffs and tax rates may make it difficult to calculate accurate landed costs and which may cause merchants and shopper dissatisfaction from our platform and services.</w:t>
      </w:r>
    </w:p>
    <w:p>
      <w:pPr>
        <w:spacing w:after="0" w:line="204"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While Brexit could offer growth opportunities in the form of increased demand for cross-border e-commerce services such as ours by merchants with sales between the United Kingdom and the EU, we may find it difficult to meet such demand due to the aforementioned uncertainties, regulatory and operational difficulties and complexities associated with the transition.</w:t>
      </w:r>
    </w:p>
    <w:p>
      <w:pPr>
        <w:spacing w:after="0" w:line="18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18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Chapter 9 (sub-chapter 5) of the Israeli Penal Law, 57373-1977, the Israeli Prohibition on Money Laundering Law, 5760– 2000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addition, we use, and may continue to use, third parties to sell access to our platform and conduct business on our behalf abroad, in particular carriers and other freight forwarders who perform customs-clearance and related services and functions as our service providers, and in our own name and instructions. We or such current and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to which we outsource certain of our business operations, will not take actions in violation of our policies and applicable law, for which we may be ultimately held responsible. Any violation of the FCPA, other applicable anti-corruption laws, or anti-money laundering laws could result in whistleblower complaints,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680"/>
        <w:spacing w:after="0" w:line="237" w:lineRule="auto"/>
        <w:rPr>
          <w:sz w:val="20"/>
          <w:szCs w:val="20"/>
          <w:color w:val="auto"/>
        </w:rPr>
      </w:pPr>
      <w:r>
        <w:rPr>
          <w:rFonts w:ascii="Arial" w:cs="Arial" w:eastAsia="Arial" w:hAnsi="Arial"/>
          <w:sz w:val="18"/>
          <w:szCs w:val="18"/>
          <w:color w:val="auto"/>
        </w:rPr>
        <w:t>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81" w:lineRule="exact"/>
        <w:rPr>
          <w:sz w:val="20"/>
          <w:szCs w:val="20"/>
          <w:color w:val="auto"/>
        </w:rPr>
      </w:pPr>
    </w:p>
    <w:p>
      <w:pPr>
        <w:ind w:left="160" w:right="120"/>
        <w:spacing w:after="0" w:line="295" w:lineRule="auto"/>
        <w:rPr>
          <w:sz w:val="20"/>
          <w:szCs w:val="20"/>
          <w:color w:val="auto"/>
        </w:rPr>
      </w:pPr>
      <w:r>
        <w:rPr>
          <w:rFonts w:ascii="Arial" w:cs="Arial" w:eastAsia="Arial" w:hAnsi="Arial"/>
          <w:sz w:val="17"/>
          <w:szCs w:val="17"/>
          <w:b w:val="1"/>
          <w:bCs w:val="1"/>
          <w:i w:val="1"/>
          <w:iCs w:val="1"/>
          <w:color w:val="auto"/>
        </w:rPr>
        <w:t>We act as a service provider and part of the fulfilment chain of the merchants, and while our legal and functional roles are defined, third parties may confuse us with the merchants resulting in claims and liabilities relating to the merchants’ activities.</w:t>
      </w:r>
    </w:p>
    <w:p>
      <w:pPr>
        <w:spacing w:after="0" w:line="157"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We operate largely as a “white label” solution which enables the merchants to offer their products through our platform, while maintaining their own brand experience. Due to our nearly transparent integration with such merchants’ shopper experience, claims arising from the actions of the merchants may be unduly addressed to us by virtue of our perceived affiliation with the merchants and our role in the shopper experience. To the extent that we are not successful in demonstrating that we are distinct from such merchants, we may be subject to misdirected claims and associated liabilities. Although we include indemnification provisions in the merchant agreements, such provisions may not be enforced in certain circumstances, certain jurisdictions or may not be sufficient to fully cover potential liabilities arising from such claims.</w:t>
      </w:r>
    </w:p>
    <w:p>
      <w:pPr>
        <w:spacing w:after="0" w:line="184"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b w:val="1"/>
          <w:bCs w:val="1"/>
          <w:i w:val="1"/>
          <w:iCs w:val="1"/>
          <w:color w:val="auto"/>
        </w:rPr>
        <w:t>If we fail to adequately maintain, protect or enforce our intellectual property rights, our competitive position could be impaired and we may lose valuable assets, generate reduced revenue, and incur costly litigation to protect our rights.</w:t>
      </w:r>
    </w:p>
    <w:p>
      <w:pPr>
        <w:spacing w:after="0" w:line="18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Our success is dependent, in part, upon protecting our intellectual property rights, including those in our know-how and proprietary technology. We rely on a combination of copyrights, trade secret and other intellectual property laws and contractual restrictions to establish and protect our intellectual property rights. While it is our policy to protect and defend our rights to our intellectual property, we cannot predict whether steps taken by us will be adequate to prevent infringement, misappropriation or other violation of our intellectual property rights.</w:t>
      </w:r>
    </w:p>
    <w:p>
      <w:pPr>
        <w:spacing w:after="0" w:line="20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Policing unauthorized use of our know-how, technology and intellectual property is difficult and may not be effective. We will not be able to protect our intellectual property if we are unable to enforce our rights or if we do not detect unauthorized use of our intellectual property. Despite our precautions, it may be possible for unauthorized third parties to copy our platform or technology and use information that we regard as proprietary to create products or services that compete with our offerings. Some of the provisions of our service agreements that protect us against unauthorized use, copying, transfer, and disclosure of our platform, may be unenforceable under the laws of certain jurisdictions and foreign countries. Further, the laws of some countries do not protect intellectual property to the same extent as the laws of the United States, and mechanisms for enforcement of intellectual property rights in some foreign countries may be inadequate. To the extent we expand our international activities, our exposure to unauthorized copying and use of our platform and proprietary information may increase. Further, our competition, foreign governments, foreign government-backed actors, criminals, or other third parties may gain unauthorized access to our confidential information and technology. Accordingly, despite our efforts, we may be unable to prevent third parties from infringing upon or misappropriating our intellectual property rights. If we are unable to protect our intellectual property rights or prevent unauthorized use, infringement or misappropriation thereof by third parties, the value of our intellectual property and intellectual property rights may be diminished, and our competition may be able to more effectively mimic our offerings and service. In addition, our know-how is derived in part from insights we obtain from the historical individual and aggregate transactions that take place on our platform. If the availability, security or integrity of such data is lost or compromised due to a technology failure, cyberattack or similar event, our know-how could be lost or diminished, and this could materially adversely affect our ability to serve our merchants. For more information, see “</w:t>
      </w:r>
      <w:r>
        <w:rPr>
          <w:rFonts w:ascii="Arial" w:cs="Arial" w:eastAsia="Arial" w:hAnsi="Arial"/>
          <w:sz w:val="18"/>
          <w:szCs w:val="18"/>
          <w:i w:val="1"/>
          <w:iCs w:val="1"/>
          <w:color w:val="auto"/>
        </w:rPr>
        <w:t>Risk Factors—Risks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320" w:top="456" w:right="5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60" w:right="320"/>
        <w:spacing w:after="0" w:line="246" w:lineRule="auto"/>
        <w:rPr>
          <w:sz w:val="20"/>
          <w:szCs w:val="20"/>
          <w:color w:val="auto"/>
        </w:rPr>
      </w:pPr>
      <w:r>
        <w:rPr>
          <w:rFonts w:ascii="Arial" w:cs="Arial" w:eastAsia="Arial" w:hAnsi="Arial"/>
          <w:sz w:val="18"/>
          <w:szCs w:val="18"/>
          <w:i w:val="1"/>
          <w:iCs w:val="1"/>
          <w:color w:val="auto"/>
        </w:rPr>
        <w:t>Relating to our Business and Industry—To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r>
        <w:rPr>
          <w:rFonts w:ascii="Arial" w:cs="Arial" w:eastAsia="Arial" w:hAnsi="Arial"/>
          <w:sz w:val="18"/>
          <w:szCs w:val="18"/>
          <w:color w:val="auto"/>
        </w:rPr>
        <w:t>”</w:t>
      </w:r>
    </w:p>
    <w:p>
      <w:pPr>
        <w:spacing w:after="0" w:line="197" w:lineRule="exact"/>
        <w:rPr>
          <w:sz w:val="20"/>
          <w:szCs w:val="20"/>
          <w:color w:val="auto"/>
        </w:rPr>
      </w:pPr>
    </w:p>
    <w:p>
      <w:pPr>
        <w:jc w:val="both"/>
        <w:ind w:left="160" w:right="180" w:firstLine="546"/>
        <w:spacing w:after="0" w:line="236" w:lineRule="auto"/>
        <w:rPr>
          <w:sz w:val="20"/>
          <w:szCs w:val="20"/>
          <w:color w:val="auto"/>
        </w:rPr>
      </w:pPr>
      <w:r>
        <w:rPr>
          <w:rFonts w:ascii="Arial" w:cs="Arial" w:eastAsia="Arial" w:hAnsi="Arial"/>
          <w:sz w:val="18"/>
          <w:szCs w:val="18"/>
          <w:color w:val="auto"/>
        </w:rPr>
        <w:t>While software and other of our proprietary works may be protected under copyright law, we have not registered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Although we attempt to protect our intellectual property, technology and confidential information by entering into confidentiality and invention assignment agreements with our employees and consultants and entering into confidentiality agreements with the parties with whom we have strategic relationships and business alliances, these agreements may not effectively grant all necessary rights to any inventions that may have been developed by the employees or consultants party thereto, and may not be effective in controlling access to and distribution of our platform, technology and confidential information or provide an adequate remedy in the event of unauthorized use of our platform or technology or unauthorized access, use or disclosure of our confidential information. Additionally, employees and consultants may choose to violate the terms of their confidentiality agreements.</w:t>
      </w:r>
    </w:p>
    <w:p>
      <w:pPr>
        <w:spacing w:after="0" w:line="206" w:lineRule="exact"/>
        <w:rPr>
          <w:sz w:val="20"/>
          <w:szCs w:val="20"/>
          <w:color w:val="auto"/>
        </w:rPr>
      </w:pPr>
    </w:p>
    <w:p>
      <w:pPr>
        <w:jc w:val="both"/>
        <w:ind w:left="160" w:right="600" w:firstLine="546"/>
        <w:spacing w:after="0" w:line="257" w:lineRule="auto"/>
        <w:rPr>
          <w:sz w:val="20"/>
          <w:szCs w:val="20"/>
          <w:color w:val="auto"/>
        </w:rPr>
      </w:pPr>
      <w:r>
        <w:rPr>
          <w:rFonts w:ascii="Arial" w:cs="Arial" w:eastAsia="Arial" w:hAnsi="Arial"/>
          <w:sz w:val="17"/>
          <w:szCs w:val="17"/>
          <w:color w:val="auto"/>
        </w:rPr>
        <w:t>Further, these agreements do not prevent our competitors from independently developing technologies that are substantially equivalent or superior to ours. We cannot guarantee that others will not independently develop technology with the same or similar functions to any proprietary technology we rely on to conduct our business and differentiate ourselves from our competitors.</w:t>
      </w:r>
    </w:p>
    <w:p>
      <w:pPr>
        <w:spacing w:after="0" w:line="188"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We may be required to spend significant resources to monitor and protect our intellectual property rights, and we may or may not be able to detect infringement, misappropriation or other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its functionality,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assure you that we could license that technology on commercially reasonable terms or at all, and our inability to license this technology could harm our ability to compete. Any one or more of the foregoing could harm our business, results of operations, and financial condition.</w:t>
      </w:r>
    </w:p>
    <w:p>
      <w:pPr>
        <w:spacing w:after="0" w:line="1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We may incur costs to defend against, face liability for or be vulnerable to intellectual property infringement claims brought against us by others.</w:t>
      </w:r>
    </w:p>
    <w:p>
      <w:pPr>
        <w:spacing w:after="0" w:line="180" w:lineRule="exact"/>
        <w:rPr>
          <w:sz w:val="20"/>
          <w:szCs w:val="20"/>
          <w:color w:val="auto"/>
        </w:rPr>
      </w:pPr>
    </w:p>
    <w:p>
      <w:pPr>
        <w:ind w:left="160" w:right="600" w:firstLine="546"/>
        <w:spacing w:after="0" w:line="235" w:lineRule="auto"/>
        <w:rPr>
          <w:sz w:val="20"/>
          <w:szCs w:val="20"/>
          <w:color w:val="auto"/>
        </w:rPr>
      </w:pPr>
      <w:r>
        <w:rPr>
          <w:rFonts w:ascii="Arial" w:cs="Arial" w:eastAsia="Arial" w:hAnsi="Arial"/>
          <w:sz w:val="18"/>
          <w:szCs w:val="18"/>
          <w:color w:val="auto"/>
        </w:rPr>
        <w:t>There is considerable intellectual property development and enforcement activity in our industry. We expect that software developers in our industry will increasingly be subject to infringement claims as the number of competing solutions grows and the functionality of platforms and services in different industries overlap. Our future success depends in part on not infringing upon or misappropriating the intellectual property rights of others. There is a risk that our operations, platforms and services may infringe or otherwise violate, or be alleged to infringe or otherwise violate, the intellectual property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280"/>
        <w:spacing w:after="0" w:line="257" w:lineRule="auto"/>
        <w:rPr>
          <w:sz w:val="20"/>
          <w:szCs w:val="20"/>
          <w:color w:val="auto"/>
        </w:rPr>
      </w:pPr>
      <w:r>
        <w:rPr>
          <w:rFonts w:ascii="Arial" w:cs="Arial" w:eastAsia="Arial" w:hAnsi="Arial"/>
          <w:sz w:val="17"/>
          <w:szCs w:val="17"/>
          <w:color w:val="auto"/>
        </w:rPr>
        <w:t>rights of third parties. Other companies have claimed in the past, and may claim in the future, that we infringe upon or otherwise violate their intellectual property rights. A claim may also be made relating to technology or intellectual property that we acquire or license from third parties. If we were subject to a claim of infringement, regardless of the merit of the claim or our defenses, the claim could:</w:t>
      </w:r>
    </w:p>
    <w:p>
      <w:pPr>
        <w:spacing w:after="0" w:line="94" w:lineRule="exact"/>
        <w:rPr>
          <w:sz w:val="20"/>
          <w:szCs w:val="20"/>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costly litigation to resolve and the payment of substantial royalty or license fees, lost profits or other damages;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and divert significant management time;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us to enter into unfavorable royalty or license agreements;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discontinue some or all of the features, integrations, and capabilities available on our platform;</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indemnify our merchants or third-party service providers; and/or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expend additional development resources to redesign our platform.</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one or more of the above could harm our business, results of operations, and financial condition.</w:t>
      </w:r>
    </w:p>
    <w:p>
      <w:pPr>
        <w:spacing w:after="0" w:line="186"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We use open source software, which may pose particular risks to our proprietary software, technologies, products and services in a manner that could negatively affect our business.</w:t>
      </w:r>
    </w:p>
    <w:p>
      <w:pPr>
        <w:spacing w:after="0" w:line="180"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We use open source software in our platform and expect to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There is a risk that these licenses could be construed in a way that could impose unanticipated conditions or restrictions on our ability to commercialize our platform. As a result, we could be subject to lawsuits by parties claiming ownership of what we believe to be open source software, or breach of open source licenses. Litigation could be costly for us to defend, have a negative effect on our business, results of operations, and financial condition, or require us to devote additional research and development resources to change our platform. In addition, if we were to combine our proprietary source code or software with open source software in a certain manner, we could, under certain open source licenses, be required to release the source code of our proprietary software to the public. This would allow our competition to create similar products with less development effort and time. If we inappropriately use open source software, or if the license terms for open source software that we use change, we may be required to re-engineer our platform, or certain aspects of it, incur additional costs, discontinue the availability of certain features, or take other remedial actions.</w:t>
      </w:r>
    </w:p>
    <w:p>
      <w:pPr>
        <w:spacing w:after="0" w:line="21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support, indemnification, assurance of title or controls on origin of the software or other contractual protections regarding infringement claims or the quality of the code.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206"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In addition, open source libraries incorporated in our platform must be constantly updated in order to avoid security vulnerabilities that may be present in an outdated version of the software. Updating the open source libraries we use in a timely manner requires ongoing development efforts, and 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delay relating to this process may expose us to risk of security breach. To the extent that our platform depends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In addition, the public availability of such software may make it easier for others to compromise our platform.</w:t>
      </w:r>
    </w:p>
    <w:p>
      <w:pPr>
        <w:spacing w:after="0" w:line="180"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harm our business.</w:t>
      </w:r>
    </w:p>
    <w:p>
      <w:pPr>
        <w:spacing w:after="0" w:line="180"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Inability to attract and retain other highly skilled employees could harm our business.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In addition, certain domestic immigration laws restrict or limit our ability to recruit internationally. Any changes to Israeli, United Kingdom, European or the U.S. immigration policies that restrain the flow of technical and professional talent may inhibit our ability to recruit and retain highly qualified employees.</w:t>
      </w:r>
    </w:p>
    <w:p>
      <w:pPr>
        <w:spacing w:after="0" w:line="206"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spacing w:after="0" w:line="20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Volatility or lack of appreciation in the price of our ordinary shares may also affect our ability to attract and retain our key employees. Many of our senior personnel and other key employees have become, or will soon become, vested in a substantial number of options. Employees may be more likely to leave us if the shares they own or the shares underlying their vested options or restricted share units have significantly appreciated in value relative to the original purchase price of the shares or the exercise price of the options, or conversely, if the exercise price of the options that they hold are significantly above the market price of our ordinary shares.</w:t>
      </w:r>
    </w:p>
    <w:p>
      <w:pPr>
        <w:spacing w:after="0" w:line="182" w:lineRule="exact"/>
        <w:rPr>
          <w:sz w:val="20"/>
          <w:szCs w:val="20"/>
          <w:color w:val="auto"/>
        </w:rPr>
      </w:pPr>
    </w:p>
    <w:p>
      <w:pPr>
        <w:ind w:left="160" w:right="780"/>
        <w:spacing w:after="0" w:line="265" w:lineRule="auto"/>
        <w:rPr>
          <w:sz w:val="20"/>
          <w:szCs w:val="20"/>
          <w:color w:val="auto"/>
        </w:rPr>
      </w:pPr>
      <w:r>
        <w:rPr>
          <w:rFonts w:ascii="Arial" w:cs="Arial" w:eastAsia="Arial" w:hAnsi="Arial"/>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18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generally enter into agreements with our employees which prohibit our employees, if they cease working for us, from competing directly with us or working for our current and future competition for a limited period. However, we may be unable to enforce these agreements under the laws of the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204"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Our management team has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80" w:lineRule="exact"/>
        <w:rPr>
          <w:sz w:val="20"/>
          <w:szCs w:val="20"/>
          <w:color w:val="auto"/>
        </w:rPr>
      </w:pPr>
    </w:p>
    <w:p>
      <w:pPr>
        <w:ind w:left="160" w:right="560"/>
        <w:spacing w:after="0" w:line="265"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18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182"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b w:val="1"/>
          <w:bCs w:val="1"/>
          <w:i w:val="1"/>
          <w:iCs w:val="1"/>
          <w:color w:val="auto"/>
        </w:rPr>
        <w:t>Contractual arrangements between merchants and local distributors may impede the adoption by merchants of a D2C model and diminish the adoption of our platform and services as a result.</w:t>
      </w:r>
    </w:p>
    <w:p>
      <w:pPr>
        <w:spacing w:after="0" w:line="18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A significant segment of our merchants are international brands with a strategic focus on transitioning to a D2C model through the use of e-commerce. Despite making this transition, some brands maintain contractual relationships with distributors of their products such as wholesalers, local webstore operators, marketplaces and franchises in various geographies which our platform makes accessible for D2C sales. Contractual arrangements between brands and their local distributors that provide for exclusivity terms, volume restrictions on alternate distribution channels or most favored client pricing may slow or restrict adoption of our platform and services. Even absent such contractual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obligations, local distributors may still petition the brand to cease its operations through our platform if the brand’s D2C sales adversely impact their local distributor sales. Although we believe that our platform and services provide functionality, tools and advantages that match or outweigh the local distributor model and therefore justify their use on a standalone or supplemental basis, resistance on behalf of such distributors and the resulting friction may slow or restrict adoption of our platform and services by such brands in certain locations and diminish our growth in this segment.</w:t>
      </w:r>
    </w:p>
    <w:p>
      <w:pPr>
        <w:spacing w:after="0" w:line="182"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8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and we may not be able to obtain debt or equity financing on favorable terms, if at all. If we raise equity financing to fund operations or on an opportunistic basis, our shareholders may experience significant dilution of their ownership interests. If we need additional capital and cannot raise it on acceptable terms, or at all, we may not be able to, among other things:</w:t>
      </w:r>
    </w:p>
    <w:p>
      <w:pPr>
        <w:spacing w:after="0" w:line="108" w:lineRule="exact"/>
        <w:rPr>
          <w:sz w:val="20"/>
          <w:szCs w:val="20"/>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99"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innovative approach, creativity, and teamwork fostered by our culture and our business could be harmed.</w:t>
      </w:r>
    </w:p>
    <w:p>
      <w:pPr>
        <w:spacing w:after="0" w:line="18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believe that an important contributor to our success has been our corporate culture, which we believe creates an environment that drives and perpetuates our strategy to create a better, more productive way to work and focuses on driving success for our customers. As we continue to grow, including geographically, and develop the infrastructure of a public company, we may find it difficult to maintain our corporate culture. If we do not maintain and continue to develop our corporate culture as we grow and evolve, it could harm our ability to foster the innovation, craftsmanship, teamwork, curiosity, and diversity, we believe that we need to support our growth. Any failure to preserve our culture could also harm our ability to retain and recruit personnel, innovate and operate effectively, and execute on our business strategy.</w:t>
      </w:r>
    </w:p>
    <w:p>
      <w:pPr>
        <w:spacing w:after="0" w:line="184"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6"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example, as we have prepared to become a public company, we have worked to improve the controls around our key accounting processes and our quarterly close process, we have implemented a number of new systems to supplement our core enterprise resource planning, or ERP, system as part of our control environment,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 in this prospectus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ordinary shares.</w:t>
      </w:r>
    </w:p>
    <w:p>
      <w:pPr>
        <w:spacing w:after="0" w:line="210"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and a foreign-private issuer in particular, we will be required to provide an annual management report on the effectiveness of our internal control over financial reporting commencing with our second annual report on Form 20-F.</w:t>
      </w:r>
    </w:p>
    <w:p>
      <w:pPr>
        <w:spacing w:after="0" w:line="20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price of our ordinary shares.</w:t>
      </w:r>
    </w:p>
    <w:p>
      <w:pPr>
        <w:spacing w:after="0" w:line="180"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80" w:lineRule="exact"/>
        <w:rPr>
          <w:sz w:val="20"/>
          <w:szCs w:val="20"/>
          <w:color w:val="auto"/>
        </w:rPr>
      </w:pPr>
    </w:p>
    <w:p>
      <w:pPr>
        <w:jc w:val="both"/>
        <w:ind w:left="160" w:right="300" w:firstLine="546"/>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related notes. We base our estimates on historical experience and on various other assumptions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60"/>
        <w:spacing w:after="0" w:line="246" w:lineRule="auto"/>
        <w:rPr>
          <w:sz w:val="20"/>
          <w:szCs w:val="20"/>
          <w:color w:val="auto"/>
        </w:rPr>
      </w:pPr>
      <w:r>
        <w:rPr>
          <w:rFonts w:ascii="Arial" w:cs="Arial" w:eastAsia="Arial" w:hAnsi="Arial"/>
          <w:sz w:val="17"/>
          <w:szCs w:val="17"/>
          <w:color w:val="auto"/>
        </w:rPr>
        <w:t>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w:t>
      </w:r>
    </w:p>
    <w:p>
      <w:pPr>
        <w:spacing w:after="0" w:line="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Significant assumptions and estimates used in preparing our consolidated financial statements include those related to revenue recognition, share based compensation including the estimation of fair value of ordinary shares, valuation of strategic investments, period of benefit for deferred costs, and uncertain tax positions.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ordinary shares.</w:t>
      </w:r>
    </w:p>
    <w:p>
      <w:pPr>
        <w:spacing w:after="0" w:line="182"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b w:val="1"/>
          <w:bCs w:val="1"/>
          <w:i w:val="1"/>
          <w:iCs w:val="1"/>
          <w:color w:val="auto"/>
        </w:rPr>
        <w:t>Changes in tax laws or regulations to which we are subject could have an adverse effect on us, our merchants or their shoppers and could increase the costs and reduce the attractiveness of our platform and harm our business.</w:t>
      </w:r>
    </w:p>
    <w:p>
      <w:pPr>
        <w:spacing w:after="0" w:line="18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New income, sales, use or other tax laws, regulations, or ordinances could be enacted and new interpretations of existing tax laws, regulations or ordinances could be adopted at any time. Those changes could adversely affect our domestic and international business operations, and our business, results of operations, and financial condition. These events could require us, our merchants or their shoppers to pay additional tax amounts on a prospective or retroactive basis, as well as require us, our merchants or their shoppers to pay fines and/or penalties and interest for past amounts deemed to be due. If we are required to collect such additional tax amounts from either our merchants or their shoppers and are unsuccessful in collecting such taxes due from our merchants or their shoppers, we could be held liable for such costs, thereby adversely affecting our results of operations and harming our business. If we raise our prices to offset the costs of these changes, merchants may elect not to use our platform and services in the future. Additionally, new, changed, modified, or newly interpreted or applied tax laws could increase our merchants’, our shoppers’ and our compliance, operating, and other costs. Further, these events could decrease the capital we have available to operate our business. Any or all of these events could harm our business, results of operations, and financial condition. For example, on July 1, 2021, new VAT e-commerce rules came into effect, which apply to all sales we make to EU shoppers. Among other requirements, the new VAT rules require us to register and operate a new reporting system (commonly known as “IOSS”). Compliance with these new reporting requirements as well as the newly introduced VAT rules required significant resources and we cannot be certain that we have fully complied with or applied the new requirements, and as a result we may face non-compliance assessments, calculation or remittance gaps and other discrepancies. Further, governments, customs agencies and tax authorities may seek heightened scrutiny and enforcement of the new regulations, which could result in delayed clearance, rejections of our tax submissions, refusal to assess taxes in a timely manner and additional audits.</w:t>
      </w:r>
    </w:p>
    <w:p>
      <w:pPr>
        <w:spacing w:after="0" w:line="208"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 withholding requirements apply to us or our subsidiaries or that benefits of tax treaties are not available to us or our subsidiaries, any of which could harm us and our results of operations.</w:t>
      </w:r>
    </w:p>
    <w:p>
      <w:pPr>
        <w:spacing w:after="0" w:line="180"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taxes relating to the use of our platform and services in jurisdictions where we have not historically done so.</w:t>
      </w:r>
    </w:p>
    <w:p>
      <w:pPr>
        <w:spacing w:after="0" w:line="180"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States and local taxing jurisdictions may impose sales and use taxes, including on services provided electronically or goods sold via the internet. The applicability of sales taxes related to the use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of our platform in various jurisdictions is unclear. We collect and remit sales and value-added tax, or VAT or goods and services tax, or GST, in a number of jurisdictions (including in the U.S.). It is possible, however, that we could face sales tax, VAT or GST audits and that our liability for these taxes could exceed our estimates as state tax authorities could still assert that we are obligated to collect additional tax amounts from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audits in U.S. states and non-U.S. jurisdictions for which we have not accrued tax liabilities. A successful assertion that we should be collecting additional sales or other taxes on our services and/or on goods sold in jurisdictions where we have not historically done so and do not accrue for sales taxes could result in substantial tax liabilities for past sales (including substantial interest and penalties), discourage organizations from utilizing our platform and services, or otherwise harm our business, results of operations, and financial condition.</w:t>
      </w:r>
    </w:p>
    <w:p>
      <w:pPr>
        <w:spacing w:after="0" w:line="180"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194"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In 2015, the Organization for Economic Co-operation and Development (the “OECD”) released various reports under its Base Erosion and Profit Shifting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 for example, by signing up to the Multilateral Convention to Implement Tax Treaty Related Measures to Prevent BEPS (the “MLI”) which currently has been signed by over 85 jurisdictions, including Israel who ratified the MLI on September 13, 2018. The MLI implements some of the measures that the BEPS initiative proposes to be transposed into existing treaties of participating states. Such measures include the inclusion in tax treaties of one, or both, of a “limitation-on-benefit” (“LOB”) rule and a “principle purposes test” (“PPT”) rule. The application of the LOB rule or the PPT rule could deny the availability of tax treaty benefits (such as a reduced rate of withholding tax) under tax treaties. There are likely to be significant changes in the tax legislation of various OECD jurisdictions during the period of implementation of BEPS. Such legislative initiatives may materially and adversely affect our plans to expand internationally and may negatively impact our financial condition, tax liability, results of operations and could increase our administrative efforts.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56" w:right="5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Risks Affecting Our Business and Operations</w:t>
      </w:r>
    </w:p>
    <w:p>
      <w:pPr>
        <w:spacing w:after="0" w:line="208"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Unfavorable conditions in our industry, the global economy, e-commerce or particular verticals within e-commerce, could limit our ability to grow our business and negatively affect our results of operations.</w:t>
      </w:r>
    </w:p>
    <w:p>
      <w:pPr>
        <w:spacing w:after="0" w:line="180"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merchants. The revenue growth and potential profitability of our business depend on demand for our platform and services, as well as demand for the products offered by our merchants. Therefore, current or future economic uncertainties or downturns could adversely affect our business and results of operations. Negative conditions in the global economy or individual markets, including changes in gross domestic product growth, financial and credit market fluctuations, political turmoil, natural catastrophes, warfare and terrorist attacks, could cause a decrease in business investments, consumer spending, e-commerce generally and negatively affect our business. A percentage of our merchants are luxury fashion brands, and the adverse impact to our business resulting from any of the foregoing factors could be magnified to the extent that it disproportionately affects merchants in verticals from which our merchants derive a significant amount of their GMV.</w:t>
      </w:r>
    </w:p>
    <w:p>
      <w:pPr>
        <w:spacing w:after="0" w:line="20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The COVID-19 pandemic also has caused heightened uncertainty in the global economy. If economic conditions further deteriorate, shoppers may not have the financial means to make purchases from our merchants and may delay or reduce discretionary purchases, negatively impacting our merchants and our results of operations.</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Uncertainty from the pandemic may also cause prospective or existing merchants to defer investment in e-commerce. Our smaller merchants may be more susceptible to general economic conditions than larger businesses, which may have greater liquidity and access to capital. Uncertain and adverse economic conditions also may lead to increased refunds and chargebacks. Since the impact of COVID-19 is ongoing, the effect of the COVID-19 pandemic and the related impact on the global economy may not be fully reflected in our results of operations until future periods. Volatility in the capital markets has been heightened during recent months and such volatility may continue, which may cause declines in the price of our ordinary shares.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To the extent our platform is perceived by merchants as costly, or too difficult to launch or migrate to, it would negatively affect our growth. Our revenue may be disproportionately affected by delays or reductions in general IT spending and reduction in investments in cross-border expansion by merchants. Our competition may respond to market conditions by lowering prices or otherwise bundling their competing solutions with other of their offerings which are widely used by merchants in a way that may make it difficult to attract merchants to our platform and services and may offer more competitive prices (including by way of strategic partnerships, collaborations or otherwise), in order to lure away our merchants.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28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Relating to Our Ordinary Shares and the Offering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30" w:lineRule="exact"/>
        <w:rPr>
          <w:sz w:val="20"/>
          <w:szCs w:val="20"/>
          <w:color w:val="auto"/>
        </w:rPr>
      </w:pPr>
    </w:p>
    <w:p>
      <w:pPr>
        <w:ind w:left="160" w:right="720" w:firstLine="546"/>
        <w:spacing w:after="0" w:line="239" w:lineRule="auto"/>
        <w:rPr>
          <w:sz w:val="20"/>
          <w:szCs w:val="20"/>
          <w:color w:val="auto"/>
        </w:rPr>
      </w:pPr>
      <w:r>
        <w:rPr>
          <w:rFonts w:ascii="Arial" w:cs="Arial" w:eastAsia="Arial" w:hAnsi="Arial"/>
          <w:sz w:val="18"/>
          <w:szCs w:val="18"/>
          <w:color w:val="auto"/>
        </w:rPr>
        <w:t>The market price of our ordinary shares could be highly volatile and may fluctuate substantially as a result of many factors, including:</w:t>
      </w:r>
    </w:p>
    <w:p>
      <w:pPr>
        <w:spacing w:after="0" w:line="109" w:lineRule="exact"/>
        <w:rPr>
          <w:sz w:val="20"/>
          <w:szCs w:val="20"/>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27" w:lineRule="exact"/>
        <w:rPr>
          <w:rFonts w:ascii="Arial" w:cs="Arial" w:eastAsia="Arial" w:hAnsi="Arial"/>
          <w:sz w:val="18"/>
          <w:szCs w:val="18"/>
          <w:color w:val="auto"/>
        </w:rPr>
      </w:pPr>
    </w:p>
    <w:p>
      <w:pPr>
        <w:ind w:left="5520" w:right="3940" w:hanging="4818"/>
        <w:spacing w:after="0" w:line="426" w:lineRule="auto"/>
        <w:tabs>
          <w:tab w:leader="none" w:pos="9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 45</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34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competition of significant business developments, changes in service provider relationships, acquisitions or expansion plans;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partners, merchants, and operating results;</w:t>
      </w:r>
    </w:p>
    <w:p>
      <w:pPr>
        <w:spacing w:after="0" w:line="127"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127" w:lineRule="exact"/>
        <w:rPr>
          <w:rFonts w:ascii="Arial" w:cs="Arial" w:eastAsia="Arial" w:hAnsi="Arial"/>
          <w:sz w:val="18"/>
          <w:szCs w:val="18"/>
          <w:color w:val="auto"/>
        </w:rPr>
      </w:pPr>
    </w:p>
    <w:p>
      <w:pPr>
        <w:ind w:left="920" w:right="138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1" w:lineRule="exact"/>
        <w:rPr>
          <w:sz w:val="20"/>
          <w:szCs w:val="20"/>
          <w:color w:val="auto"/>
        </w:rPr>
      </w:pPr>
    </w:p>
    <w:p>
      <w:pPr>
        <w:ind w:left="160" w:firstLine="546"/>
        <w:spacing w:after="0" w:line="253"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0"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b w:val="1"/>
          <w:bCs w:val="1"/>
          <w:i w:val="1"/>
          <w:iCs w:val="1"/>
          <w:color w:val="auto"/>
        </w:rPr>
        <w:t>The concentration of our share ownership with insiders may limit your ability to influence corporate matters, including the ability to influence the outcome of director elections and other matters requiring shareholder approval.</w:t>
      </w:r>
    </w:p>
    <w:p>
      <w:pPr>
        <w:spacing w:after="0" w:line="180"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executive officers, directors, beneficial owners of greater than 5% of our ordinary shares and affiliated entities together beneficially owned approximately 71.2% of our ordinary shares outstanding as of June 30, 2021 and we anticipate the same group will hold approximately 64.27% of our ordinary shares following this offering (assuming no exercise of the underwriters’ option to purchase additional shares). Certain of such holders also have rights to acquire additional ordinary shares upon the exercise of options and warrants in the future. As a result, these shareholders, acting together, will have control over most matters that require approval by our shareholders, including the appointment and dismissal of directors, the terms of compensation of our directors and chief executive officer, certain other related party transactions, capital increases, and amendments to our amended and restated articles of association. Corporate action might be taken even if other shareholders oppose them. This concentration of ownership might also have the effect of delaying or preventing a change of control of us that other shareholders may view as beneficial.</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 active trading market for our ordinary shares may not be sustained to provide adequate liquidity.</w:t>
      </w:r>
    </w:p>
    <w:p>
      <w:pPr>
        <w:spacing w:after="0" w:line="230" w:lineRule="exact"/>
        <w:rPr>
          <w:sz w:val="20"/>
          <w:szCs w:val="20"/>
          <w:color w:val="auto"/>
        </w:rPr>
      </w:pPr>
    </w:p>
    <w:p>
      <w:pPr>
        <w:jc w:val="both"/>
        <w:ind w:left="160" w:right="140" w:firstLine="546"/>
        <w:spacing w:after="0" w:line="257" w:lineRule="auto"/>
        <w:rPr>
          <w:sz w:val="20"/>
          <w:szCs w:val="20"/>
          <w:color w:val="auto"/>
        </w:rPr>
      </w:pPr>
      <w:r>
        <w:rPr>
          <w:rFonts w:ascii="Arial" w:cs="Arial" w:eastAsia="Arial" w:hAnsi="Arial"/>
          <w:sz w:val="17"/>
          <w:szCs w:val="17"/>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320" w:top="456"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18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spacing w:after="0" w:line="182"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b w:val="1"/>
          <w:bCs w:val="1"/>
          <w:i w:val="1"/>
          <w:iCs w:val="1"/>
          <w:color w:val="auto"/>
        </w:rPr>
        <w:t>We are an emerging growth company, as defined in the Securities Act, and we cannot be certain if the reduced disclosure requirements applicable to emerging growth companies will make our ordinary shares less attractive to investors because we may rely on these reduced disclosure requirements.</w:t>
      </w:r>
    </w:p>
    <w:p>
      <w:pPr>
        <w:spacing w:after="0" w:line="194" w:lineRule="exact"/>
        <w:rPr>
          <w:sz w:val="20"/>
          <w:szCs w:val="20"/>
          <w:color w:val="auto"/>
        </w:rPr>
      </w:pPr>
    </w:p>
    <w:p>
      <w:pPr>
        <w:jc w:val="both"/>
        <w:ind w:left="160" w:right="160" w:firstLine="546"/>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JOBS Act. Under the JOBS Act, emerging growth companies can delay adopting new or revised financial accounting standards until such time as those standards apply to private companies. We have elected to take advantage of this extended transition period under the JOBS Act for adopting new or revised financial accounting standards.</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until December 31, 2026, although circumstances could cause us to lose that status earlier, including if our total annual revenue exceeds $ 1.07 billion, if we issue more than $1.0 billion in non-convertible debt securities during any three-year period, or if before that time we are a “large accelerated filer” under U.S. securities laws.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w:t>
      </w:r>
    </w:p>
    <w:p>
      <w:pPr>
        <w:spacing w:after="0" w:line="18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8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6"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30" w:lineRule="exact"/>
        <w:rPr>
          <w:sz w:val="20"/>
          <w:szCs w:val="20"/>
          <w:color w:val="auto"/>
        </w:rPr>
      </w:pPr>
    </w:p>
    <w:p>
      <w:pPr>
        <w:ind w:left="160" w:right="80" w:firstLine="546"/>
        <w:spacing w:after="0" w:line="233" w:lineRule="auto"/>
        <w:rPr>
          <w:sz w:val="20"/>
          <w:szCs w:val="20"/>
          <w:color w:val="auto"/>
        </w:rPr>
      </w:pPr>
      <w:r>
        <w:rPr>
          <w:rFonts w:ascii="Arial" w:cs="Arial" w:eastAsia="Arial" w:hAnsi="Arial"/>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188" w:lineRule="exact"/>
        <w:rPr>
          <w:sz w:val="20"/>
          <w:szCs w:val="20"/>
          <w:color w:val="auto"/>
        </w:rPr>
      </w:pPr>
    </w:p>
    <w:p>
      <w:pPr>
        <w:ind w:left="160" w:right="60"/>
        <w:spacing w:after="0" w:line="295" w:lineRule="auto"/>
        <w:rPr>
          <w:sz w:val="20"/>
          <w:szCs w:val="20"/>
          <w:color w:val="auto"/>
        </w:rPr>
      </w:pPr>
      <w:r>
        <w:rPr>
          <w:rFonts w:ascii="Arial" w:cs="Arial" w:eastAsia="Arial" w:hAnsi="Arial"/>
          <w:sz w:val="17"/>
          <w:szCs w:val="17"/>
          <w:b w:val="1"/>
          <w:bCs w:val="1"/>
          <w:i w:val="1"/>
          <w:iCs w:val="1"/>
          <w:color w:val="auto"/>
        </w:rPr>
        <w:t>As we are a “foreign private issuer” and follow certain home country corporate governance practices, our shareholders may not have the same protections afforded to shareholders of companies that are subject to all corporate governance rules of Nasdaq.</w:t>
      </w:r>
    </w:p>
    <w:p>
      <w:pPr>
        <w:spacing w:after="0" w:line="157"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Nasdaq rules for shareholder meeting quorums. We may in the future elect to follow home country practices with regard to other matters. As a result, our shareholders may not have the same protections afforded to shareholders of companies that are subject to all corporate governance rules of Nasdaq.</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issuances and sales of our ordinary shares.</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As of June 30, 2021, there were 145,641,073 ordinary shares outstanding, as well as warrants to purchase an aggregate of 10,865,916 ordinary shares at an exercise price of $0.01 per share. As of June 30, 2021, we also had 13,346,196 ordinary shares available for future grant under our equity incentive plans and 12,287,454 ordinary shares that were subject to share awards outstanding (of which 6,753,151 were vested and exercisable as of June 30, 2021).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Although we, our executive officers and directors and the holders of substantially all of our ordinary shares outstanding immediately prior to our initial public offering agreed that, until the 180th day after our initial public offering, we and they would not offer, sell, agree to sell, directly or indirectly, or otherwise dispose of any ordinary shares, such agreements are subject to certain exceptions. In particular, as described further in “Shares Eligible for Future Sale —Lock-Up Agreements” below, an aggregate of 7,330,943 Released Shares (as defined below) held by shareholders other than the selling shareholders will be free from the restrictions on transfer set forth in their respective lock-up agreements for the period through and including September 15, 2021.</w:t>
      </w:r>
    </w:p>
    <w:p>
      <w:pPr>
        <w:spacing w:after="0" w:line="180"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ordinary shares.</w:t>
      </w:r>
    </w:p>
    <w:p>
      <w:pPr>
        <w:spacing w:after="0" w:line="180"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public price of our ordinary shares, which could fluctuate significantly. In addition, it is possible that the Internal Revenue Service may take a contrary position with respect to our determination in any particular year, and therefore, there can be no assurance that we will not be classified as a PFIC in the current taxable year or in the future. Certain adverse U.S. federal income tax consequences could apply to a United States Holder (as defined in “Taxation—U.S. Federal Income Tax Consideration”) if we are treated as a PFIC for any taxable year during which such United States Holder holds our ordinary shares. United States Holders should consult their tax advisors about the potential application of the PFIC rules to their investment in our ordinary shares. For further discussion, see “Taxation—U.S. Federal Income Tax Consideration—Passive Foreign Investment Company.”</w:t>
      </w: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08"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81" w:lineRule="exact"/>
        <w:rPr>
          <w:sz w:val="20"/>
          <w:szCs w:val="20"/>
          <w:color w:val="auto"/>
        </w:rPr>
      </w:pPr>
    </w:p>
    <w:p>
      <w:pPr>
        <w:ind w:left="160" w:right="600"/>
        <w:spacing w:after="0" w:line="265"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8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09" w:lineRule="exact"/>
        <w:rPr>
          <w:sz w:val="20"/>
          <w:szCs w:val="20"/>
          <w:color w:val="auto"/>
        </w:rPr>
      </w:pPr>
    </w:p>
    <w:p>
      <w:pPr>
        <w:ind w:left="920" w:right="2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Israeli corporate law regulates mergers and requires that a tender offer be effected when more than a specified percentage of shares in a company are purchased;</w:t>
      </w:r>
    </w:p>
    <w:p>
      <w:pPr>
        <w:spacing w:after="0" w:line="109" w:lineRule="exact"/>
        <w:rPr>
          <w:rFonts w:ascii="Arial" w:cs="Arial" w:eastAsia="Arial" w:hAnsi="Arial"/>
          <w:sz w:val="18"/>
          <w:szCs w:val="18"/>
          <w:color w:val="auto"/>
        </w:rPr>
      </w:pPr>
    </w:p>
    <w:p>
      <w:pPr>
        <w:ind w:left="920" w:right="30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109" w:lineRule="exact"/>
        <w:rPr>
          <w:rFonts w:ascii="Arial" w:cs="Arial" w:eastAsia="Arial" w:hAnsi="Arial"/>
          <w:sz w:val="18"/>
          <w:szCs w:val="18"/>
          <w:color w:val="auto"/>
        </w:rPr>
      </w:pPr>
    </w:p>
    <w:p>
      <w:pPr>
        <w:ind w:left="920" w:right="58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Israeli corporate law does not provide for shareholder action by written consent for public companies, thereby requiring all shareholder actions to be taken at a general meeting of shareholders;</w:t>
      </w:r>
    </w:p>
    <w:p>
      <w:pPr>
        <w:spacing w:after="0" w:line="109" w:lineRule="exact"/>
        <w:rPr>
          <w:rFonts w:ascii="Arial" w:cs="Arial" w:eastAsia="Arial" w:hAnsi="Arial"/>
          <w:sz w:val="18"/>
          <w:szCs w:val="18"/>
          <w:color w:val="auto"/>
        </w:rPr>
      </w:pPr>
    </w:p>
    <w:p>
      <w:pPr>
        <w:ind w:left="920" w:right="40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divide our directors into three classes, each of which is elected once every three years;</w:t>
      </w:r>
    </w:p>
    <w:p>
      <w:pPr>
        <w:spacing w:after="0" w:line="109" w:lineRule="exact"/>
        <w:rPr>
          <w:rFonts w:ascii="Arial" w:cs="Arial" w:eastAsia="Arial" w:hAnsi="Arial"/>
          <w:sz w:val="18"/>
          <w:szCs w:val="18"/>
          <w:color w:val="auto"/>
        </w:rPr>
      </w:pPr>
    </w:p>
    <w:p>
      <w:pPr>
        <w:ind w:left="920" w:right="60" w:hanging="218"/>
        <w:spacing w:after="0" w:line="236"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at least 70% of our voting power;</w:t>
      </w:r>
    </w:p>
    <w:p>
      <w:pPr>
        <w:spacing w:after="0" w:line="108" w:lineRule="exact"/>
        <w:rPr>
          <w:rFonts w:ascii="Arial" w:cs="Arial" w:eastAsia="Arial" w:hAnsi="Arial"/>
          <w:sz w:val="18"/>
          <w:szCs w:val="18"/>
          <w:color w:val="auto"/>
        </w:rPr>
      </w:pPr>
    </w:p>
    <w:p>
      <w:pPr>
        <w:ind w:left="920" w:right="200" w:hanging="218"/>
        <w:spacing w:after="0" w:line="235"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articles of association restrict us, subject to certain exceptions, from engaging in certain business combination transactions, with any shareholder who holds 20% or more of our voting power. The transactions subject to such restrictions include mergers, consolidations and dispositions of our assets with a market value of 10% or more of our assets or outstanding shares. Subject to certain exceptions, such restrictions will apply for a period of three years following each time a shareholder became the holder of 20% or more of our voting power;</w:t>
      </w:r>
    </w:p>
    <w:p>
      <w:pPr>
        <w:spacing w:after="0" w:line="110" w:lineRule="exact"/>
        <w:rPr>
          <w:rFonts w:ascii="Arial" w:cs="Arial" w:eastAsia="Arial" w:hAnsi="Arial"/>
          <w:sz w:val="18"/>
          <w:szCs w:val="18"/>
          <w:color w:val="auto"/>
        </w:rPr>
      </w:pPr>
    </w:p>
    <w:p>
      <w:pPr>
        <w:ind w:left="920" w:right="36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do not permit a director to be removed except by a vote of the holders of at least 70% of our voting power;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articles of association provide that director vacancies may be filled by our board of directors.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230" w:lineRule="exact"/>
        <w:rPr>
          <w:sz w:val="20"/>
          <w:szCs w:val="20"/>
          <w:color w:val="auto"/>
        </w:rPr>
      </w:pPr>
    </w:p>
    <w:p>
      <w:pPr>
        <w:ind w:left="160" w:right="320" w:firstLine="546"/>
        <w:spacing w:after="0" w:line="236" w:lineRule="auto"/>
        <w:rPr>
          <w:sz w:val="20"/>
          <w:szCs w:val="20"/>
          <w:color w:val="auto"/>
        </w:rPr>
      </w:pPr>
      <w:r>
        <w:rPr>
          <w:rFonts w:ascii="Arial" w:cs="Arial" w:eastAsia="Arial" w:hAnsi="Arial"/>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Consequently, investors who purchase ordinary shares in this offering may be unable to realize a gain on their investment except by selling sell such shares after price appreciation, which may never occur.</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“Description of Share Capital and Articles of Association— Dividend and Liquidation Rights” for additional information.</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Payment of dividends may also be subject to Israeli withholding taxes. See “Taxation” for additional information.</w:t>
      </w:r>
    </w:p>
    <w:p>
      <w:pPr>
        <w:spacing w:after="0" w:line="186"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18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4"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We are required to comply with the SEC’s rules implementing Sections 302 and 404 of the Sarbanes-Oxley Act, which require management to certify financial and other information in our annual</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6"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reports and provide an annual management report on the effectiveness of control over financial reporting. Though we are now required to disclose material changes in internal control over financial reporting on an annual basis, we will not be required to make our first annual assessment of our internal control over financial reporting pursuant to Section 404 until we file our annual report for the year ended December 31, 2022 in 2023.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202"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currently have limited accounting personnel and continue to evaluate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ordinary shares could be negatively affected, and we could become subject to investigations by Nasdaq, the SEC or other regulatory authorities, which could require additional financial and management resources.</w:t>
      </w:r>
    </w:p>
    <w:p>
      <w:pPr>
        <w:spacing w:after="0" w:line="184"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are compliant with Section 404 of the Sarbanes-Oxley Act or National Instrument 52-109.</w:t>
      </w:r>
    </w:p>
    <w:p>
      <w:pPr>
        <w:spacing w:after="0" w:line="18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(“Section 404”) and therefore are not required to make a formal assessment of the effectiveness of our internal control over financial reporting for that purpose. Though we will be required to disclose material changes in internal control over financial reporting on an annual basis, we will not be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ordinary shares could be negatively affected, and we could become subject to investigations by Nasdaq, the SEC or other regulatory authorities, which could require additional financial and management resources.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b w:val="1"/>
          <w:bCs w:val="1"/>
          <w:i w:val="1"/>
          <w:iCs w:val="1"/>
          <w:color w:val="auto"/>
        </w:rPr>
        <w:t>Our amended and restated articles of association provide that unless we consent to an alternate forum, the federal district courts of the United States shall be the exclusive forum of resolution of any claims arising under the Securities Act which may impose additional litigation costs on our shareholders.</w:t>
      </w:r>
    </w:p>
    <w:p>
      <w:pPr>
        <w:spacing w:after="0" w:line="19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amended and restated articles of association provide that the federal district courts of the United States shall be the exclusive forum for the resolution of any claims arising under the Securities Act, the Exchange Act or the rules and regulations promulgated pursuant to such statutes. Notwithstanding the foregoing, we note that holders of our securities cannot waive compliance with the federal securities laws and the rules and regulations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As a result, the exclusive jurisdiction provision may not preclude or contract the scope of exclusive federal or concurrent jurisdiction for actions brought under the Securities Act or the Exchange Act, or the respective rules and regulations promulgated thereunder. While the Federal Forum Provision does not restrict the ability of our shareholders to bring claims under the Securities Act, nor does it affect the remedies available thereunder if such claims are successful, we recognize that it may limit shareholders ability to bring a claim in the judicial forum that they find favorable and may increase certain litigation costs which may discourage the filing of claims against the Company, its directors and officers.</w:t>
      </w:r>
    </w:p>
    <w:p>
      <w:pPr>
        <w:spacing w:after="0" w:line="29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business.</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Many of our employees, including certain management members operate from our offices that are located in Petah Tikva,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hostilities involving Israel or the interruption or curtailment of trade between Israel and its trading partners could adversely affect our operations and results of operations</w:t>
      </w:r>
    </w:p>
    <w:p>
      <w:pPr>
        <w:spacing w:after="0" w:line="20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204" w:lineRule="exact"/>
        <w:rPr>
          <w:sz w:val="20"/>
          <w:szCs w:val="20"/>
          <w:color w:val="auto"/>
        </w:rPr>
      </w:pPr>
    </w:p>
    <w:p>
      <w:pPr>
        <w:ind w:left="160" w:right="280" w:firstLine="546"/>
        <w:spacing w:after="0" w:line="236"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180" w:lineRule="exact"/>
        <w:rPr>
          <w:sz w:val="20"/>
          <w:szCs w:val="20"/>
          <w:color w:val="auto"/>
        </w:rPr>
      </w:pPr>
    </w:p>
    <w:p>
      <w:pPr>
        <w:ind w:left="160" w:right="480"/>
        <w:spacing w:after="0" w:line="265"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named in this prospectus in Israel or the United States, or to assert U.S. securities laws claims in Israel or serve process on our officers and directors.</w:t>
      </w:r>
    </w:p>
    <w:p>
      <w:pPr>
        <w:spacing w:after="0" w:line="18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21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For more information, see “Enforceability of Civil Liabilities.”</w:t>
      </w:r>
    </w:p>
    <w:p>
      <w:pPr>
        <w:spacing w:after="0" w:line="182"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8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We are incorporated under Israeli law. The rights and responsibilities of holders of our ordinary shares are governed by our amended and restated articles of association and the Israeli Companies Law, 5759-1999.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amended and restated articles of association provide that unless the Company consents otherwise, the competent courts of Tel Aviv, Israel shall be the sole and exclusive forum for substantially all disputes between the Company and its shareholders under the Companies Law and the Israeli Securities Law, which could limit its shareholders ability to brings claims and proceedings against, as well as obtain favorable judicial forum for disputes with the Company, its directors, officers and other employees.</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The competent courts of Tel Aviv, Israel shall be the exclusive forum for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This exclusive forum provisions is intended to apply to claims arising under Israeli Law and would not apply to claims brought pursuant to the Securities Act or the Exchange Act or any other claim for which federal courts would have exclusive jurisdiction. Such exclusive forum provision in our amended and restated articles of association will not relieve the Company of its duties to comply with federal securities laws and the rules and regulations thereunder, and shareholders of the Company will not be deemed to have waived the Company’s compliance with these laws, rules and regulations. This exclusive forum provision may limit a shareholders ability to bring a claim in a judicial forum of its choosing for disputes with the Company or its directors or other employees which may discourage lawsuits against the Company, its directors, officers and employees.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0" w:lineRule="exact"/>
        <w:rPr>
          <w:sz w:val="20"/>
          <w:szCs w:val="20"/>
          <w:color w:val="auto"/>
        </w:rPr>
      </w:pPr>
    </w:p>
    <w:p>
      <w:pPr>
        <w:jc w:val="both"/>
        <w:ind w:left="160" w:right="480" w:firstLine="546"/>
        <w:spacing w:after="0" w:line="236" w:lineRule="auto"/>
        <w:rPr>
          <w:sz w:val="20"/>
          <w:szCs w:val="20"/>
          <w:color w:val="auto"/>
        </w:rPr>
      </w:pPr>
      <w:r>
        <w:rPr>
          <w:rFonts w:ascii="Arial" w:cs="Arial" w:eastAsia="Arial" w:hAnsi="Arial"/>
          <w:sz w:val="18"/>
          <w:szCs w:val="18"/>
          <w:color w:val="auto"/>
        </w:rPr>
        <w:t>This prospectus contains estimates and forward-looking statements. In some cases, these forward-looking statements can be identified by words or phrases such as “may,” “might,” “will,” “could,” “would,” “should,” “expect,” “plan,” “anticipate,” “intend,” “seek,” “believe,” “estimate,” “predict,” “potential,” “continue,” “contemplate,” “possible” or the negative of these terms or similar expressions. Forward-looking statements contained in this prospectus include, but are not limited to, statements about:</w:t>
      </w:r>
    </w:p>
    <w:p>
      <w:pPr>
        <w:spacing w:after="0" w:line="109" w:lineRule="exact"/>
        <w:rPr>
          <w:sz w:val="20"/>
          <w:szCs w:val="20"/>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retain existing, and attract new, merchants;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operations;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27"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anticipate merchant needs or develop or acquire new functionality or enhance our existing platform to meet those needs;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manage our growth and manage expansion into additional markets;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establish and protect intellectual property rights;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adapt to emerging or evolving regulatory developments, technological changes, and cybersecurity needs;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anticipated cash needs and our estimates regarding our capital requirements and our needs for additional financing; and</w:t>
      </w:r>
    </w:p>
    <w:p>
      <w:pPr>
        <w:spacing w:after="0" w:line="127" w:lineRule="exact"/>
        <w:rPr>
          <w:rFonts w:ascii="Arial" w:cs="Arial" w:eastAsia="Arial" w:hAnsi="Arial"/>
          <w:sz w:val="18"/>
          <w:szCs w:val="18"/>
          <w:color w:val="auto"/>
        </w:rPr>
      </w:pPr>
    </w:p>
    <w:p>
      <w:pPr>
        <w:ind w:left="920" w:right="660" w:hanging="218"/>
        <w:spacing w:after="0" w:line="239"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statements described in this prospectus under “Risk Factors,” “Management’s Discussion and Analysis of Financial Condition and Results of Operations,” and “Business.”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20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202"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USE OF PROCEEDS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selling shareholders will receive all net proceeds from the sale of the ordinary shares to be sold in this offering. We will not receive any of the proceeds from the sale of our ordinary shares by the selling shareholders, including from any exercise by the underwriters of their option to purchase additional shares. The expenses of the offering, not including the underwriting discount, are estimated at approximately $1.0 million and are payable by us. See “Underwriting”.</w:t>
      </w:r>
    </w:p>
    <w:p>
      <w:pPr>
        <w:spacing w:after="0" w:line="13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80"/>
          </w:cols>
          <w:pgMar w:left="320" w:top="456" w:right="8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“Description of Share Capital and Articles of Association—Dividend and Liquidation Rights” for additional information.</w:t>
      </w:r>
    </w:p>
    <w:p>
      <w:pPr>
        <w:spacing w:after="0" w:line="196" w:lineRule="exact"/>
        <w:rPr>
          <w:sz w:val="20"/>
          <w:szCs w:val="20"/>
          <w:color w:val="auto"/>
        </w:rPr>
      </w:pPr>
    </w:p>
    <w:p>
      <w:pPr>
        <w:ind w:left="160" w:right="600" w:firstLine="546"/>
        <w:spacing w:after="0" w:line="239" w:lineRule="auto"/>
        <w:rPr>
          <w:sz w:val="20"/>
          <w:szCs w:val="20"/>
          <w:color w:val="auto"/>
        </w:rPr>
      </w:pPr>
      <w:r>
        <w:rPr>
          <w:rFonts w:ascii="Arial" w:cs="Arial" w:eastAsia="Arial" w:hAnsi="Arial"/>
          <w:sz w:val="18"/>
          <w:szCs w:val="18"/>
          <w:color w:val="auto"/>
        </w:rPr>
        <w:t>Payment of dividends may be subject to Israeli withholding taxes. See “Taxation —Israeli Tax Considerations” for additional information.</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6"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total capitalization as of June 30, 2021.</w:t>
      </w:r>
    </w:p>
    <w:p>
      <w:pPr>
        <w:spacing w:after="0" w:line="208"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76"/>
              <w:spacing w:after="0" w:line="154" w:lineRule="exact"/>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 and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391,008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spacing w:after="0" w:line="200" w:lineRule="exact"/>
              <w:rPr>
                <w:sz w:val="20"/>
                <w:szCs w:val="20"/>
                <w:color w:val="auto"/>
              </w:rPr>
            </w:pPr>
            <w:r>
              <w:rPr>
                <w:rFonts w:ascii="Arial" w:cs="Arial" w:eastAsia="Arial" w:hAnsi="Arial"/>
                <w:sz w:val="18"/>
                <w:szCs w:val="18"/>
                <w:color w:val="auto"/>
              </w:rPr>
              <w:t>Ordinary shares, no par value: 300,000,000 shares authorized and 145,641,073 shares issued and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tcPr>
          <w:p>
            <w:pPr>
              <w:jc w:val="right"/>
              <w:ind w:right="6791"/>
              <w:spacing w:after="0" w:line="201" w:lineRule="exact"/>
              <w:rPr>
                <w:sz w:val="20"/>
                <w:szCs w:val="20"/>
                <w:color w:val="auto"/>
              </w:rPr>
            </w:pPr>
            <w:r>
              <w:rPr>
                <w:rFonts w:ascii="Arial" w:cs="Arial" w:eastAsia="Arial" w:hAnsi="Arial"/>
                <w:sz w:val="18"/>
                <w:szCs w:val="18"/>
                <w:color w:val="auto"/>
              </w:rPr>
              <w:t>outstanding, actual</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741,594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rPr>
              <w:t>Accumulated comprehensive income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(76,681)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Pr>
          <w:p>
            <w:pPr>
              <w:jc w:val="right"/>
              <w:ind w:right="5451"/>
              <w:spacing w:after="0"/>
              <w:rPr>
                <w:sz w:val="20"/>
                <w:szCs w:val="20"/>
                <w:color w:val="auto"/>
              </w:rPr>
            </w:pPr>
            <w:r>
              <w:rPr>
                <w:rFonts w:ascii="Arial" w:cs="Arial" w:eastAsia="Arial" w:hAnsi="Arial"/>
                <w:sz w:val="18"/>
                <w:szCs w:val="18"/>
                <w:color w:val="auto"/>
              </w:rPr>
              <w:t>Total shareholders’ (deficit) equity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capitalization</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1,055,870</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jc w:val="right"/>
              <w:ind w:right="2911"/>
              <w:spacing w:after="0"/>
              <w:rPr>
                <w:sz w:val="20"/>
                <w:szCs w:val="20"/>
                <w:color w:val="auto"/>
              </w:rPr>
            </w:pPr>
            <w:r>
              <w:rPr>
                <w:rFonts w:ascii="Arial" w:cs="Arial" w:eastAsia="Arial" w:hAnsi="Arial"/>
                <w:sz w:val="18"/>
                <w:szCs w:val="18"/>
                <w:color w:val="auto"/>
              </w:rPr>
              <w:t>60</w:t>
            </w: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5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0"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prepare our consolidated financial statements in accordance with GAAP. The selected consolidated financial data for the years ended December 31, 2018, 2019 and 2020 have been derived from our audited consolidated financial statements, which are included elsewhere in this prospectus. The selected historical consolidated statements of operations data presented below for the six months ended June 30, 2020 and 2021 and the selected consolidated balance sheet data as of June 30, 2021 have been derived from our unaudited consolidated financial statements, which are included elsewhere in this prospectus. In the opinion of management, the unaudited data reflects all adjustments, consisting of normal recurring adjustments, necessary for the fair statement of the financial information in those statements. Our historical results for any prior period are not necessarily indicative of results expected in any future period.</w:t>
      </w:r>
    </w:p>
    <w:p>
      <w:pPr>
        <w:spacing w:after="0" w:line="204"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“Management’s Discussion and Analysis of Financial Condition and Results of Operations” and the consolidated financial statements and notes thereto included elsewhere in this prospectus.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700" w:type="dxa"/>
            <w:vAlign w:val="bottom"/>
            <w:tcBorders>
              <w:top w:val="single" w:sz="8" w:color="auto"/>
            </w:tcBorders>
          </w:tcPr>
          <w:p>
            <w:pPr>
              <w:ind w:left="200"/>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2"/>
              <w:spacing w:after="0" w:line="154" w:lineRule="exact"/>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3"/>
                <w:szCs w:val="13"/>
                <w:color w:val="auto"/>
              </w:rPr>
            </w:pPr>
          </w:p>
        </w:tc>
        <w:tc>
          <w:tcPr>
            <w:tcW w:w="720" w:type="dxa"/>
            <w:vAlign w:val="bottom"/>
            <w:tcBorders>
              <w:top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center"/>
              <w:ind w:right="33"/>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3"/>
              <w:spacing w:after="0" w:line="141" w:lineRule="exact"/>
              <w:rPr>
                <w:sz w:val="20"/>
                <w:szCs w:val="20"/>
                <w:color w:val="auto"/>
              </w:rPr>
            </w:pPr>
            <w:r>
              <w:rPr>
                <w:rFonts w:ascii="Arial" w:cs="Arial" w:eastAsia="Arial" w:hAnsi="Arial"/>
                <w:sz w:val="14"/>
                <w:szCs w:val="14"/>
                <w:b w:val="1"/>
                <w:bCs w:val="1"/>
                <w:color w:val="auto"/>
                <w:w w:val="97"/>
              </w:rPr>
              <w:t>(As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(in thousands, except share and per share</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b w:val="1"/>
                <w:bCs w:val="1"/>
                <w:color w:val="auto"/>
              </w:rPr>
              <w:t>Consolidated Statement of Operations Data: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7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6"/>
              </w:rPr>
              <w:t>$ 49,476</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103,438</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9"/>
              </w:rPr>
              <w:t>$ 38,640</w:t>
            </w:r>
          </w:p>
        </w:tc>
        <w:tc>
          <w:tcPr>
            <w:tcW w:w="1860" w:type="dxa"/>
            <w:vAlign w:val="bottom"/>
            <w:gridSpan w:val="3"/>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$65,852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136,375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Cost of revenue</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34,029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67,471</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30,050</w:t>
            </w:r>
          </w:p>
        </w:tc>
        <w:tc>
          <w:tcPr>
            <w:tcW w:w="1860" w:type="dxa"/>
            <w:vAlign w:val="bottom"/>
            <w:gridSpan w:val="3"/>
          </w:tcPr>
          <w:p>
            <w:pPr>
              <w:jc w:val="right"/>
              <w:ind w:right="660"/>
              <w:spacing w:after="0" w:line="201" w:lineRule="exact"/>
              <w:rPr>
                <w:sz w:val="20"/>
                <w:szCs w:val="20"/>
                <w:color w:val="auto"/>
              </w:rPr>
            </w:pPr>
            <w:r>
              <w:rPr>
                <w:rFonts w:ascii="Arial" w:cs="Arial" w:eastAsia="Arial" w:hAnsi="Arial"/>
                <w:sz w:val="18"/>
                <w:szCs w:val="18"/>
                <w:color w:val="auto"/>
              </w:rPr>
              <w:t>47,188</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92,902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15,447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35,967</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8,590</w:t>
            </w:r>
          </w:p>
        </w:tc>
        <w:tc>
          <w:tcPr>
            <w:tcW w:w="1860" w:type="dxa"/>
            <w:vAlign w:val="bottom"/>
            <w:gridSpan w:val="3"/>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18,664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6,821</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11,182</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9,541</w:t>
            </w:r>
          </w:p>
        </w:tc>
        <w:tc>
          <w:tcPr>
            <w:tcW w:w="1860" w:type="dxa"/>
            <w:vAlign w:val="bottom"/>
            <w:gridSpan w:val="3"/>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12,034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520"/>
              <w:spacing w:after="0" w:line="201" w:lineRule="exact"/>
              <w:rPr>
                <w:sz w:val="20"/>
                <w:szCs w:val="20"/>
                <w:color w:val="auto"/>
              </w:rPr>
            </w:pPr>
            <w:r>
              <w:rPr>
                <w:rFonts w:ascii="Arial" w:cs="Arial" w:eastAsia="Arial" w:hAnsi="Arial"/>
                <w:sz w:val="18"/>
                <w:szCs w:val="18"/>
                <w:color w:val="auto"/>
              </w:rPr>
              <w:t>Sales and marketing</w:t>
            </w: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3,776</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33,117</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3,667</w:t>
            </w:r>
          </w:p>
        </w:tc>
        <w:tc>
          <w:tcPr>
            <w:tcW w:w="1860" w:type="dxa"/>
            <w:vAlign w:val="bottom"/>
            <w:gridSpan w:val="3"/>
          </w:tcPr>
          <w:p>
            <w:pPr>
              <w:jc w:val="right"/>
              <w:ind w:right="660"/>
              <w:spacing w:after="0" w:line="201" w:lineRule="exact"/>
              <w:rPr>
                <w:sz w:val="20"/>
                <w:szCs w:val="20"/>
                <w:color w:val="auto"/>
              </w:rPr>
            </w:pPr>
            <w:r>
              <w:rPr>
                <w:rFonts w:ascii="Arial" w:cs="Arial" w:eastAsia="Arial" w:hAnsi="Arial"/>
                <w:sz w:val="18"/>
                <w:szCs w:val="18"/>
                <w:color w:val="auto"/>
              </w:rPr>
              <w:t>4,593</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3,960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7,051</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5,760</w:t>
            </w:r>
          </w:p>
        </w:tc>
        <w:tc>
          <w:tcPr>
            <w:tcW w:w="1860" w:type="dxa"/>
            <w:vAlign w:val="bottom"/>
            <w:gridSpan w:val="3"/>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6,988</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14,557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51,350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18,968</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color w:val="auto"/>
              </w:rPr>
              <w:t>23,615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(15,383)</w:t>
            </w:r>
          </w:p>
        </w:tc>
        <w:tc>
          <w:tcPr>
            <w:tcW w:w="8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(10,378)</w:t>
            </w:r>
          </w:p>
        </w:tc>
        <w:tc>
          <w:tcPr>
            <w:tcW w:w="1860" w:type="dxa"/>
            <w:vAlign w:val="bottom"/>
            <w:gridSpan w:val="3"/>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(4,951)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Financial expenses net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2,549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8,129</w:t>
            </w: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1,165</w:t>
            </w:r>
          </w:p>
        </w:tc>
        <w:tc>
          <w:tcPr>
            <w:tcW w:w="1860" w:type="dxa"/>
            <w:vAlign w:val="bottom"/>
            <w:gridSpan w:val="3"/>
          </w:tcPr>
          <w:p>
            <w:pPr>
              <w:jc w:val="right"/>
              <w:ind w:right="660"/>
              <w:spacing w:after="0" w:line="201" w:lineRule="exact"/>
              <w:rPr>
                <w:sz w:val="20"/>
                <w:szCs w:val="20"/>
                <w:color w:val="auto"/>
              </w:rPr>
            </w:pPr>
            <w:r>
              <w:rPr>
                <w:rFonts w:ascii="Arial" w:cs="Arial" w:eastAsia="Arial" w:hAnsi="Arial"/>
                <w:sz w:val="18"/>
                <w:szCs w:val="18"/>
                <w:color w:val="auto"/>
              </w:rPr>
              <w:t>2,559</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Profit (loss) before income taxes</w:t>
            </w:r>
          </w:p>
        </w:tc>
        <w:tc>
          <w:tcPr>
            <w:tcW w:w="7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(1,659)</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(23,512)</w:t>
            </w:r>
          </w:p>
        </w:tc>
        <w:tc>
          <w:tcPr>
            <w:tcW w:w="8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(11,543)</w:t>
            </w:r>
          </w:p>
        </w:tc>
        <w:tc>
          <w:tcPr>
            <w:tcW w:w="1860" w:type="dxa"/>
            <w:vAlign w:val="bottom"/>
            <w:gridSpan w:val="3"/>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(7,510)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Income taxes</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461</w:t>
            </w:r>
          </w:p>
        </w:tc>
        <w:tc>
          <w:tcPr>
            <w:tcW w:w="6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7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9"/>
              </w:rPr>
              <w:t>$ (1,668)</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(23,973)</w:t>
            </w:r>
          </w:p>
        </w:tc>
        <w:tc>
          <w:tcPr>
            <w:tcW w:w="8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(11,593)</w:t>
            </w:r>
          </w:p>
        </w:tc>
        <w:tc>
          <w:tcPr>
            <w:tcW w:w="1860" w:type="dxa"/>
            <w:vAlign w:val="bottom"/>
            <w:gridSpan w:val="3"/>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 (7,544)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Undistributed earnings attributable to participating</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6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securities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30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earnings (loss) attributable to ordinary</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shareholders</w:t>
            </w:r>
          </w:p>
        </w:tc>
        <w:tc>
          <w:tcPr>
            <w:tcW w:w="7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(1,668)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(23,973)</w:t>
            </w:r>
          </w:p>
        </w:tc>
        <w:tc>
          <w:tcPr>
            <w:tcW w:w="8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(11,593)</w:t>
            </w:r>
          </w:p>
        </w:tc>
        <w:tc>
          <w:tcPr>
            <w:tcW w:w="1860" w:type="dxa"/>
            <w:vAlign w:val="bottom"/>
            <w:gridSpan w:val="3"/>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restart"/>
          </w:tcPr>
          <w:p>
            <w:pPr>
              <w:jc w:val="right"/>
              <w:ind w:right="251"/>
              <w:spacing w:after="0"/>
              <w:rPr>
                <w:sz w:val="20"/>
                <w:szCs w:val="20"/>
                <w:color w:val="auto"/>
              </w:rPr>
            </w:pPr>
            <w:r>
              <w:rPr>
                <w:rFonts w:ascii="Arial" w:cs="Arial" w:eastAsia="Arial" w:hAnsi="Arial"/>
                <w:sz w:val="18"/>
                <w:szCs w:val="18"/>
                <w:color w:val="auto"/>
                <w:w w:val="99"/>
              </w:rPr>
              <w:t>61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5"/>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earnings (loss) per ordinary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attributable to ordinary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shareholders, basic</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(0.60)</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tcPr>
          <w:p>
            <w:pPr>
              <w:spacing w:after="0" w:line="200" w:lineRule="exact"/>
              <w:rPr>
                <w:sz w:val="20"/>
                <w:szCs w:val="20"/>
                <w:color w:val="auto"/>
              </w:rPr>
            </w:pPr>
            <w:r>
              <w:rPr>
                <w:rFonts w:ascii="Arial" w:cs="Arial" w:eastAsia="Arial" w:hAnsi="Arial"/>
                <w:sz w:val="18"/>
                <w:szCs w:val="18"/>
                <w:color w:val="auto"/>
              </w:rPr>
              <w:t>Net earnings (loss) per ordinary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ordinary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shareholders, diluted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12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(0.44)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(0.60)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 average shares used 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computing basic net earnings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per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w w:val="97"/>
              </w:rPr>
              <w:t>20,686,427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54,750,595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7"/>
              </w:rPr>
              <w:t>19,366,272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19,654,276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21,120,208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tcPr>
          <w:p>
            <w:pPr>
              <w:spacing w:after="0" w:line="200" w:lineRule="exact"/>
              <w:rPr>
                <w:sz w:val="20"/>
                <w:szCs w:val="20"/>
                <w:color w:val="auto"/>
              </w:rPr>
            </w:pPr>
            <w:r>
              <w:rPr>
                <w:rFonts w:ascii="Arial" w:cs="Arial" w:eastAsia="Arial" w:hAnsi="Arial"/>
                <w:sz w:val="18"/>
                <w:szCs w:val="18"/>
                <w:color w:val="auto"/>
              </w:rPr>
              <w:t>Weighted average shares used in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computing diluted net earnings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20,686,427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54,750,595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19,366,272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19,654,276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28,637,801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 thousands)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line="178" w:lineRule="exact"/>
              <w:rPr>
                <w:sz w:val="20"/>
                <w:szCs w:val="20"/>
                <w:color w:val="auto"/>
              </w:rPr>
            </w:pPr>
            <w:r>
              <w:rPr>
                <w:rFonts w:ascii="Arial" w:cs="Arial" w:eastAsia="Arial" w:hAnsi="Arial"/>
                <w:sz w:val="18"/>
                <w:szCs w:val="18"/>
                <w:b w:val="1"/>
                <w:bCs w:val="1"/>
                <w:color w:val="auto"/>
              </w:rPr>
              <w:t>Consolidated Statement of Cash</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160"/>
              <w:spacing w:after="0"/>
              <w:rPr>
                <w:sz w:val="20"/>
                <w:szCs w:val="20"/>
                <w:color w:val="auto"/>
              </w:rPr>
            </w:pPr>
            <w:r>
              <w:rPr>
                <w:rFonts w:ascii="Arial" w:cs="Arial" w:eastAsia="Arial" w:hAnsi="Arial"/>
                <w:sz w:val="18"/>
                <w:szCs w:val="18"/>
                <w:b w:val="1"/>
                <w:bCs w:val="1"/>
                <w:color w:val="auto"/>
              </w:rPr>
              <w:t>Flows Data:</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cash (used in) provided by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operating activities</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(13,696)</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(7,987)</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7,028</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29,350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7"/>
                <w:szCs w:val="17"/>
                <w:color w:val="auto"/>
              </w:rPr>
            </w:pPr>
          </w:p>
        </w:tc>
        <w:tc>
          <w:tcPr>
            <w:tcW w:w="12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(74,122)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(1,612)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cash provided by financing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59,261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397,156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19,972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207"/>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391,008</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9,530</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5,034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68,637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743,855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28,539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43,599</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161,295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78,993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20,661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42,897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93,252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741,594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3,224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3,592</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8,087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(76,681)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(49,078)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(56,622)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Total shareholders’ (deficit)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664,862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(45,854)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(53,030)</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(44,510)</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160" w:right="160" w:firstLine="546"/>
        <w:spacing w:after="0" w:line="238" w:lineRule="auto"/>
        <w:rPr>
          <w:sz w:val="20"/>
          <w:szCs w:val="20"/>
          <w:color w:val="auto"/>
        </w:rPr>
      </w:pPr>
      <w:r>
        <w:rPr>
          <w:rFonts w:ascii="Arial" w:cs="Arial" w:eastAsia="Arial" w:hAnsi="Arial"/>
          <w:sz w:val="18"/>
          <w:szCs w:val="18"/>
          <w:i w:val="1"/>
          <w:iCs w:val="1"/>
          <w:color w:val="auto"/>
        </w:rPr>
        <w:t>You should read the following discussion together with “Selected Consolidated Financial Data” and the consolidated financial statements and related notes included elsewhere in this prospectus. This discussion contains forward-looking statements regarding industry outlook and our expectations regarding our future performance, liquidity and capital resources, as well as other non-historical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built the world’s leading platform to enable and accelerate global, direct-to-consumer cross-border e-commerce.</w:t>
      </w:r>
    </w:p>
    <w:p>
      <w:pPr>
        <w:spacing w:after="0" w:line="208"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efforts to make international transactions as seamless as domestic ones.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and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consumer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6"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25 languages, purchases in more than 100 currencies by over 150 payment methods and a multitude of shipping options. Shoppers enjoy a fully-guaranteed landed price quote, which includes shipping costs, import duties and tax charges, as well as post-sale services, including multi-lingual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customer service and a managed returns service. The enhanced shopper experience we enable 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20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For merchants, our platform also removes much of the complexity that is associated with cross-border e-commerce. Sales are reconciled and paid for locally and in the merchant’s native currency.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As of June 30, 2021, we have more than 520 merchants on our platform across diversified verticals and ranging from small emerging brands to globally-recognized retailers.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scale and sophistication of our platform rely on the data and insights we have accumulated since our founding more than seven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our merchants.</w:t>
      </w:r>
    </w:p>
    <w:p>
      <w:pPr>
        <w:spacing w:after="0" w:line="203" w:lineRule="exact"/>
        <w:rPr>
          <w:sz w:val="20"/>
          <w:szCs w:val="20"/>
          <w:color w:val="auto"/>
        </w:rPr>
      </w:pPr>
    </w:p>
    <w:p>
      <w:pPr>
        <w:ind w:left="160" w:right="180" w:firstLine="546"/>
        <w:spacing w:after="0" w:line="253" w:lineRule="auto"/>
        <w:rPr>
          <w:sz w:val="20"/>
          <w:szCs w:val="20"/>
          <w:color w:val="auto"/>
        </w:rPr>
      </w:pPr>
      <w:r>
        <w:rPr>
          <w:rFonts w:ascii="Arial" w:cs="Arial" w:eastAsia="Arial" w:hAnsi="Arial"/>
          <w:sz w:val="17"/>
          <w:szCs w:val="17"/>
          <w:color w:val="auto"/>
        </w:rPr>
        <w:t>The merchants’ success is our success, and we aspire to become their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has typically been over 98% since 2018, and our Net Dollar Retention Rate, which has typically been over 140% during the same period.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History</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Since our launch in 2013, we have achieved several key business, operational, and financial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149225</wp:posOffset>
            </wp:positionV>
            <wp:extent cx="5137785" cy="2216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37785"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have an attractive volume -based revenue model, driven by shopper order activity on our merchants’ websites. As a result, our revenues, which are generated from the fees charged for the use of our integrated platform solution and provision of fulfillment services, are correlated with the level of GMV (as defined under “—Key Performance Indicators and Other Operating Metrics”) that flows through our platform. We offer a fully integrated platform solution to merchants, and derive revenues by charging fees that vary depending on the transaction volume processed, outbound countries and destination markets, level of customer service provided and shipping options, among other variables.</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Service fees revenue is generated as a percentage of the GMV that flows through our platform. Fulfillment services revenue is</w:t>
      </w:r>
    </w:p>
    <w:p>
      <w:pPr>
        <w:ind w:left="160"/>
        <w:spacing w:after="0" w:line="232" w:lineRule="auto"/>
        <w:rPr>
          <w:sz w:val="20"/>
          <w:szCs w:val="20"/>
          <w:color w:val="auto"/>
        </w:rPr>
      </w:pPr>
      <w:r>
        <w:rPr>
          <w:rFonts w:ascii="Arial" w:cs="Arial" w:eastAsia="Arial" w:hAnsi="Arial"/>
          <w:sz w:val="18"/>
          <w:szCs w:val="18"/>
          <w:color w:val="auto"/>
        </w:rPr>
        <w:t>generated through our offerings of shipping and handling. We mandatorily bundle components of our integrated platform solution that we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believe are essential to achieving improved sales conversion of our merchants’ international traffic. Our fulfillment services are offered 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 optional basis, and thus merchants may choose to utilize or cease utilizing our fulfillment services, either in whole or for select markets,</w:t>
      </w:r>
    </w:p>
    <w:p>
      <w:pPr>
        <w:ind w:left="160"/>
        <w:spacing w:after="0" w:line="238" w:lineRule="auto"/>
        <w:rPr>
          <w:sz w:val="20"/>
          <w:szCs w:val="20"/>
          <w:color w:val="auto"/>
        </w:rPr>
      </w:pPr>
      <w:r>
        <w:rPr>
          <w:rFonts w:ascii="Arial" w:cs="Arial" w:eastAsia="Arial" w:hAnsi="Arial"/>
          <w:sz w:val="18"/>
          <w:szCs w:val="18"/>
          <w:color w:val="auto"/>
        </w:rPr>
        <w:t>at any time and from time to time. Many merchants use our fulfillment services alongside our integrated platform solution due to</w:t>
      </w:r>
    </w:p>
    <w:p>
      <w:pPr>
        <w:ind w:left="160"/>
        <w:spacing w:after="0" w:line="233" w:lineRule="auto"/>
        <w:rPr>
          <w:sz w:val="20"/>
          <w:szCs w:val="20"/>
          <w:color w:val="auto"/>
        </w:rPr>
      </w:pPr>
      <w:r>
        <w:rPr>
          <w:rFonts w:ascii="Arial" w:cs="Arial" w:eastAsia="Arial" w:hAnsi="Arial"/>
          <w:sz w:val="18"/>
          <w:szCs w:val="18"/>
          <w:color w:val="auto"/>
        </w:rPr>
        <w:t>convenience and competitive pricing achieved due to our economies of scale, while some merchants choose to use our integrated</w:t>
      </w:r>
    </w:p>
    <w:p>
      <w:pPr>
        <w:ind w:left="160"/>
        <w:spacing w:after="0"/>
        <w:rPr>
          <w:sz w:val="20"/>
          <w:szCs w:val="20"/>
          <w:color w:val="auto"/>
        </w:rPr>
      </w:pPr>
      <w:r>
        <w:rPr>
          <w:rFonts w:ascii="Arial" w:cs="Arial" w:eastAsia="Arial" w:hAnsi="Arial"/>
          <w:sz w:val="17"/>
          <w:szCs w:val="17"/>
          <w:color w:val="auto"/>
        </w:rPr>
        <w:t>platform solution on a standalone basis. Service fees revenue generated from the use of our integrated platform solution on a standalone</w:t>
      </w:r>
    </w:p>
    <w:p>
      <w:pPr>
        <w:ind w:left="160"/>
        <w:spacing w:after="0" w:line="238" w:lineRule="auto"/>
        <w:rPr>
          <w:sz w:val="20"/>
          <w:szCs w:val="20"/>
          <w:color w:val="auto"/>
        </w:rPr>
      </w:pPr>
      <w:r>
        <w:rPr>
          <w:rFonts w:ascii="Arial" w:cs="Arial" w:eastAsia="Arial" w:hAnsi="Arial"/>
          <w:sz w:val="18"/>
          <w:szCs w:val="18"/>
          <w:color w:val="auto"/>
        </w:rPr>
        <w:t>basis has increased over time, equaling $0.2 million (or 1.4% of service fees revenue), $1.0 million (or 4.3% of service fees revenue),</w:t>
      </w:r>
    </w:p>
    <w:p>
      <w:pPr>
        <w:ind w:left="160"/>
        <w:spacing w:after="0"/>
        <w:rPr>
          <w:sz w:val="20"/>
          <w:szCs w:val="20"/>
          <w:color w:val="auto"/>
        </w:rPr>
      </w:pPr>
      <w:r>
        <w:rPr>
          <w:rFonts w:ascii="Arial" w:cs="Arial" w:eastAsia="Arial" w:hAnsi="Arial"/>
          <w:sz w:val="17"/>
          <w:szCs w:val="17"/>
          <w:color w:val="auto"/>
        </w:rPr>
        <w:t>$2.6 million (or 5.2% of service fees revenue) and $2.1 million (or 5.6% of service fee revenues) for the years ended December 31, 2018,</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2019 and 2020 and the six months ended June 30, 2021, respectively.</w:t>
      </w:r>
    </w:p>
    <w:p>
      <w:pPr>
        <w:spacing w:after="0" w:line="208"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Over and above the revenues generated, we view shopper traffic and GMV as critical to our success because they generate valuable data, further fueling our Smart Insights. These data-driven insights are an integral part of the integrated solutions we provide to our merchants and a key driver in</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456"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growth of their cross-border revenue. During the year ended December 31, 2020 shoppers that visited e-commerce websites powered by our platform generated 4.6 million orders and $136.4 million of revenue.</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An important component of our revenue growth is the retention and expansion of our existing merchant base. Our revenue model is driven by the ability to retain and grow our business with existing merchants and attract new merchants from new geographies, segments and verticals. Revenue from our existing merchant base has grown significantly over time as our merchants’ cross-border revenues have grown, the volume of transactions that our merchants process through our platform has increased and we have expanded to additional geographic corridors. The revenue growth from our existing merchants that continue to process transactions on our platform has historically exceeded any lost revenue from merchants that discontinued their use of our platform. We measure the revenue growth from our existing merchant base using Net Dollar Retention Rate, and we measure the lost revenue from merchants that discontinue their use of our platform using Gross Dollar Retention Rate.</w:t>
      </w:r>
    </w:p>
    <w:p>
      <w:pPr>
        <w:spacing w:after="0" w:line="204"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We aim to sign contracts with merchants for a minimum term of 12 months and with a minimum committed monthly volume. The vast majority of our merchants choose to stay on our platform beyond the initial term and trade at larger volumes than the contractually agreed minimum. The chart below demonstrates the GMV for each annual merchant cohort from 2016 to 2019. Each annual merchant cohort is comprised of merchants that completed their first shopper transaction on our platform during the corresponding year. For example, the 2019 merchant cohort includes all merchants that completed their first shopper transaction on our platform between January 1, 2019 and December 31, 2019. Our GMV from these merchants grew 191% for the year ended December 31, 2020 relative to our GMV from these same merchants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147955</wp:posOffset>
            </wp:positionV>
            <wp:extent cx="3906520" cy="1936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0652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Our existing merchant base is critical to our success, generating approximately 74% and 85% of our GMV in the year ended December 31, 2019 and 2020, respectively, and 90% of our GMV for the six months ended June 30, 2021. Our Net Dollar Retention Rate for the years ended December 31, 2019 and 2020 was 134% and 172%, respectively. For the six months ended June 30, 2021, we continued to observe a high Net Dollar Retention Rate ahead of our typically observed rate of over 140% since 2018. Our high Net Dollar Retention Rate is driven both by strong retention and by the growth of our merchants’ transaction volumes processed on our platform. We believe this highlights the mission-critical nature of our platform for merchants that continue to grow with us over time.</w:t>
      </w:r>
    </w:p>
    <w:p>
      <w:pPr>
        <w:spacing w:after="0" w:line="202"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As of June 30, 2021 we had a diversified base of 522 merchants, up 18.1% (from 442 merchants) and up 84.5% (from 283 merchants) as of December 31, 2020 and December 31, 2019, respectively. These merchants range from globally-recognized retailers to small, emerging brands located across 11 countries. Our largest merchant represented approximately 20% and 15% of total GMV for the years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ended December 31, 2019 and 2020, respectively, and 12% of total GMV for the six months ended June 30, 2021. Such merchant generated 25% and 18% of our total revenues for the years ended December 31, 2019 and 2020, respectively, and 16% of total revenues for the six months ended June 30, 2021, while our top ten merchants represented 44% and 37% of our total revenues for the years ended December 31, 2019 and 2020, respectively, and 37% of total revenues for the six months ended June 30, 2021. We expect the percentage of our revenue represented by our largest merchant to continue decreasing in future years as our existing merchants continue to grow and we onboard new merchants.</w:t>
      </w:r>
    </w:p>
    <w:p>
      <w:pPr>
        <w:spacing w:after="0" w:line="202"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Our significant scale and growth mean we also enjoy increasing geographic diversification in terms of both “outbound” sales, which term refers to sales from the merchant’s country of origin, and “destination market” sales, which term refers to sales made to shoppers in various markets. The United Kingdom has historically been our largest outbound market. However, outbound sales from the United Kingdom as a percentage of total revenue have been decreasing over time as we developed additional outbound markets, namely the United States and the EU. For the year ended December 31, 2020, the United Kingdom represented 58.8% of our revenues, with North America, the EU, and Israel representing 25%, 15.6% and 0.6%, respectively. While we expect our outbound sales from the United Kingdom to continue growing in absolute terms, we expect that outbound sales from the United Kingdom as a percentage of total revenue will continue to decrease in future periods. We expect to continue attracting new merchants in geographies outside of the United Kingdom, including countries in which we have existing operations as well as new markets. For example, we are beginning to establish a presence in the Asia-Pacific (“APAC”) region, which we believe represents a significant opportunity. Of the 522 merchants served by our platform as of June 30, 2021, 49.6% were located in the United Kingdom, while 34.9% and 13.8% were located in North America and Europe, respectively, and 1.8% were located in other geographies. With regards to the destination markets from which shoppers make purchases through our platform, the United States, the largest destination market, represented 16% and 13% of our total revenue for the year ended December 31, 2020 and six months ended June 30, 2021, respectively, and no other destination market represented more than 10% of our total revenue for either period.</w:t>
      </w:r>
    </w:p>
    <w:p>
      <w:pPr>
        <w:spacing w:after="0" w:line="20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In addition to retaining and growing our existing merchant base, we are able to efficiently acquire new merchants. In the years ended December 31, 2019 and 2020, we added 141 and 204 new merchants to our platform, respectively. We have developed an effective go-to-market strategy leveraging a dedicated team of sales executives. We also plan to continue leveraging our mutually-beneficial channel partnerships, which broaden our merchant base and generate significant leads for our sales team. For example, we recently entered into a Services and Partnership Agreement with Shopify to jointly cooperate in offering e-commerce cross-border solutions to Shopify merchants. As our scale grows, so does our own brand equity, which leads to more inbound prospects as well as stronger word-of-mouth-based sales whereby an existing Global-e merchant recommends our solution to other players in the market. We view our ability to efficiently acquire merchants at scale as a differentiated competitive advantage. We measure the efficiency of our merchant acquisition strategy by tracking payback period, or the amount of time required to recover merchant acquisition costs in a given year from the merchants acquired in that year, based on the gross profit realized from such merchants in the following year. For merchants acquired in the year ended December 31, 2019, our payback period was less than six months.</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Key Performance Indicators and Other Operating Metrics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2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60" w:firstLine="546"/>
        <w:spacing w:after="0" w:line="239" w:lineRule="auto"/>
        <w:rPr>
          <w:sz w:val="20"/>
          <w:szCs w:val="20"/>
          <w:color w:val="auto"/>
        </w:rPr>
      </w:pPr>
      <w:r>
        <w:rPr>
          <w:rFonts w:ascii="Arial" w:cs="Arial" w:eastAsia="Arial" w:hAnsi="Arial"/>
          <w:sz w:val="18"/>
          <w:szCs w:val="18"/>
          <w:color w:val="auto"/>
        </w:rPr>
        <w:t>The following table summarizes the key performance indicators that we use to evaluate our business for the years ended December 31, 2018, 2019 and 2020, and for the six months ended June 30, 2020 and 2021.</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20" w:type="dxa"/>
            <w:vAlign w:val="bottom"/>
            <w:tcBorders>
              <w:bottom w:val="single" w:sz="8" w:color="CCEEFF"/>
            </w:tcBorders>
            <w:vMerge w:val="continue"/>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5"/>
              <w:spacing w:after="0" w:line="154" w:lineRule="exact"/>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Gross Merchandise Value</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281</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593</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211</w:t>
            </w: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7"/>
              </w:rPr>
              <w:t>$ 382</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Net Dollar Retention Rate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389"/>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153%</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9"/>
              <w:spacing w:after="0" w:line="201" w:lineRule="exact"/>
              <w:rPr>
                <w:sz w:val="20"/>
                <w:szCs w:val="20"/>
                <w:color w:val="auto"/>
              </w:rPr>
            </w:pPr>
            <w:r>
              <w:rPr>
                <w:rFonts w:ascii="Arial" w:cs="Arial" w:eastAsia="Arial" w:hAnsi="Arial"/>
                <w:sz w:val="18"/>
                <w:szCs w:val="18"/>
                <w:color w:val="auto"/>
                <w:w w:val="91"/>
              </w:rPr>
              <w:t>49.5</w:t>
            </w:r>
          </w:p>
        </w:tc>
        <w:tc>
          <w:tcPr>
            <w:tcW w:w="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w w:val="97"/>
              </w:rPr>
              <w:t>103.4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38.6</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$65.9</w:t>
            </w:r>
          </w:p>
        </w:tc>
        <w:tc>
          <w:tcPr>
            <w:tcW w:w="4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136.4</w:t>
            </w: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1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9"/>
              <w:spacing w:after="0" w:line="201" w:lineRule="exact"/>
              <w:rPr>
                <w:sz w:val="20"/>
                <w:szCs w:val="20"/>
                <w:color w:val="auto"/>
              </w:rPr>
            </w:pPr>
            <w:r>
              <w:rPr>
                <w:rFonts w:ascii="Arial" w:cs="Arial" w:eastAsia="Arial" w:hAnsi="Arial"/>
                <w:sz w:val="18"/>
                <w:szCs w:val="18"/>
                <w:color w:val="auto"/>
                <w:w w:val="91"/>
              </w:rPr>
              <w:t>15.5</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36.0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8.6</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$18.7</w:t>
            </w:r>
          </w:p>
        </w:tc>
        <w:tc>
          <w:tcPr>
            <w:tcW w:w="420" w:type="dxa"/>
            <w:vAlign w:val="bottom"/>
          </w:tcPr>
          <w:p>
            <w:pPr>
              <w:spacing w:after="0"/>
              <w:rPr>
                <w:sz w:val="17"/>
                <w:szCs w:val="17"/>
                <w:color w:val="auto"/>
              </w:rPr>
            </w:pP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 as % of Revenue</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w w:val="93"/>
              </w:rPr>
              <w:t>31.2%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22.2%</w:t>
            </w:r>
          </w:p>
        </w:tc>
        <w:tc>
          <w:tcPr>
            <w:tcW w:w="8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Adjusted EBITDA(1)</w:t>
            </w:r>
          </w:p>
        </w:tc>
        <w:tc>
          <w:tcPr>
            <w:tcW w:w="1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9"/>
              <w:spacing w:after="0" w:line="201" w:lineRule="exact"/>
              <w:rPr>
                <w:sz w:val="20"/>
                <w:szCs w:val="20"/>
                <w:color w:val="auto"/>
              </w:rPr>
            </w:pPr>
            <w:r>
              <w:rPr>
                <w:rFonts w:ascii="Arial" w:cs="Arial" w:eastAsia="Arial" w:hAnsi="Arial"/>
                <w:sz w:val="18"/>
                <w:szCs w:val="18"/>
                <w:color w:val="auto"/>
              </w:rPr>
              <w:t>2.7</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12.9</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w w:val="97"/>
              </w:rPr>
              <w:t>(10.0)</w:t>
            </w:r>
          </w:p>
        </w:tc>
        <w:tc>
          <w:tcPr>
            <w:tcW w:w="8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6"/>
              </w:rPr>
              <w:t>$ (4.6)</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 as % of Revenue</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9"/>
              <w:spacing w:after="0" w:line="201" w:lineRule="exact"/>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w w:val="98"/>
              </w:rPr>
              <w:t>(25.9)%</w:t>
            </w: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700" w:hanging="533"/>
        <w:spacing w:after="0" w:line="23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“Prospectus Summary—Summary Consolidated Financial and Other Data” for a reconciliation of Adjusted EBITDA to operating profit (loss), the most directly comparable GAAP financial measure, and an explanation of why we consider Adjusted EBITDA useful.</w:t>
      </w:r>
    </w:p>
    <w:p>
      <w:pPr>
        <w:spacing w:after="0" w:line="181"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i w:val="1"/>
          <w:iCs w:val="1"/>
          <w:color w:val="auto"/>
        </w:rPr>
        <w:t>Gross Merchandise Value</w:t>
      </w:r>
      <w:r>
        <w:rPr>
          <w:rFonts w:ascii="Arial" w:cs="Arial" w:eastAsia="Arial" w:hAnsi="Arial"/>
          <w:sz w:val="18"/>
          <w:szCs w:val="18"/>
          <w:color w:val="auto"/>
        </w:rPr>
        <w:t>. We derive the substantial part of our revenue from fees we charge for the use of our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solution. These fees are generally correlated with the total value of transactions processed through our platform. We assess the growth in transaction volume using a metric we refer to as Gross Merchandise Value (“GMV”) which is defined as the combined amount we collect from the shopper and the merchant for all components of a given transaction, including products, duties and taxes and shipping. GMV does not represent revenue earned by us; however, the GMV processed through our platform is an indicator of the volume of cross-border transactions processed through our platform by our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146685</wp:posOffset>
            </wp:positionV>
            <wp:extent cx="5146675" cy="1078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667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(GMV, USD in millions)</w:t>
      </w:r>
    </w:p>
    <w:p>
      <w:pPr>
        <w:spacing w:after="0" w:line="186"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b w:val="1"/>
          <w:bCs w:val="1"/>
          <w:i w:val="1"/>
          <w:iCs w:val="1"/>
          <w:color w:val="auto"/>
        </w:rPr>
        <w:t>Net Dollar Retention Rate</w:t>
      </w:r>
      <w:r>
        <w:rPr>
          <w:rFonts w:ascii="Arial" w:cs="Arial" w:eastAsia="Arial" w:hAnsi="Arial"/>
          <w:sz w:val="18"/>
          <w:szCs w:val="18"/>
          <w:color w:val="auto"/>
        </w:rPr>
        <w:t>. We assess our performance in retaining and expanding relationships with our existing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using a metric we refer to as Net Dollar Retention Rate, which compares our GMV from the same set of merchants across comparable periods. We calculate Net Dollar Retention Rate for a given period as the GMV in that period divided by the GMV in the comparable period in the prior year, in each case, from merchants that processed transactions on our platform in the earlier of the two periods. Our Net Dollar Retention Rate therefore includes the effect on GMV of any merchant renewals, expansion, contraction and churn but excludes the effect of revenue from merchants that contributed to our GMV in the current period but not in the earlier period. A Net Dollar Retention Rate greater than 100% for a given period implies overall growth in GMV from merchants that were already processing transactions on our platform prior to that period.</w:t>
      </w:r>
    </w:p>
    <w:p>
      <w:pPr>
        <w:spacing w:after="0" w:line="206"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Our Net Dollar Retention Rate has typically been over 140% since 2018, and for the years ended December 31, 2018, 2019 and 2020 was 153%, 134% and 172%, respectively. For the six months ended June 30, 2021, we continued to observe a high Net Dollar Retention Rate ahead of our typically observed rate of over 140% since 2018. Our Net Dollar Retention Rate may fluctuate in future periods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due to a number of factors, including the expansion of our revenue base, the level of penetration within our merchant base, enhancements made to our existing platform and our ability to retain our existing merchant base.</w:t>
      </w:r>
    </w:p>
    <w:p>
      <w:pPr>
        <w:spacing w:after="0" w:line="181" w:lineRule="exact"/>
        <w:rPr>
          <w:sz w:val="20"/>
          <w:szCs w:val="20"/>
          <w:color w:val="auto"/>
        </w:rPr>
      </w:pPr>
    </w:p>
    <w:p>
      <w:pPr>
        <w:ind w:left="160" w:right="60" w:firstLine="546"/>
        <w:spacing w:after="0" w:line="24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We generate revenues by charging merchants fees for the use of our integrated platform. Our revenues are correlated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level of GMV that flows through our platform. We have experienced rapid revenue growth in recent years, growing 70.4% and 107.1% in the years ended December 31, 2019 and 2020, respectively and 109.1% in the six months ended June 30, 2021.</w:t>
      </w:r>
    </w:p>
    <w:p>
      <w:pPr>
        <w:spacing w:after="0" w:line="172"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i w:val="1"/>
          <w:iCs w:val="1"/>
          <w:color w:val="auto"/>
        </w:rPr>
        <w:t>Gross Profit and Gross Margin</w:t>
      </w:r>
      <w:r>
        <w:rPr>
          <w:rFonts w:ascii="Arial" w:cs="Arial" w:eastAsia="Arial" w:hAnsi="Arial"/>
          <w:sz w:val="18"/>
          <w:szCs w:val="18"/>
          <w:color w:val="auto"/>
        </w:rPr>
        <w:t>. Our cost of revenue consists primarily of costs associated with payment acquiring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shipping and logistic costs, and operational merchant support expenses, such as customer service. Our gross profit represents our revenue less our cost of revenue. In recent years, we have consistently increased our gross profit as a percentage of revenue, or our gross margin, mainly due to economies of scale resulting from growth in GMV and revenue, as well as efficiencies stemming from our optimization. For the years ended December 31, 2018, 2019, and 2020, our gross margin was 22.2%, 28.3%, and 31.9%, respectively and for the six months ended June 30, 2020 and 2021 was 31.2% and 34.8% respectively.</w:t>
      </w:r>
    </w:p>
    <w:p>
      <w:pPr>
        <w:spacing w:after="0" w:line="181" w:lineRule="exact"/>
        <w:rPr>
          <w:sz w:val="20"/>
          <w:szCs w:val="20"/>
          <w:color w:val="auto"/>
        </w:rPr>
      </w:pPr>
    </w:p>
    <w:p>
      <w:pPr>
        <w:jc w:val="both"/>
        <w:ind w:left="160" w:right="240" w:firstLine="546"/>
        <w:spacing w:after="0" w:line="243" w:lineRule="auto"/>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Adjusted EBITDA is defined as operating profit (loss) adjusted for depreciation and amortization and stock-based compensation expense. Adjusted EBITDA is a non-GAAP financial metric. Our Adjusted EBITDA grew from $ (4.6) million for the year ended December 31, 2019 to $12.6 million for the year ended December 31, 2020. This increase was primarily driven by growth in revenues and gross margin, as well as operating leverage.</w:t>
      </w:r>
    </w:p>
    <w:p>
      <w:pPr>
        <w:spacing w:after="0" w:line="20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For the six months ended June 30, 2021, our Adjusted EBITDA was $12.9 million, including $7.6 million of Adjusted EBITDA for the three months ended June 30, 2021, representing a 378.7% increase from $2.7 million for the six months ended June 30, 2020, including $3.1 million of Adjusted EBITDA for the three months ended June 30, 2020. The increase was primarily driven by growth in revenues and gross margin, as well as operating leverage.</w:t>
      </w:r>
    </w:p>
    <w:p>
      <w:pPr>
        <w:spacing w:after="0" w:line="202" w:lineRule="exact"/>
        <w:rPr>
          <w:sz w:val="20"/>
          <w:szCs w:val="20"/>
          <w:color w:val="auto"/>
        </w:rPr>
      </w:pPr>
    </w:p>
    <w:p>
      <w:pPr>
        <w:ind w:left="160" w:right="300" w:firstLine="546"/>
        <w:spacing w:after="0" w:line="268" w:lineRule="auto"/>
        <w:rPr>
          <w:sz w:val="20"/>
          <w:szCs w:val="20"/>
          <w:color w:val="auto"/>
        </w:rPr>
      </w:pPr>
      <w:r>
        <w:rPr>
          <w:rFonts w:ascii="Arial" w:cs="Arial" w:eastAsia="Arial" w:hAnsi="Arial"/>
          <w:sz w:val="17"/>
          <w:szCs w:val="17"/>
          <w:color w:val="auto"/>
        </w:rPr>
        <w:t>See “Prospectus Summary—Summary Consolidated Financial and Other Data” for information regarding the limitations of using Adjusted EBITDA as a financial measure and for a reconciliation of Adjusted EBITDA to its most directly comparable GAAP measure.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Operating Metrics</w:t>
      </w:r>
    </w:p>
    <w:p>
      <w:pPr>
        <w:spacing w:after="0" w:line="101" w:lineRule="exact"/>
        <w:rPr>
          <w:sz w:val="20"/>
          <w:szCs w:val="20"/>
          <w:color w:val="auto"/>
        </w:rPr>
      </w:pPr>
    </w:p>
    <w:p>
      <w:pPr>
        <w:ind w:left="160" w:right="180" w:firstLine="546"/>
        <w:spacing w:after="0" w:line="258" w:lineRule="auto"/>
        <w:rPr>
          <w:sz w:val="20"/>
          <w:szCs w:val="20"/>
          <w:color w:val="auto"/>
        </w:rPr>
      </w:pPr>
      <w:r>
        <w:rPr>
          <w:rFonts w:ascii="Arial" w:cs="Arial" w:eastAsia="Arial" w:hAnsi="Arial"/>
          <w:sz w:val="17"/>
          <w:szCs w:val="17"/>
          <w:b w:val="1"/>
          <w:bCs w:val="1"/>
          <w:i w:val="1"/>
          <w:iCs w:val="1"/>
          <w:color w:val="auto"/>
        </w:rPr>
        <w:t>Gross Dollar Retention Rate</w:t>
      </w:r>
      <w:r>
        <w:rPr>
          <w:rFonts w:ascii="Arial" w:cs="Arial" w:eastAsia="Arial" w:hAnsi="Arial"/>
          <w:sz w:val="17"/>
          <w:szCs w:val="17"/>
          <w:color w:val="auto"/>
        </w:rPr>
        <w:t>. In addition to tracking our key performance indicators above, we also periodically measure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Gross Dollar Retention Rate to further assess our performance in retaining our existing customer base. Gross Dollar Retention Rate measures revenue lost from merchants that discontinue their use of our platform, but does not reflect the benefit of customer expansion, contraction or additions. Gross Dollar Retention Rate may therefore never exceed 100%. We believe our high gross retention rates demonstrate that we serve a vital role for our merchants, as the vast majority of our merchants continue to use our platform.</w:t>
      </w:r>
    </w:p>
    <w:p>
      <w:pPr>
        <w:spacing w:after="0" w:line="188"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calculate the Gross Dollar Retention Rate for a particular quarter, we first calculate the total seasonality adjusted annualized GMV for that quarter. We then calculate the value of GMV from any merchants who discontinued their use of our platform during that quarter, or churned, based on their total GMV from the four quarters preceding such quarter, which we refer to as churned GMV. We then divide (a) the churned GMV by (b) the total seasonality adjusted annualized GMV to calculate the percentage churn for that quarter. Gross Dollar Retention Rate for a particular year is calculated by aggregating the percentage churn of the four quarters within that year and subtracting the result from 100%.</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Gross Dollar Retention Rate has typically been over 98% since 2018.</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6"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our future performance will continue to depend on many factors, including the following:</w:t>
      </w:r>
    </w:p>
    <w:p>
      <w:pPr>
        <w:spacing w:after="0" w:line="92" w:lineRule="exact"/>
        <w:rPr>
          <w:sz w:val="20"/>
          <w:szCs w:val="20"/>
          <w:color w:val="auto"/>
        </w:rPr>
      </w:pPr>
    </w:p>
    <w:p>
      <w:pPr>
        <w:ind w:left="920" w:right="18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Continued Growth in Cross-Border E-commerce: </w:t>
      </w:r>
      <w:r>
        <w:rPr>
          <w:rFonts w:ascii="Arial" w:cs="Arial" w:eastAsia="Arial" w:hAnsi="Arial"/>
          <w:sz w:val="18"/>
          <w:szCs w:val="18"/>
          <w:color w:val="auto"/>
        </w:rPr>
        <w:t>We expect to benefit from significant tailwinds including strong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global e-commerce, the continued rise in the influence of social media on shopper spending habits worldwide, the increasing relevance of D2C, as well as increased cross-border e-commerce. The rise in complexity of cross-border trade, stemming from constantly-changing regulations and technology, serves as an additional tailwind by driving merchant demand for third-party solutions with the relevant expertise and infrastructure, such as Global-e.</w:t>
      </w:r>
    </w:p>
    <w:p>
      <w:pPr>
        <w:spacing w:after="0" w:line="88" w:lineRule="exact"/>
        <w:rPr>
          <w:rFonts w:ascii="Arial" w:cs="Arial" w:eastAsia="Arial" w:hAnsi="Arial"/>
          <w:sz w:val="18"/>
          <w:szCs w:val="18"/>
          <w:color w:val="auto"/>
        </w:rPr>
      </w:pPr>
    </w:p>
    <w:p>
      <w:pPr>
        <w:ind w:left="920" w:right="20" w:hanging="218"/>
        <w:spacing w:after="0" w:line="238"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Increasing Existing Merchant Retention and Expansion: </w:t>
      </w:r>
      <w:r>
        <w:rPr>
          <w:rFonts w:ascii="Arial" w:cs="Arial" w:eastAsia="Arial" w:hAnsi="Arial"/>
          <w:sz w:val="18"/>
          <w:szCs w:val="18"/>
          <w:color w:val="auto"/>
        </w:rPr>
        <w:t>We care deeply about the merchants we serve. Our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success, we believe, increases retention and likelihood of expanding their activity on our platform. Supporting our merchants begins with enhancing both the shopper and the merchant experience; as such, we focus our efforts on developing products and functionality to ease the complexity they face when engaging in cross-border e-commerce. We provide customer support services to their shoppers, take full responsibility for processing duties and taxes, employ dedicated teams to optimize their offering and increase their sales conversion and continue to take steps to boost retention. Our effectiveness in retaining and expanding our existing merchants’ sales is a critical component of our revenue growth and operating results.</w:t>
      </w:r>
    </w:p>
    <w:p>
      <w:pPr>
        <w:spacing w:after="0" w:line="87" w:lineRule="exact"/>
        <w:rPr>
          <w:rFonts w:ascii="Arial" w:cs="Arial" w:eastAsia="Arial" w:hAnsi="Arial"/>
          <w:sz w:val="18"/>
          <w:szCs w:val="18"/>
          <w:color w:val="auto"/>
        </w:rPr>
      </w:pPr>
    </w:p>
    <w:p>
      <w:pPr>
        <w:ind w:left="920" w:right="140" w:hanging="218"/>
        <w:spacing w:after="0" w:line="238"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New Merchant Acquisition</w:t>
      </w:r>
      <w:r>
        <w:rPr>
          <w:rFonts w:ascii="Arial" w:cs="Arial" w:eastAsia="Arial" w:hAnsi="Arial"/>
          <w:sz w:val="18"/>
          <w:szCs w:val="18"/>
          <w:color w:val="auto"/>
        </w:rPr>
        <w:t>: Our growth depends in part on our ability to attract new merchants and add their GMV to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Over the past seven years, we have experienced substantial expansion in the number of merchants served by our platform, which totaled 522 and 442 as of June 30, 2021 and December 31, 2020, respectively. New merchant acquisition is a key to scaling our platform. We have historically achieved efficient payback periods driven by a combination of direct sales, inbound inquiries, word-of-mouth referrals and channel partnerships. Continuing to add merchants to our platform in an efficient manner is a key component of our ability to grow our revenues. As a result of the recently signed expansion of our partnership with Shopify, we expect that we will be able to accelerate the growth of our merchant base.</w:t>
      </w:r>
    </w:p>
    <w:p>
      <w:pPr>
        <w:spacing w:after="0" w:line="87" w:lineRule="exact"/>
        <w:rPr>
          <w:rFonts w:ascii="Arial" w:cs="Arial" w:eastAsia="Arial" w:hAnsi="Arial"/>
          <w:sz w:val="18"/>
          <w:szCs w:val="18"/>
          <w:color w:val="auto"/>
        </w:rPr>
      </w:pPr>
    </w:p>
    <w:p>
      <w:pPr>
        <w:ind w:left="920" w:right="14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Successful Expansion to Additional Geographies</w:t>
      </w:r>
      <w:r>
        <w:rPr>
          <w:rFonts w:ascii="Arial" w:cs="Arial" w:eastAsia="Arial" w:hAnsi="Arial"/>
          <w:sz w:val="18"/>
          <w:szCs w:val="18"/>
          <w:color w:val="auto"/>
        </w:rPr>
        <w:t>: We believe our platform can compete successfully around the world, as it</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merchants, regardless of geography, to expand their market footprint to more shoppers by selling globally. In order to successfully acquire merchants across geographies, Global-e has local sales teams in the United States, the United Kingdom and the EU. We plan to add local sales support in further select international markets over time to support our growth. Specifically, we are putting efforts into expanding into the APAC region where we see a significant opportunity.</w:t>
      </w:r>
    </w:p>
    <w:p>
      <w:pPr>
        <w:spacing w:after="0" w:line="88" w:lineRule="exact"/>
        <w:rPr>
          <w:rFonts w:ascii="Arial" w:cs="Arial" w:eastAsia="Arial" w:hAnsi="Arial"/>
          <w:sz w:val="18"/>
          <w:szCs w:val="18"/>
          <w:color w:val="auto"/>
        </w:rPr>
      </w:pPr>
    </w:p>
    <w:p>
      <w:pPr>
        <w:ind w:left="920" w:hanging="218"/>
        <w:spacing w:after="0" w:line="237"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Investing to Scale Our Platform and Merchant Base: </w:t>
      </w:r>
      <w:r>
        <w:rPr>
          <w:rFonts w:ascii="Arial" w:cs="Arial" w:eastAsia="Arial" w:hAnsi="Arial"/>
          <w:sz w:val="18"/>
          <w:szCs w:val="18"/>
          <w:color w:val="auto"/>
        </w:rPr>
        <w:t>We have made, and will continue to make, significant investments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to retain and scale our merchant base and enhance their experiences. In the years ended December 31, 2018, 2019 and 2020, we spent $9.5 million (or 24.7% of revenue), $12.0 million (or 18.3% of revenue) and $15.4 million (or 11.3% of revenue), respectively, on research and development. These amounts represent year over year increases of 26.1% and 28.0% in the years ended December 31, 2019 and 2020, respectively. For the six months ended June 30, 2021, we spent $11.2 million (or 10.8% of revenue) on research and development, representing an increase of 63.9% from $6.8 million (or 13.8% of revenue) for the six months ended June 30, 2020. In the years ended December 31, 2018, 2019 and 2020, we spent $3.7 million (or 9.5% of revenue), $4.6 million (or 7.0% of revenue) and $9.8 million (or 7.2% of revenue), respectively, on sales and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spacing w:after="0" w:line="234" w:lineRule="auto"/>
        <w:rPr>
          <w:sz w:val="20"/>
          <w:szCs w:val="20"/>
          <w:color w:val="auto"/>
        </w:rPr>
      </w:pPr>
      <w:r>
        <w:rPr>
          <w:rFonts w:ascii="Arial" w:cs="Arial" w:eastAsia="Arial" w:hAnsi="Arial"/>
          <w:sz w:val="18"/>
          <w:szCs w:val="18"/>
          <w:color w:val="auto"/>
        </w:rPr>
        <w:t>marketing. These amounts represent year over year increases of 25.3% and 114.2% in the years ended December 31, 2019 and 2020, respectively. For the six months ended June 30, 2021, we spent $33.1 million (or 32.0% of revenue) on sales and marketing, representing an increase of 777.0% from $3.8 million (or 7.6% of revenue) for the six months ended June 30, 2020, mainly due to an amortization expense of $25.5 million related to the Shopify warrants. We plan to continue to invest significantly in go-to-market and innovation to address the needs of merchants. We also plan to increase headcount. The resources we commit to, and the investments we make in, our platform are designed to retain and expand the sales of our merchants, expand into new geographies and acquire new merchants, fuel our “Smart Insights” data set and improve our operating results in the long term.</w:t>
      </w:r>
    </w:p>
    <w:p>
      <w:pPr>
        <w:spacing w:after="0" w:line="89" w:lineRule="exact"/>
        <w:rPr>
          <w:sz w:val="20"/>
          <w:szCs w:val="20"/>
          <w:color w:val="auto"/>
        </w:rPr>
      </w:pPr>
    </w:p>
    <w:p>
      <w:pPr>
        <w:ind w:left="920" w:right="60" w:hanging="218"/>
        <w:spacing w:after="0" w:line="239"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Revenue Seasonality</w:t>
      </w:r>
      <w:r>
        <w:rPr>
          <w:rFonts w:ascii="Arial" w:cs="Arial" w:eastAsia="Arial" w:hAnsi="Arial"/>
          <w:sz w:val="18"/>
          <w:szCs w:val="18"/>
          <w:color w:val="auto"/>
        </w:rPr>
        <w:t>: Our revenue is correlated with the level of GMV that our merchants generate through our platform. Our</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merchants typically process additional GMV each year in the fourth quarter, which includes Black Friday, Cyber Monday and the holiday season, driven by an uptick in e-commerce sales. As a result, we historically have generated higher revenues in the fourth quarter than in other quarters. In the years ended December 31, 2018, 2019 and 2020, fourth quarter GMV represented approximately 37%, 38% and 39%, respectively, of our total GMV. We believe that similar seasonality trends will affect our future quarterly performance.</w:t>
      </w:r>
    </w:p>
    <w:p>
      <w:pPr>
        <w:spacing w:after="0" w:line="87" w:lineRule="exact"/>
        <w:rPr>
          <w:rFonts w:ascii="Arial" w:cs="Arial" w:eastAsia="Arial" w:hAnsi="Arial"/>
          <w:sz w:val="18"/>
          <w:szCs w:val="18"/>
          <w:color w:val="auto"/>
        </w:rPr>
      </w:pPr>
    </w:p>
    <w:p>
      <w:pPr>
        <w:ind w:left="920" w:right="220" w:hanging="218"/>
        <w:spacing w:after="0" w:line="262" w:lineRule="auto"/>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Increased Efficiency from Economies of Scale</w:t>
      </w:r>
      <w:r>
        <w:rPr>
          <w:rFonts w:ascii="Arial" w:cs="Arial" w:eastAsia="Arial" w:hAnsi="Arial"/>
          <w:sz w:val="17"/>
          <w:szCs w:val="17"/>
          <w:color w:val="auto"/>
        </w:rPr>
        <w:t>: Given our cost base has a significant fixed-cost component, as our GMV</w:t>
      </w:r>
      <w:r>
        <w:rPr>
          <w:rFonts w:ascii="Arial" w:cs="Arial" w:eastAsia="Arial" w:hAnsi="Arial"/>
          <w:sz w:val="17"/>
          <w:szCs w:val="17"/>
          <w:b w:val="1"/>
          <w:bCs w:val="1"/>
          <w:color w:val="auto"/>
        </w:rPr>
        <w:t xml:space="preserve"> </w:t>
      </w:r>
      <w:r>
        <w:rPr>
          <w:rFonts w:ascii="Arial" w:cs="Arial" w:eastAsia="Arial" w:hAnsi="Arial"/>
          <w:sz w:val="17"/>
          <w:szCs w:val="17"/>
          <w:color w:val="auto"/>
        </w:rPr>
        <w:t>scales, we achieve margin expansion due to operating leverage. In addition, our larger size allows us to negotiate better terms with our suppliers allowing us to further optimize our cost base. As the number of merchants on our platform grows, we also generate increasing amounts of data which in turn enable smarter decisions and optimizations that further increase efficiency.</w:t>
      </w:r>
    </w:p>
    <w:p>
      <w:pPr>
        <w:spacing w:after="0" w:line="69" w:lineRule="exact"/>
        <w:rPr>
          <w:rFonts w:ascii="Arial" w:cs="Arial" w:eastAsia="Arial" w:hAnsi="Arial"/>
          <w:sz w:val="17"/>
          <w:szCs w:val="17"/>
          <w:color w:val="auto"/>
        </w:rPr>
      </w:pPr>
    </w:p>
    <w:p>
      <w:pPr>
        <w:ind w:left="920" w:right="80" w:hanging="218"/>
        <w:spacing w:after="0" w:line="236"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COVID-19</w:t>
      </w:r>
      <w:r>
        <w:rPr>
          <w:rFonts w:ascii="Arial" w:cs="Arial" w:eastAsia="Arial" w:hAnsi="Arial"/>
          <w:sz w:val="18"/>
          <w:szCs w:val="18"/>
          <w:color w:val="auto"/>
        </w:rPr>
        <w:t>: The global pandemic resulting from the spread of COVID-19 increased e-commerce volumes in the first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2020, a trend that we believe has had a positive impact on our business. Lockdown restrictions contributed to an increased shift of shoppers to online retail activity. In addition, store closures and social distancing requirements accelerated the transition of merchants to focusing on D2C e-commerce in general, and cross-border e-commerce in particular. Our platform remained active, with no material outages or service disruptions. We successfully navigated elevated global order volumes as well as the need to rapidly adapt to changing circumstances such as temporary closures due to lockdowns, demonstrating our platform’s resilience, flexibility and effectiveness during the period of global volatility. While we cannot estimate the duration or scope of the crisis, or the potential effect it may have on our operations, we anticipate that our business will be positively affected by the lasting impact of COVID-19 on physical stores and shopper preferences and the resulting increase in e-commerce sales. While revenue may be more variable in the near- term, we believe we are well-positioned to continue to benefit from the macro-economic shift to e-commerce that COVID-19 has accelerated.</w:t>
      </w:r>
    </w:p>
    <w:p>
      <w:pPr>
        <w:spacing w:after="0" w:line="28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comprised of service fees and fulfillment services.</w:t>
      </w:r>
    </w:p>
    <w:p>
      <w:pPr>
        <w:spacing w:after="0" w:line="22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Service fees revenue is generated as a percentage of the GMV that flows through our platform. Fulfillment services revenue is generated through the Company’s offerings of shipping and handling services. Revenue is recognized at the time the related performance obligation is satisfied by transferring the promised product or delivery of service. The amount of revenue recognized reflects the consideration that the Company expects to receive in exchange for these products or services.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60" w:right="20" w:firstLine="546"/>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primarily consists of payment acquiring fees, fulfillment costs, including shipping and logistic</w:t>
      </w:r>
      <w:r>
        <w:rPr>
          <w:rFonts w:ascii="Arial" w:cs="Arial" w:eastAsia="Arial" w:hAnsi="Arial"/>
          <w:sz w:val="18"/>
          <w:szCs w:val="18"/>
          <w:i w:val="1"/>
          <w:iCs w:val="1"/>
          <w:color w:val="auto"/>
        </w:rPr>
        <w:t xml:space="preserve"> </w:t>
      </w:r>
      <w:r>
        <w:rPr>
          <w:rFonts w:ascii="Arial" w:cs="Arial" w:eastAsia="Arial" w:hAnsi="Arial"/>
          <w:sz w:val="18"/>
          <w:szCs w:val="18"/>
          <w:color w:val="auto"/>
        </w:rPr>
        <w:t>costs, operational merchant support expenses, such as customer service, payroll and allocated overhead. Overhead is allocated to cost of revenue based on applicable headcount. We expect cost of revenue to increase in absolute dollars in future periods due to our expected expansion. The level and timing of all of these items could fluctuate and affect our cost of revenue in the future.</w:t>
      </w:r>
    </w:p>
    <w:p>
      <w:pPr>
        <w:spacing w:after="0" w:line="182" w:lineRule="exact"/>
        <w:rPr>
          <w:sz w:val="20"/>
          <w:szCs w:val="20"/>
          <w:color w:val="auto"/>
        </w:rPr>
      </w:pPr>
    </w:p>
    <w:p>
      <w:pPr>
        <w:jc w:val="both"/>
        <w:ind w:left="160" w:right="360" w:firstLine="546"/>
        <w:spacing w:after="0" w:line="246"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Our gross profit and gross margin may fluctuate from period to period. Such fluctuations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influenced by our revenue, including the seasonality of our revenues, changes in cost of goods sold, our continued investments in our platform, our expected expansion into additional geographies and the growth of our merchant base.</w:t>
      </w:r>
    </w:p>
    <w:p>
      <w:pPr>
        <w:spacing w:after="0" w:line="179"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include personnel-related expenses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responsible for the design, development and testing of Company products, other development-related expenses, including cost of development environments and tools, and allocated overhead. Research and development costs are expensed as incurred. We expect these costs to increase as we continue to hire new employees in order to support the growing scale and feature set of our platform. We believe continued investments in research and development are important to attain our strategic objectives and maintain our market leadership position. As such, we expect research and development costs to increase in absolute dollars, but this expense is expected to decrease as a percentage of total revenue.</w:t>
      </w:r>
    </w:p>
    <w:p>
      <w:pPr>
        <w:spacing w:after="0" w:line="187"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i w:val="1"/>
          <w:iCs w:val="1"/>
          <w:color w:val="auto"/>
        </w:rPr>
        <w:t>Sales and marketing expenses</w:t>
      </w:r>
      <w:r>
        <w:rPr>
          <w:rFonts w:ascii="Arial" w:cs="Arial" w:eastAsia="Arial" w:hAnsi="Arial"/>
          <w:sz w:val="18"/>
          <w:szCs w:val="18"/>
          <w:color w:val="auto"/>
        </w:rPr>
        <w:t>. Sales and marketing expenses primarily consist of costs of our marketing and merchant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sales commissions, marketing activities, merchant acquisition costs and allocated overhead. Overhead is allocated to sales and marketing based on applicable headcount. We intend to continue to invest in our sales and marketing capabilities in the future to continue to increase our brand awareness and to grow our merchant base. We expect these costs to increase on an absolute dollar basis as we grow our business.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As a result of our entry into the Services and Partnership Agreement and the related issuance of warrants to purchase 19,604,239 ordinary shares to Shopify, we will recognize a commercial agreement asset which will be recognized upon the vesting of the warrants, and will be amortized over time.</w:t>
      </w:r>
    </w:p>
    <w:p>
      <w:pPr>
        <w:spacing w:after="0" w:line="188" w:lineRule="exact"/>
        <w:rPr>
          <w:sz w:val="20"/>
          <w:szCs w:val="20"/>
          <w:color w:val="auto"/>
        </w:rPr>
      </w:pPr>
    </w:p>
    <w:p>
      <w:pPr>
        <w:ind w:left="160" w:right="40" w:firstLine="546"/>
        <w:spacing w:after="0" w:line="257"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primarily consist of costs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including share-based compensation, associated primarily with our finance, legal, human resources and other operational and administrative functions, external professional services and allocated overhead. We expect that our general and administrative expenses will increase in absolute dollars for the foreseeable future as we increase the size of our general and administrative function to support the growth of our business, as well as to cover the additional cost and expenses associated with becoming a publicly listed company.</w:t>
      </w:r>
    </w:p>
    <w:p>
      <w:pPr>
        <w:spacing w:after="0" w:line="170" w:lineRule="exact"/>
        <w:rPr>
          <w:sz w:val="20"/>
          <w:szCs w:val="20"/>
          <w:color w:val="auto"/>
        </w:rPr>
      </w:pPr>
    </w:p>
    <w:p>
      <w:pPr>
        <w:ind w:left="160" w:right="40" w:firstLine="546"/>
        <w:spacing w:after="0" w:line="260" w:lineRule="auto"/>
        <w:rPr>
          <w:sz w:val="20"/>
          <w:szCs w:val="20"/>
          <w:color w:val="auto"/>
        </w:rPr>
      </w:pPr>
      <w:r>
        <w:rPr>
          <w:rFonts w:ascii="Arial" w:cs="Arial" w:eastAsia="Arial" w:hAnsi="Arial"/>
          <w:sz w:val="18"/>
          <w:szCs w:val="18"/>
          <w:i w:val="1"/>
          <w:iCs w:val="1"/>
          <w:color w:val="auto"/>
        </w:rPr>
        <w:t xml:space="preserve">Financial expenses, net. </w:t>
      </w:r>
      <w:r>
        <w:rPr>
          <w:rFonts w:ascii="Arial" w:cs="Arial" w:eastAsia="Arial" w:hAnsi="Arial"/>
          <w:sz w:val="18"/>
          <w:szCs w:val="18"/>
          <w:color w:val="auto"/>
        </w:rPr>
        <w:t>Financial expenses, net primarily includes interest income (expense), currency conversion and other bank</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fees and income and gains (losses) from foreign exchange fluctuations.</w:t>
      </w:r>
    </w:p>
    <w:p>
      <w:pPr>
        <w:spacing w:after="0" w:line="167" w:lineRule="exact"/>
        <w:rPr>
          <w:sz w:val="20"/>
          <w:szCs w:val="20"/>
          <w:color w:val="auto"/>
        </w:rPr>
      </w:pPr>
    </w:p>
    <w:p>
      <w:pPr>
        <w:ind w:left="160" w:right="160" w:firstLine="546"/>
        <w:spacing w:after="0" w:line="24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consist primarily of income taxes related to the jurisdictions in which we conduct business.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we operate. Our net operating loss carry forwards for Israeli tax purposes amounted to approximately $24 million as of December 31, 2020.</w:t>
      </w:r>
    </w:p>
    <w:p>
      <w:pPr>
        <w:spacing w:after="0" w:line="203" w:lineRule="exact"/>
        <w:rPr>
          <w:sz w:val="20"/>
          <w:szCs w:val="20"/>
          <w:color w:val="auto"/>
        </w:rPr>
      </w:pPr>
    </w:p>
    <w:p>
      <w:pPr>
        <w:ind w:left="160" w:right="800" w:firstLine="546"/>
        <w:spacing w:after="0" w:line="239" w:lineRule="auto"/>
        <w:rPr>
          <w:sz w:val="20"/>
          <w:szCs w:val="20"/>
          <w:color w:val="auto"/>
        </w:rPr>
      </w:pPr>
      <w:r>
        <w:rPr>
          <w:rFonts w:ascii="Arial" w:cs="Arial" w:eastAsia="Arial" w:hAnsi="Arial"/>
          <w:sz w:val="18"/>
          <w:szCs w:val="18"/>
          <w:color w:val="auto"/>
        </w:rPr>
        <w:t>We expect to realize net losses in future periods as a result of the significant increase in sales and marketing expenses in connection with the vesting of the warrants issued to Shopify.</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tables set forth our results of operations in U.S. dollars and as a percentage of revenue for the periods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4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jc w:val="right"/>
              <w:ind w:right="93"/>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32"/>
              <w:spacing w:after="0" w:line="154"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2"/>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80" w:type="dxa"/>
            <w:vAlign w:val="bottom"/>
            <w:gridSpan w:val="2"/>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509"/>
              <w:spacing w:after="0" w:line="201" w:lineRule="exact"/>
              <w:rPr>
                <w:sz w:val="20"/>
                <w:szCs w:val="20"/>
                <w:color w:val="auto"/>
              </w:rPr>
            </w:pPr>
            <w:r>
              <w:rPr>
                <w:rFonts w:ascii="Arial" w:cs="Arial" w:eastAsia="Arial" w:hAnsi="Arial"/>
                <w:sz w:val="18"/>
                <w:szCs w:val="18"/>
                <w:color w:val="auto"/>
                <w:w w:val="98"/>
              </w:rPr>
              <w:t>$49,476</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$103,438</w:t>
            </w:r>
          </w:p>
        </w:tc>
        <w:tc>
          <w:tcPr>
            <w:tcW w:w="4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$ 38,640</w:t>
            </w:r>
          </w:p>
        </w:tc>
        <w:tc>
          <w:tcPr>
            <w:tcW w:w="12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$65,852</w:t>
            </w:r>
          </w:p>
        </w:tc>
        <w:tc>
          <w:tcPr>
            <w:tcW w:w="3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136,375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Cost of revenue</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34,029</w:t>
            </w:r>
          </w:p>
        </w:tc>
        <w:tc>
          <w:tcPr>
            <w:tcW w:w="580" w:type="dxa"/>
            <w:vAlign w:val="bottom"/>
          </w:tcPr>
          <w:p>
            <w:pPr>
              <w:spacing w:after="0"/>
              <w:rPr>
                <w:sz w:val="17"/>
                <w:szCs w:val="17"/>
                <w:color w:val="auto"/>
              </w:rPr>
            </w:pPr>
          </w:p>
        </w:tc>
        <w:tc>
          <w:tcPr>
            <w:tcW w:w="11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67,471</w:t>
            </w:r>
          </w:p>
        </w:tc>
        <w:tc>
          <w:tcPr>
            <w:tcW w:w="12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30,050</w:t>
            </w:r>
          </w:p>
        </w:tc>
        <w:tc>
          <w:tcPr>
            <w:tcW w:w="12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47,188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92,902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15,447</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35,967</w:t>
            </w:r>
          </w:p>
        </w:tc>
        <w:tc>
          <w:tcPr>
            <w:tcW w:w="128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8,590</w:t>
            </w:r>
          </w:p>
        </w:tc>
        <w:tc>
          <w:tcPr>
            <w:tcW w:w="12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18,664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Research and development</w:t>
            </w:r>
          </w:p>
        </w:tc>
        <w:tc>
          <w:tcPr>
            <w:tcW w:w="1240" w:type="dxa"/>
            <w:vAlign w:val="bottom"/>
            <w:gridSpan w:val="2"/>
            <w:shd w:val="clear" w:color="auto" w:fill="CCEEFF"/>
          </w:tcPr>
          <w:p>
            <w:pPr>
              <w:jc w:val="right"/>
              <w:ind w:right="509"/>
              <w:spacing w:after="0" w:line="201" w:lineRule="exact"/>
              <w:rPr>
                <w:sz w:val="20"/>
                <w:szCs w:val="20"/>
                <w:color w:val="auto"/>
              </w:rPr>
            </w:pPr>
            <w:r>
              <w:rPr>
                <w:rFonts w:ascii="Arial" w:cs="Arial" w:eastAsia="Arial" w:hAnsi="Arial"/>
                <w:sz w:val="18"/>
                <w:szCs w:val="18"/>
                <w:color w:val="auto"/>
              </w:rPr>
              <w:t>6,821</w:t>
            </w:r>
          </w:p>
        </w:tc>
        <w:tc>
          <w:tcPr>
            <w:tcW w:w="116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11,182</w:t>
            </w:r>
          </w:p>
        </w:tc>
        <w:tc>
          <w:tcPr>
            <w:tcW w:w="128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9,541</w:t>
            </w:r>
          </w:p>
        </w:tc>
        <w:tc>
          <w:tcPr>
            <w:tcW w:w="12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12,034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1240" w:type="dxa"/>
            <w:vAlign w:val="bottom"/>
            <w:gridSpan w:val="2"/>
          </w:tcPr>
          <w:p>
            <w:pPr>
              <w:jc w:val="right"/>
              <w:ind w:right="509"/>
              <w:spacing w:after="0" w:line="201" w:lineRule="exact"/>
              <w:rPr>
                <w:sz w:val="20"/>
                <w:szCs w:val="20"/>
                <w:color w:val="auto"/>
              </w:rPr>
            </w:pPr>
            <w:r>
              <w:rPr>
                <w:rFonts w:ascii="Arial" w:cs="Arial" w:eastAsia="Arial" w:hAnsi="Arial"/>
                <w:sz w:val="18"/>
                <w:szCs w:val="18"/>
                <w:color w:val="auto"/>
              </w:rPr>
              <w:t>3,776</w:t>
            </w:r>
          </w:p>
        </w:tc>
        <w:tc>
          <w:tcPr>
            <w:tcW w:w="11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33,117</w:t>
            </w:r>
          </w:p>
        </w:tc>
        <w:tc>
          <w:tcPr>
            <w:tcW w:w="12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3,667</w:t>
            </w:r>
          </w:p>
        </w:tc>
        <w:tc>
          <w:tcPr>
            <w:tcW w:w="12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4,593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3,960</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7,051</w:t>
            </w:r>
          </w:p>
        </w:tc>
        <w:tc>
          <w:tcPr>
            <w:tcW w:w="128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5,760</w:t>
            </w:r>
          </w:p>
        </w:tc>
        <w:tc>
          <w:tcPr>
            <w:tcW w:w="12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6,988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14,557</w:t>
            </w:r>
          </w:p>
        </w:tc>
        <w:tc>
          <w:tcPr>
            <w:tcW w:w="5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51,350</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18,968</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23,615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890</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(15,383)</w:t>
            </w:r>
          </w:p>
        </w:tc>
        <w:tc>
          <w:tcPr>
            <w:tcW w:w="128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(10,378)</w:t>
            </w:r>
          </w:p>
        </w:tc>
        <w:tc>
          <w:tcPr>
            <w:tcW w:w="128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(4,951)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Financial expenses, net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2,549</w:t>
            </w:r>
          </w:p>
        </w:tc>
        <w:tc>
          <w:tcPr>
            <w:tcW w:w="580" w:type="dxa"/>
            <w:vAlign w:val="bottom"/>
          </w:tcPr>
          <w:p>
            <w:pPr>
              <w:spacing w:after="0"/>
              <w:rPr>
                <w:sz w:val="17"/>
                <w:szCs w:val="17"/>
                <w:color w:val="auto"/>
              </w:rPr>
            </w:pPr>
          </w:p>
        </w:tc>
        <w:tc>
          <w:tcPr>
            <w:tcW w:w="11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8,129</w:t>
            </w:r>
          </w:p>
        </w:tc>
        <w:tc>
          <w:tcPr>
            <w:tcW w:w="12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1,165</w:t>
            </w:r>
          </w:p>
        </w:tc>
        <w:tc>
          <w:tcPr>
            <w:tcW w:w="12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2,559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Profit (loss) before income taxes</w:t>
            </w:r>
          </w:p>
        </w:tc>
        <w:tc>
          <w:tcPr>
            <w:tcW w:w="1240" w:type="dxa"/>
            <w:vAlign w:val="bottom"/>
            <w:gridSpan w:val="2"/>
            <w:shd w:val="clear" w:color="auto" w:fill="CCEEFF"/>
          </w:tcPr>
          <w:p>
            <w:pPr>
              <w:jc w:val="right"/>
              <w:ind w:right="469"/>
              <w:spacing w:after="0" w:line="201" w:lineRule="exact"/>
              <w:rPr>
                <w:sz w:val="20"/>
                <w:szCs w:val="20"/>
                <w:color w:val="auto"/>
              </w:rPr>
            </w:pPr>
            <w:r>
              <w:rPr>
                <w:rFonts w:ascii="Arial" w:cs="Arial" w:eastAsia="Arial" w:hAnsi="Arial"/>
                <w:sz w:val="18"/>
                <w:szCs w:val="18"/>
                <w:color w:val="auto"/>
              </w:rPr>
              <w:t>(1,659)</w:t>
            </w: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(23,512)</w:t>
            </w:r>
          </w:p>
        </w:tc>
        <w:tc>
          <w:tcPr>
            <w:tcW w:w="128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(11,543)</w:t>
            </w:r>
          </w:p>
        </w:tc>
        <w:tc>
          <w:tcPr>
            <w:tcW w:w="128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(7,510)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Income taxes</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9</w:t>
            </w:r>
          </w:p>
        </w:tc>
        <w:tc>
          <w:tcPr>
            <w:tcW w:w="5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461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1240" w:type="dxa"/>
            <w:vAlign w:val="bottom"/>
            <w:gridSpan w:val="2"/>
            <w:shd w:val="clear" w:color="auto" w:fill="CCEEFF"/>
          </w:tcPr>
          <w:p>
            <w:pPr>
              <w:jc w:val="right"/>
              <w:ind w:right="469"/>
              <w:spacing w:after="0" w:line="201" w:lineRule="exact"/>
              <w:rPr>
                <w:sz w:val="20"/>
                <w:szCs w:val="20"/>
                <w:color w:val="auto"/>
              </w:rPr>
            </w:pPr>
            <w:r>
              <w:rPr>
                <w:rFonts w:ascii="Arial" w:cs="Arial" w:eastAsia="Arial" w:hAnsi="Arial"/>
                <w:sz w:val="18"/>
                <w:szCs w:val="18"/>
                <w:color w:val="auto"/>
                <w:w w:val="94"/>
              </w:rPr>
              <w:t>$ (1,668)</w:t>
            </w: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7"/>
              </w:rPr>
              <w:t>$ (23,973)</w:t>
            </w:r>
          </w:p>
        </w:tc>
        <w:tc>
          <w:tcPr>
            <w:tcW w:w="128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(11,593)</w:t>
            </w:r>
          </w:p>
        </w:tc>
        <w:tc>
          <w:tcPr>
            <w:tcW w:w="128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 (7,544)</w:t>
            </w:r>
          </w:p>
        </w:tc>
        <w:tc>
          <w:tcPr>
            <w:tcW w:w="3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4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 % of revenue)</w:t>
            </w:r>
          </w:p>
        </w:tc>
        <w:tc>
          <w:tcPr>
            <w:tcW w:w="660" w:type="dxa"/>
            <w:vAlign w:val="bottom"/>
            <w:tcBorders>
              <w:top w:val="single" w:sz="8" w:color="auto"/>
            </w:tcBorders>
          </w:tcPr>
          <w:p>
            <w:pPr>
              <w:jc w:val="right"/>
              <w:ind w:right="93"/>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32"/>
              <w:spacing w:after="0" w:line="154"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2"/>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80" w:type="dxa"/>
            <w:vAlign w:val="bottom"/>
            <w:gridSpan w:val="2"/>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369"/>
              <w:spacing w:after="0" w:line="201" w:lineRule="exact"/>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68.8</w:t>
            </w:r>
          </w:p>
        </w:tc>
        <w:tc>
          <w:tcPr>
            <w:tcW w:w="5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65.2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77.8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71.7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34.8</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28.3</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1240" w:type="dxa"/>
            <w:vAlign w:val="bottom"/>
            <w:gridSpan w:val="2"/>
          </w:tcPr>
          <w:p>
            <w:pPr>
              <w:jc w:val="right"/>
              <w:ind w:right="509"/>
              <w:spacing w:after="0" w:line="201" w:lineRule="exact"/>
              <w:rPr>
                <w:sz w:val="20"/>
                <w:szCs w:val="20"/>
                <w:color w:val="auto"/>
              </w:rPr>
            </w:pPr>
            <w:r>
              <w:rPr>
                <w:rFonts w:ascii="Arial" w:cs="Arial" w:eastAsia="Arial" w:hAnsi="Arial"/>
                <w:sz w:val="18"/>
                <w:szCs w:val="18"/>
                <w:color w:val="auto"/>
              </w:rPr>
              <w:t>7.6</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32.0</w:t>
            </w:r>
          </w:p>
        </w:tc>
        <w:tc>
          <w:tcPr>
            <w:tcW w:w="400" w:type="dxa"/>
            <w:vAlign w:val="bottom"/>
          </w:tcPr>
          <w:p>
            <w:pPr>
              <w:spacing w:after="0"/>
              <w:rPr>
                <w:sz w:val="17"/>
                <w:szCs w:val="17"/>
                <w:color w:val="auto"/>
              </w:rPr>
            </w:pPr>
          </w:p>
        </w:tc>
        <w:tc>
          <w:tcPr>
            <w:tcW w:w="12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9.5</w:t>
            </w:r>
          </w:p>
        </w:tc>
        <w:tc>
          <w:tcPr>
            <w:tcW w:w="12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6.8</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(14.9)</w:t>
            </w:r>
          </w:p>
        </w:tc>
        <w:tc>
          <w:tcPr>
            <w:tcW w:w="128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(26.9)</w:t>
            </w:r>
          </w:p>
        </w:tc>
        <w:tc>
          <w:tcPr>
            <w:tcW w:w="128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Financial expenses, net</w:t>
            </w:r>
          </w:p>
        </w:tc>
        <w:tc>
          <w:tcPr>
            <w:tcW w:w="1240" w:type="dxa"/>
            <w:vAlign w:val="bottom"/>
            <w:gridSpan w:val="2"/>
          </w:tcPr>
          <w:p>
            <w:pPr>
              <w:jc w:val="right"/>
              <w:ind w:right="509"/>
              <w:spacing w:after="0" w:line="201" w:lineRule="exact"/>
              <w:rPr>
                <w:sz w:val="20"/>
                <w:szCs w:val="20"/>
                <w:color w:val="auto"/>
              </w:rPr>
            </w:pPr>
            <w:r>
              <w:rPr>
                <w:rFonts w:ascii="Arial" w:cs="Arial" w:eastAsia="Arial" w:hAnsi="Arial"/>
                <w:sz w:val="18"/>
                <w:szCs w:val="18"/>
                <w:color w:val="auto"/>
              </w:rPr>
              <w:t>5.2</w:t>
            </w:r>
          </w:p>
        </w:tc>
        <w:tc>
          <w:tcPr>
            <w:tcW w:w="116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7.9</w:t>
            </w:r>
          </w:p>
        </w:tc>
        <w:tc>
          <w:tcPr>
            <w:tcW w:w="12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3.0</w:t>
            </w:r>
          </w:p>
        </w:tc>
        <w:tc>
          <w:tcPr>
            <w:tcW w:w="12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Profit (loss) before income taxes</w:t>
            </w:r>
          </w:p>
        </w:tc>
        <w:tc>
          <w:tcPr>
            <w:tcW w:w="1240" w:type="dxa"/>
            <w:vAlign w:val="bottom"/>
            <w:gridSpan w:val="2"/>
            <w:shd w:val="clear" w:color="auto" w:fill="CCEEFF"/>
          </w:tcPr>
          <w:p>
            <w:pPr>
              <w:jc w:val="right"/>
              <w:ind w:right="469"/>
              <w:spacing w:after="0" w:line="201" w:lineRule="exact"/>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(22.7)</w:t>
            </w:r>
          </w:p>
        </w:tc>
        <w:tc>
          <w:tcPr>
            <w:tcW w:w="128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(29.9)</w:t>
            </w:r>
          </w:p>
        </w:tc>
        <w:tc>
          <w:tcPr>
            <w:tcW w:w="1280" w:type="dxa"/>
            <w:vAlign w:val="bottom"/>
            <w:gridSpan w:val="3"/>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0.0</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1240" w:type="dxa"/>
            <w:vAlign w:val="bottom"/>
            <w:gridSpan w:val="2"/>
            <w:shd w:val="clear" w:color="auto" w:fill="CCEEFF"/>
          </w:tcPr>
          <w:p>
            <w:pPr>
              <w:jc w:val="right"/>
              <w:ind w:right="309"/>
              <w:spacing w:after="0" w:line="201" w:lineRule="exact"/>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(23.2)%</w:t>
            </w:r>
          </w:p>
        </w:tc>
        <w:tc>
          <w:tcPr>
            <w:tcW w:w="12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(30.0)%</w:t>
            </w:r>
          </w:p>
        </w:tc>
        <w:tc>
          <w:tcPr>
            <w:tcW w:w="128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40" w:type="dxa"/>
            <w:vAlign w:val="bottom"/>
            <w:gridSpan w:val="2"/>
          </w:tcPr>
          <w:p>
            <w:pPr>
              <w:jc w:val="right"/>
              <w:ind w:right="289"/>
              <w:spacing w:after="0"/>
              <w:rPr>
                <w:sz w:val="20"/>
                <w:szCs w:val="20"/>
                <w:color w:val="auto"/>
              </w:rPr>
            </w:pPr>
            <w:r>
              <w:rPr>
                <w:rFonts w:ascii="Arial" w:cs="Arial" w:eastAsia="Arial" w:hAnsi="Arial"/>
                <w:sz w:val="18"/>
                <w:szCs w:val="18"/>
                <w:color w:val="auto"/>
              </w:rPr>
              <w:t>73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01" w:lineRule="exact"/>
        <w:rPr>
          <w:sz w:val="20"/>
          <w:szCs w:val="20"/>
          <w:color w:val="auto"/>
        </w:rPr>
      </w:pPr>
    </w:p>
    <w:p>
      <w:pPr>
        <w:ind w:left="720"/>
        <w:spacing w:after="0"/>
        <w:tabs>
          <w:tab w:leader="none" w:pos="16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7"/>
          <w:szCs w:val="17"/>
          <w:color w:val="auto"/>
        </w:rPr>
        <w:t>Revenue increased by $54.0 million, or 109%, to $103.4 million for the six months ended June 30, 2021 from</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$49.5 million for the six months ended June 30, 2020, consisting of increases in service fees revenue of $20.9 million, or 120.8%, to</w:t>
      </w:r>
    </w:p>
    <w:p>
      <w:pPr>
        <w:ind w:left="160"/>
        <w:spacing w:after="0"/>
        <w:rPr>
          <w:sz w:val="20"/>
          <w:szCs w:val="20"/>
          <w:color w:val="auto"/>
        </w:rPr>
      </w:pPr>
      <w:r>
        <w:rPr>
          <w:rFonts w:ascii="Arial" w:cs="Arial" w:eastAsia="Arial" w:hAnsi="Arial"/>
          <w:sz w:val="18"/>
          <w:szCs w:val="18"/>
          <w:color w:val="auto"/>
        </w:rPr>
        <w:t>$38.2 million from $17.3 million and fulfillment revenue of $33.1 million, or 102.8%, to $65.2 million from $32.2 million.</w:t>
      </w:r>
    </w:p>
    <w:p>
      <w:pPr>
        <w:spacing w:after="0" w:line="208" w:lineRule="exact"/>
        <w:rPr>
          <w:sz w:val="20"/>
          <w:szCs w:val="20"/>
          <w:color w:val="auto"/>
        </w:rPr>
      </w:pPr>
    </w:p>
    <w:p>
      <w:pPr>
        <w:ind w:left="160" w:right="340" w:firstLine="546"/>
        <w:spacing w:after="0" w:line="246" w:lineRule="auto"/>
        <w:rPr>
          <w:sz w:val="20"/>
          <w:szCs w:val="20"/>
          <w:color w:val="auto"/>
        </w:rPr>
      </w:pPr>
      <w:r>
        <w:rPr>
          <w:rFonts w:ascii="Arial" w:cs="Arial" w:eastAsia="Arial" w:hAnsi="Arial"/>
          <w:sz w:val="17"/>
          <w:szCs w:val="17"/>
          <w:color w:val="auto"/>
        </w:rPr>
        <w:t>The increase in service fees revenue resulted primarily from growth of GMV from $281 million in the six months ended June 30, 2020 to $593 million in the six months ended June 30, 2021. The increase in fulfilment revenue resulted primarily from an increase of transactions processed through our platform from approximately 1.7 million in the six months ended June 30, 2020 to approximately</w:t>
      </w:r>
    </w:p>
    <w:p>
      <w:pPr>
        <w:spacing w:after="0" w:line="1"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2.9 million in the six months ended June 30, 2021, and was slightly offset by an increase in the number of merchants using our platform services on a standalone basis.</w:t>
      </w:r>
    </w:p>
    <w:p>
      <w:pPr>
        <w:spacing w:after="0" w:line="181" w:lineRule="exact"/>
        <w:rPr>
          <w:sz w:val="20"/>
          <w:szCs w:val="20"/>
          <w:color w:val="auto"/>
        </w:rPr>
      </w:pPr>
    </w:p>
    <w:p>
      <w:pPr>
        <w:ind w:left="720"/>
        <w:spacing w:after="0"/>
        <w:tabs>
          <w:tab w:leader="none" w:pos="4420" w:val="left"/>
        </w:tabs>
        <w:rPr>
          <w:sz w:val="20"/>
          <w:szCs w:val="20"/>
          <w:color w:val="auto"/>
        </w:rPr>
      </w:pPr>
      <w:r>
        <w:rPr>
          <w:rFonts w:ascii="Arial" w:cs="Arial" w:eastAsia="Arial" w:hAnsi="Arial"/>
          <w:sz w:val="18"/>
          <w:szCs w:val="18"/>
          <w:b w:val="1"/>
          <w:bCs w:val="1"/>
          <w:i w:val="1"/>
          <w:iCs w:val="1"/>
          <w:color w:val="auto"/>
        </w:rPr>
        <w:t>Cost of Revenue and Gross Profit Margin.</w:t>
      </w:r>
      <w:r>
        <w:rPr>
          <w:sz w:val="20"/>
          <w:szCs w:val="20"/>
          <w:color w:val="auto"/>
        </w:rPr>
        <w:tab/>
      </w:r>
      <w:r>
        <w:rPr>
          <w:rFonts w:ascii="Arial" w:cs="Arial" w:eastAsia="Arial" w:hAnsi="Arial"/>
          <w:sz w:val="17"/>
          <w:szCs w:val="17"/>
          <w:color w:val="auto"/>
        </w:rPr>
        <w:t>Cost of revenue increased by $33.4 million, or 98.3%, to $67.5 million for the six</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months ended June 30, 2021 from $34.0 million for the six months ended June 30, 2020, consisting of increases in service fees costs of</w:t>
      </w:r>
    </w:p>
    <w:p>
      <w:pPr>
        <w:ind w:left="160"/>
        <w:spacing w:after="0"/>
        <w:rPr>
          <w:sz w:val="20"/>
          <w:szCs w:val="20"/>
          <w:color w:val="auto"/>
        </w:rPr>
      </w:pPr>
      <w:r>
        <w:rPr>
          <w:rFonts w:ascii="Arial" w:cs="Arial" w:eastAsia="Arial" w:hAnsi="Arial"/>
          <w:sz w:val="17"/>
          <w:szCs w:val="17"/>
          <w:color w:val="auto"/>
        </w:rPr>
        <w:t>$5.3 million, or 89.1%, to $11.3 million from $6.0 million for the six months ended June 30, 2020, and in fulfillment costs of $28.1 million, or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100.2%, to $56.2 million for the six months ended June 30, 2021 from $28.1 million for the six months ended June 30, 2020. The increase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service fees costs was primarily driven by the increased cost of serving the higher value of transactions processed through our platform,</w:t>
      </w:r>
    </w:p>
    <w:p>
      <w:pPr>
        <w:ind w:left="160"/>
        <w:spacing w:after="0" w:line="238" w:lineRule="auto"/>
        <w:rPr>
          <w:sz w:val="20"/>
          <w:szCs w:val="20"/>
          <w:color w:val="auto"/>
        </w:rPr>
      </w:pPr>
      <w:r>
        <w:rPr>
          <w:rFonts w:ascii="Arial" w:cs="Arial" w:eastAsia="Arial" w:hAnsi="Arial"/>
          <w:sz w:val="18"/>
          <w:szCs w:val="18"/>
          <w:color w:val="auto"/>
        </w:rPr>
        <w:t>partially offset by optimization and cost reduction of service fees related costs. The increase in fulfilment costs was primarily driven by the</w:t>
      </w:r>
    </w:p>
    <w:p>
      <w:pPr>
        <w:ind w:left="160"/>
        <w:spacing w:after="0"/>
        <w:rPr>
          <w:sz w:val="20"/>
          <w:szCs w:val="20"/>
          <w:color w:val="auto"/>
        </w:rPr>
      </w:pPr>
      <w:r>
        <w:rPr>
          <w:rFonts w:ascii="Arial" w:cs="Arial" w:eastAsia="Arial" w:hAnsi="Arial"/>
          <w:sz w:val="18"/>
          <w:szCs w:val="18"/>
          <w:color w:val="auto"/>
        </w:rPr>
        <w:t>growth in volume of transactions processed through our platform.</w:t>
      </w:r>
    </w:p>
    <w:p>
      <w:pPr>
        <w:spacing w:after="0" w:line="186" w:lineRule="exact"/>
        <w:rPr>
          <w:sz w:val="20"/>
          <w:szCs w:val="20"/>
          <w:color w:val="auto"/>
        </w:rPr>
      </w:pPr>
    </w:p>
    <w:p>
      <w:pPr>
        <w:ind w:left="160" w:right="140" w:firstLine="546"/>
        <w:spacing w:after="0"/>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costs increased by $4.4 million, or 63.9%, to $11.2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2021 from $6.8 million for the six months ended June 30, 2020. This increase was primarily driven by the expansion of our research and development personnel and platform capacity to further develop our platform capabilities and support the growth of transaction volume. Total headcount within research and development expenses increased by 67 from June 30, 2020 to June 30, 2021.</w:t>
      </w:r>
    </w:p>
    <w:p>
      <w:pPr>
        <w:spacing w:after="0" w:line="182" w:lineRule="exact"/>
        <w:rPr>
          <w:sz w:val="20"/>
          <w:szCs w:val="20"/>
          <w:color w:val="auto"/>
        </w:rPr>
      </w:pPr>
    </w:p>
    <w:p>
      <w:pPr>
        <w:ind w:left="160" w:right="20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increased by $29.3 million, or 777.0%, to $33.1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2021 from $3.8 million for the six months ended June 30, 2020. This increase was primarily driven by an amortization expense of $25.5 million related to the Shopify warrants and by the expansion of our sales and marketing personnel to support our expansion efforts. Total headcount within sales and marketing increased by 22 from June 30, 2020 to June 30, 2021.</w:t>
      </w:r>
    </w:p>
    <w:p>
      <w:pPr>
        <w:spacing w:after="0" w:line="178" w:lineRule="exact"/>
        <w:rPr>
          <w:sz w:val="20"/>
          <w:szCs w:val="20"/>
          <w:color w:val="auto"/>
        </w:rPr>
      </w:pPr>
    </w:p>
    <w:p>
      <w:pPr>
        <w:ind w:left="720"/>
        <w:spacing w:after="0"/>
        <w:tabs>
          <w:tab w:leader="none" w:pos="4140" w:val="left"/>
        </w:tabs>
        <w:rPr>
          <w:sz w:val="20"/>
          <w:szCs w:val="20"/>
          <w:color w:val="auto"/>
        </w:rPr>
      </w:pPr>
      <w:r>
        <w:rPr>
          <w:rFonts w:ascii="Arial" w:cs="Arial" w:eastAsia="Arial" w:hAnsi="Arial"/>
          <w:sz w:val="18"/>
          <w:szCs w:val="18"/>
          <w:b w:val="1"/>
          <w:bCs w:val="1"/>
          <w:i w:val="1"/>
          <w:iCs w:val="1"/>
          <w:color w:val="auto"/>
        </w:rPr>
        <w:t>General and Administrative Expenses.</w:t>
      </w:r>
      <w:r>
        <w:rPr>
          <w:sz w:val="20"/>
          <w:szCs w:val="20"/>
          <w:color w:val="auto"/>
        </w:rPr>
        <w:tab/>
      </w:r>
      <w:r>
        <w:rPr>
          <w:rFonts w:ascii="Arial" w:cs="Arial" w:eastAsia="Arial" w:hAnsi="Arial"/>
          <w:sz w:val="17"/>
          <w:szCs w:val="17"/>
          <w:color w:val="auto"/>
        </w:rPr>
        <w:t>General and administrative expenses increased by $3.1 million, or 78.1%, to</w:t>
      </w:r>
    </w:p>
    <w:p>
      <w:pPr>
        <w:spacing w:after="0" w:line="16"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$7.1 million for the six months ended June 30, 2021 from $4.0 million for the six months ended June 30, 2020. This increase was primarily driven by the expansion of our general and administrative personnel, as well as increased expense incurred in connection with supplementing our general and administrative function with third-party consultants and expenses related to being a public company. Total headcount within general and administrative increased by 15 from June 30, 2020 to June 30, 2021.</w:t>
      </w:r>
    </w:p>
    <w:p>
      <w:pPr>
        <w:spacing w:after="0" w:line="180"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i w:val="1"/>
          <w:iCs w:val="1"/>
          <w:color w:val="auto"/>
        </w:rPr>
        <w:t xml:space="preserve">Financial Expenses, Net. </w:t>
      </w:r>
      <w:r>
        <w:rPr>
          <w:rFonts w:ascii="Arial" w:cs="Arial" w:eastAsia="Arial" w:hAnsi="Arial"/>
          <w:sz w:val="18"/>
          <w:szCs w:val="18"/>
          <w:color w:val="auto"/>
        </w:rPr>
        <w:t>Financial expenses, net increased by $5.6 million, or 218.9%, to $8.1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from $2.6 million for the six months ended June 30, 2020, primarily driven by revaluation of warrants to purchase convertible preferred shares of the Company, offset by income generated from deposits and marketable securities.</w:t>
      </w:r>
    </w:p>
    <w:p>
      <w:pPr>
        <w:spacing w:after="0" w:line="172" w:lineRule="exact"/>
        <w:rPr>
          <w:sz w:val="20"/>
          <w:szCs w:val="20"/>
          <w:color w:val="auto"/>
        </w:rPr>
      </w:pPr>
    </w:p>
    <w:p>
      <w:pPr>
        <w:ind w:left="160" w:right="580" w:firstLine="546"/>
        <w:spacing w:after="0" w:line="24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increased by $ 452 thousand to $461 thousand for the six months ended June 30, 2021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 thousand for the six months ended June 30, 2020, primarily driven by provisions for current taxes in the United States and the Netherlands.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01" w:lineRule="exact"/>
        <w:rPr>
          <w:sz w:val="20"/>
          <w:szCs w:val="20"/>
          <w:color w:val="auto"/>
        </w:rPr>
      </w:pPr>
    </w:p>
    <w:p>
      <w:pPr>
        <w:jc w:val="both"/>
        <w:ind w:left="160" w:right="720" w:firstLine="546"/>
        <w:spacing w:after="0" w:line="24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increased by $70.5 million, or 107.1%, to $136.4 million for the year ended December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$65.9 million for the year ended December 31, 2019, consisting of increases in service fees revenue of $26.4 million, or 112%, to $49.9 million from $23.5 million, and fulfillment revenue of $44.1 million, or 104%, to $86.4 million from $42.4 million.</w:t>
      </w:r>
    </w:p>
    <w:p>
      <w:pPr>
        <w:spacing w:after="0" w:line="194"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The increase in service fees revenue resulted primarily from growth of GMV from $ 382 million in the year ended December 31, 2019 to $774 million in the year ended December 31, 2020. GMV generated from existing merchants increased by $274 million, primarily attributable to growth in cross-border sales and an increase in the use of our platform to support additional inbound markets. In the year ended December 31, 2020, 204 new merchants were onboarded to our platform and generated GMV of $118 million in such period. The increase in fulfilment revenue resulted primarily from an increase of transactions processed through our platform from approximately 2.4 million in 2019 to approximately 4.6 million in 2020, and was slightly offset by an increase in the number of merchants using our platform services on a standalone basis.</w:t>
      </w:r>
    </w:p>
    <w:p>
      <w:pPr>
        <w:spacing w:after="0" w:line="184" w:lineRule="exact"/>
        <w:rPr>
          <w:sz w:val="20"/>
          <w:szCs w:val="20"/>
          <w:color w:val="auto"/>
        </w:rPr>
      </w:pPr>
    </w:p>
    <w:p>
      <w:pPr>
        <w:ind w:left="720"/>
        <w:spacing w:after="0"/>
        <w:tabs>
          <w:tab w:leader="none" w:pos="4420" w:val="left"/>
        </w:tabs>
        <w:rPr>
          <w:sz w:val="20"/>
          <w:szCs w:val="20"/>
          <w:color w:val="auto"/>
        </w:rPr>
      </w:pPr>
      <w:r>
        <w:rPr>
          <w:rFonts w:ascii="Arial" w:cs="Arial" w:eastAsia="Arial" w:hAnsi="Arial"/>
          <w:sz w:val="18"/>
          <w:szCs w:val="18"/>
          <w:b w:val="1"/>
          <w:bCs w:val="1"/>
          <w:i w:val="1"/>
          <w:iCs w:val="1"/>
          <w:color w:val="auto"/>
        </w:rPr>
        <w:t>Cost of Revenue and Gross Profit Margin.</w:t>
      </w:r>
      <w:r>
        <w:rPr>
          <w:sz w:val="20"/>
          <w:szCs w:val="20"/>
          <w:color w:val="auto"/>
        </w:rPr>
        <w:tab/>
      </w:r>
      <w:r>
        <w:rPr>
          <w:rFonts w:ascii="Arial" w:cs="Arial" w:eastAsia="Arial" w:hAnsi="Arial"/>
          <w:sz w:val="17"/>
          <w:szCs w:val="17"/>
          <w:color w:val="auto"/>
        </w:rPr>
        <w:t>Cost of revenue increased by $45.7 million, or 96.9%, to $92.9 million for the year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ended December 31, 2020 from $47.2 million for the year ended December 31, 2019, consisting of increases in service fees costs of</w:t>
      </w:r>
    </w:p>
    <w:p>
      <w:pPr>
        <w:ind w:left="160"/>
        <w:spacing w:after="0" w:line="232" w:lineRule="auto"/>
        <w:rPr>
          <w:sz w:val="20"/>
          <w:szCs w:val="20"/>
          <w:color w:val="auto"/>
        </w:rPr>
      </w:pPr>
      <w:r>
        <w:rPr>
          <w:rFonts w:ascii="Arial" w:cs="Arial" w:eastAsia="Arial" w:hAnsi="Arial"/>
          <w:sz w:val="18"/>
          <w:szCs w:val="18"/>
          <w:color w:val="auto"/>
        </w:rPr>
        <w:t>$6.1 million, or 65%, to $15.4 million from $9.3 million, and fulfillment costs of $39.7 million, or 105%, to $77.5 million from $37.8 million.</w:t>
      </w:r>
    </w:p>
    <w:p>
      <w:pPr>
        <w:ind w:left="160"/>
        <w:spacing w:after="0" w:line="233" w:lineRule="auto"/>
        <w:rPr>
          <w:sz w:val="20"/>
          <w:szCs w:val="20"/>
          <w:color w:val="auto"/>
        </w:rPr>
      </w:pPr>
      <w:r>
        <w:rPr>
          <w:rFonts w:ascii="Arial" w:cs="Arial" w:eastAsia="Arial" w:hAnsi="Arial"/>
          <w:sz w:val="18"/>
          <w:szCs w:val="18"/>
          <w:color w:val="auto"/>
        </w:rPr>
        <w:t>The increase in service fees costs was primarily driven by the increased cost of serving the higher value of transactions processed</w:t>
      </w:r>
    </w:p>
    <w:p>
      <w:pPr>
        <w:ind w:left="160"/>
        <w:spacing w:after="0" w:line="232" w:lineRule="auto"/>
        <w:rPr>
          <w:sz w:val="20"/>
          <w:szCs w:val="20"/>
          <w:color w:val="auto"/>
        </w:rPr>
      </w:pPr>
      <w:r>
        <w:rPr>
          <w:rFonts w:ascii="Arial" w:cs="Arial" w:eastAsia="Arial" w:hAnsi="Arial"/>
          <w:sz w:val="18"/>
          <w:szCs w:val="18"/>
          <w:color w:val="auto"/>
        </w:rPr>
        <w:t>through our platform, partially offset by optimization and cost reduction of service fees related costs. The increase in fulfilment costs was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primarily driven by the growth in volume of transactions processed through our platform.</w:t>
      </w:r>
    </w:p>
    <w:p>
      <w:pPr>
        <w:spacing w:after="0" w:line="186" w:lineRule="exact"/>
        <w:rPr>
          <w:sz w:val="20"/>
          <w:szCs w:val="20"/>
          <w:color w:val="auto"/>
        </w:rPr>
      </w:pPr>
    </w:p>
    <w:p>
      <w:pPr>
        <w:ind w:left="160" w:right="280" w:firstLine="546"/>
        <w:spacing w:after="0"/>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increased by $3.4 million, or 28.0%,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$15.4 million for the year ended December 31, 2020 from $12.0 million for the year ended December 31, 2019. This increase was primarily driven by the expansion of our research and development personnel and platform capacity to further develop our platform capabilities and support the growth of transaction volume. Total headcount within research and development expenses increased by 30 from December 31, 2019 to December 31, 2020.</w:t>
      </w:r>
    </w:p>
    <w:p>
      <w:pPr>
        <w:spacing w:after="0" w:line="182" w:lineRule="exact"/>
        <w:rPr>
          <w:sz w:val="20"/>
          <w:szCs w:val="20"/>
          <w:color w:val="auto"/>
        </w:rPr>
      </w:pPr>
    </w:p>
    <w:p>
      <w:pPr>
        <w:ind w:lef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increased by $ 5.2 million, or 114.2%, to $9.8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from $4.6 million for the year ended December 31, 2019. This increase was primarily driven by expansion of our sales and marketing personnel to support our expansion efforts. Total headcount within sales and marketing increased by 23 from December 31, 2019 to December 31, 2020.</w:t>
      </w:r>
    </w:p>
    <w:p>
      <w:pPr>
        <w:spacing w:after="0" w:line="178" w:lineRule="exact"/>
        <w:rPr>
          <w:sz w:val="20"/>
          <w:szCs w:val="20"/>
          <w:color w:val="auto"/>
        </w:rPr>
      </w:pPr>
    </w:p>
    <w:p>
      <w:pPr>
        <w:ind w:left="720"/>
        <w:spacing w:after="0"/>
        <w:tabs>
          <w:tab w:leader="none" w:pos="4140" w:val="left"/>
        </w:tabs>
        <w:rPr>
          <w:sz w:val="20"/>
          <w:szCs w:val="20"/>
          <w:color w:val="auto"/>
        </w:rPr>
      </w:pPr>
      <w:r>
        <w:rPr>
          <w:rFonts w:ascii="Arial" w:cs="Arial" w:eastAsia="Arial" w:hAnsi="Arial"/>
          <w:sz w:val="18"/>
          <w:szCs w:val="18"/>
          <w:b w:val="1"/>
          <w:bCs w:val="1"/>
          <w:i w:val="1"/>
          <w:iCs w:val="1"/>
          <w:color w:val="auto"/>
        </w:rPr>
        <w:t>General and Administrative Expenses.</w:t>
      </w:r>
      <w:r>
        <w:rPr>
          <w:sz w:val="20"/>
          <w:szCs w:val="20"/>
          <w:color w:val="auto"/>
        </w:rPr>
        <w:tab/>
      </w:r>
      <w:r>
        <w:rPr>
          <w:rFonts w:ascii="Arial" w:cs="Arial" w:eastAsia="Arial" w:hAnsi="Arial"/>
          <w:sz w:val="17"/>
          <w:szCs w:val="17"/>
          <w:color w:val="auto"/>
        </w:rPr>
        <w:t>General and administrative expenses increased by $2.8 million, or 40.6%, to</w:t>
      </w:r>
    </w:p>
    <w:p>
      <w:pPr>
        <w:spacing w:after="0" w:line="16"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$9.8 million for the year ended December 31, 2020 from $7.0 million for the year ended December 31, 2019. This increase was primarily driven by an increase in stock-based compensation expenses of $ 2.9 million, most of which were related to secondary transactions, expansion of our general and administrative personnel, as well as increased expense incurred in connection with supplementing our general and administrative function with third-party consultants. The increase in general and administrative expenses was partially offset by a reduction in travel and other expenses due to restrictions related to the COVID-19 pandemic. Total headcount within general and administrative increased by 3 from December 31, 2019 to December 31, 2020.</w:t>
      </w:r>
    </w:p>
    <w:p>
      <w:pPr>
        <w:spacing w:after="0" w:line="180" w:lineRule="exact"/>
        <w:rPr>
          <w:sz w:val="20"/>
          <w:szCs w:val="20"/>
          <w:color w:val="auto"/>
        </w:rPr>
      </w:pPr>
    </w:p>
    <w:p>
      <w:pPr>
        <w:ind w:left="160" w:right="840" w:firstLine="546"/>
        <w:spacing w:after="0" w:line="265" w:lineRule="auto"/>
        <w:rPr>
          <w:sz w:val="20"/>
          <w:szCs w:val="20"/>
          <w:color w:val="auto"/>
        </w:rPr>
      </w:pPr>
      <w:r>
        <w:rPr>
          <w:rFonts w:ascii="Arial" w:cs="Arial" w:eastAsia="Arial" w:hAnsi="Arial"/>
          <w:sz w:val="18"/>
          <w:szCs w:val="18"/>
          <w:b w:val="1"/>
          <w:bCs w:val="1"/>
          <w:i w:val="1"/>
          <w:iCs w:val="1"/>
          <w:color w:val="auto"/>
        </w:rPr>
        <w:t xml:space="preserve">Financial Expenses, Net. </w:t>
      </w:r>
      <w:r>
        <w:rPr>
          <w:rFonts w:ascii="Arial" w:cs="Arial" w:eastAsia="Arial" w:hAnsi="Arial"/>
          <w:sz w:val="18"/>
          <w:szCs w:val="18"/>
          <w:color w:val="auto"/>
        </w:rPr>
        <w:t>Financial expenses, net increased by $1.8 million, or 70%, to $4.3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from $2.6 million for the year ended December 31,</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60"/>
        <w:spacing w:after="0" w:line="239" w:lineRule="auto"/>
        <w:rPr>
          <w:sz w:val="20"/>
          <w:szCs w:val="20"/>
          <w:color w:val="auto"/>
        </w:rPr>
      </w:pPr>
      <w:r>
        <w:rPr>
          <w:rFonts w:ascii="Arial" w:cs="Arial" w:eastAsia="Arial" w:hAnsi="Arial"/>
          <w:sz w:val="18"/>
          <w:szCs w:val="18"/>
          <w:color w:val="auto"/>
        </w:rPr>
        <w:t>2019, primarily driven by revaluation of warrants to purchase convertible preferred shares of the Company, offset by fluctuations in exchange rates and income generated from deposits and marketable securities.</w:t>
      </w:r>
    </w:p>
    <w:p>
      <w:pPr>
        <w:spacing w:after="0" w:line="181" w:lineRule="exact"/>
        <w:rPr>
          <w:sz w:val="20"/>
          <w:szCs w:val="20"/>
          <w:color w:val="auto"/>
        </w:rPr>
      </w:pPr>
    </w:p>
    <w:p>
      <w:pPr>
        <w:ind w:left="160" w:right="660" w:firstLine="546"/>
        <w:spacing w:after="0" w:line="26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increased by $126 thousand to $160 thousand for the year ended December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 thousand for the year ended December 31, 2019, primarily driven by an increase in deferred tax liability.</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01" w:lineRule="exact"/>
        <w:rPr>
          <w:sz w:val="20"/>
          <w:szCs w:val="20"/>
          <w:color w:val="auto"/>
        </w:rPr>
      </w:pPr>
    </w:p>
    <w:p>
      <w:pPr>
        <w:jc w:val="both"/>
        <w:ind w:left="160" w:right="8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increased by $27.2 million, or 70.4%, to $65.9 million for the year ended December 31,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$38.6 million for the year ended December 31, 2018, consisting of increases in service fees revenue of $10.7 million, or 84%, to $23.5 million from $12.8 million and fulfillment revenue of $16.5 million, or 64%, to $42.4 million from $25.8 million.</w:t>
      </w:r>
    </w:p>
    <w:p>
      <w:pPr>
        <w:spacing w:after="0" w:line="194" w:lineRule="exact"/>
        <w:rPr>
          <w:sz w:val="20"/>
          <w:szCs w:val="20"/>
          <w:color w:val="auto"/>
        </w:rPr>
      </w:pPr>
    </w:p>
    <w:p>
      <w:pPr>
        <w:ind w:left="160" w:right="240" w:firstLine="546"/>
        <w:spacing w:after="0" w:line="234" w:lineRule="auto"/>
        <w:rPr>
          <w:sz w:val="20"/>
          <w:szCs w:val="20"/>
          <w:color w:val="auto"/>
        </w:rPr>
      </w:pPr>
      <w:r>
        <w:rPr>
          <w:rFonts w:ascii="Arial" w:cs="Arial" w:eastAsia="Arial" w:hAnsi="Arial"/>
          <w:sz w:val="18"/>
          <w:szCs w:val="18"/>
          <w:color w:val="auto"/>
        </w:rPr>
        <w:t>The increase in service fees revenue resulted primarily from growth in GMV from $211 million in the year ended December 31, 2018 to $382 million in the year ended December 31, 2019. GMV generated from existing merchants increased by $71 million, primarily attributable to growth in cross-border sales and an increase in the use of our platform to support additional inbound markets. In the year ended December 31, 2019 141 new merchants were onboarded to our platform and generated GMV of $99 million in such period. The increase in fulfilment revenue resulted primarily from an increase of transactions processed through our platform from approximately 1.4 million in 2018 to approximately 2.4 million in 2019, and was slightly offset by an increase in the number of merchants using our platform services on a standalone basis.</w:t>
      </w:r>
    </w:p>
    <w:p>
      <w:pPr>
        <w:spacing w:after="0" w:line="184" w:lineRule="exact"/>
        <w:rPr>
          <w:sz w:val="20"/>
          <w:szCs w:val="20"/>
          <w:color w:val="auto"/>
        </w:rPr>
      </w:pPr>
    </w:p>
    <w:p>
      <w:pPr>
        <w:ind w:left="720"/>
        <w:spacing w:after="0"/>
        <w:tabs>
          <w:tab w:leader="none" w:pos="4420" w:val="left"/>
        </w:tabs>
        <w:rPr>
          <w:sz w:val="20"/>
          <w:szCs w:val="20"/>
          <w:color w:val="auto"/>
        </w:rPr>
      </w:pPr>
      <w:r>
        <w:rPr>
          <w:rFonts w:ascii="Arial" w:cs="Arial" w:eastAsia="Arial" w:hAnsi="Arial"/>
          <w:sz w:val="18"/>
          <w:szCs w:val="18"/>
          <w:b w:val="1"/>
          <w:bCs w:val="1"/>
          <w:i w:val="1"/>
          <w:iCs w:val="1"/>
          <w:color w:val="auto"/>
        </w:rPr>
        <w:t>Cost of Revenue and Gross Profit Margin.</w:t>
      </w:r>
      <w:r>
        <w:rPr>
          <w:sz w:val="20"/>
          <w:szCs w:val="20"/>
          <w:color w:val="auto"/>
        </w:rPr>
        <w:tab/>
      </w:r>
      <w:r>
        <w:rPr>
          <w:rFonts w:ascii="Arial" w:cs="Arial" w:eastAsia="Arial" w:hAnsi="Arial"/>
          <w:sz w:val="17"/>
          <w:szCs w:val="17"/>
          <w:color w:val="auto"/>
        </w:rPr>
        <w:t>Cost of revenue increased by $17.1 million, or 57%, to $47.2 million for the year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ended December 31, 2019 from $30.1 million for the year ended December 31, 2018, consisting of increases in service fees costs of</w:t>
      </w:r>
    </w:p>
    <w:p>
      <w:pPr>
        <w:ind w:left="160"/>
        <w:spacing w:after="0"/>
        <w:rPr>
          <w:sz w:val="20"/>
          <w:szCs w:val="20"/>
          <w:color w:val="auto"/>
        </w:rPr>
      </w:pPr>
      <w:r>
        <w:rPr>
          <w:rFonts w:ascii="Arial" w:cs="Arial" w:eastAsia="Arial" w:hAnsi="Arial"/>
          <w:sz w:val="17"/>
          <w:szCs w:val="17"/>
          <w:color w:val="auto"/>
        </w:rPr>
        <w:t>$4.4 million, or 89%, to $9.3 million from $4.9 million, and fulfillment costs of $12.7 million, or 51%, to $37.8 million from $25.1 million. The</w:t>
      </w:r>
    </w:p>
    <w:p>
      <w:pPr>
        <w:ind w:left="160"/>
        <w:spacing w:after="0" w:line="238" w:lineRule="auto"/>
        <w:rPr>
          <w:sz w:val="20"/>
          <w:szCs w:val="20"/>
          <w:color w:val="auto"/>
        </w:rPr>
      </w:pPr>
      <w:r>
        <w:rPr>
          <w:rFonts w:ascii="Arial" w:cs="Arial" w:eastAsia="Arial" w:hAnsi="Arial"/>
          <w:sz w:val="18"/>
          <w:szCs w:val="18"/>
          <w:color w:val="auto"/>
        </w:rPr>
        <w:t>increase in service fees costs were primarily driven by the increased cost of serving the higher value of transactions processed through</w:t>
      </w:r>
    </w:p>
    <w:p>
      <w:pPr>
        <w:ind w:left="160"/>
        <w:spacing w:after="0"/>
        <w:rPr>
          <w:sz w:val="20"/>
          <w:szCs w:val="20"/>
          <w:color w:val="auto"/>
        </w:rPr>
      </w:pPr>
      <w:r>
        <w:rPr>
          <w:rFonts w:ascii="Arial" w:cs="Arial" w:eastAsia="Arial" w:hAnsi="Arial"/>
          <w:sz w:val="17"/>
          <w:szCs w:val="17"/>
          <w:color w:val="auto"/>
        </w:rPr>
        <w:t>our platform. The increase in fulfilment costs were primarily driven by the growth in volume of transactions processed through our platform,</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partially offset by lower average shipping costs achieved due to economies of scale.</w:t>
      </w:r>
    </w:p>
    <w:p>
      <w:pPr>
        <w:spacing w:after="0" w:line="186"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costs increased by $2.5 million, or 26.1%, to $12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2019 from $9.5 million for the year ended December 31, 2018. This increase was primarily driven by the expansion of our research and development personnel and platform capacity to further develop our platform capabilities and support the growth of transaction volume. Total headcount within research and development increased by 24 from December 31, 2018 to December 31, 2019.</w:t>
      </w:r>
    </w:p>
    <w:p>
      <w:pPr>
        <w:spacing w:after="0" w:line="182" w:lineRule="exact"/>
        <w:rPr>
          <w:sz w:val="20"/>
          <w:szCs w:val="20"/>
          <w:color w:val="auto"/>
        </w:rPr>
      </w:pPr>
    </w:p>
    <w:p>
      <w:pPr>
        <w:ind w:left="160" w:right="2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increased by $ 0.9 million, or 25%, to $4.6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2019 from $3.7 million for the year ended December 31, 2018. This increase was primarily driven by expansion of our sales and marketing personnel to support our expansion efforts. Total headcount within sales and marketing increased by 15 from December 31, 2018 to December 31, 2019.</w:t>
      </w:r>
    </w:p>
    <w:p>
      <w:pPr>
        <w:spacing w:after="0" w:line="178" w:lineRule="exact"/>
        <w:rPr>
          <w:sz w:val="20"/>
          <w:szCs w:val="20"/>
          <w:color w:val="auto"/>
        </w:rPr>
      </w:pPr>
    </w:p>
    <w:p>
      <w:pPr>
        <w:ind w:left="160" w:right="260" w:firstLine="546"/>
        <w:spacing w:after="0"/>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$1.2 million, or 21%, to $7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2019 from $5.8 million for the year ended December 31, 2018. This increase was primarily driven by expansion of our general and administrative personnel to support our business expansion, as well as increased expense incurred in connection with supplementing our general and administrative function with third-party consultants. Total headcount within general and administrative increased by 3 from December 31, 2018 to December 31, 2019.</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580" w:firstLine="546"/>
        <w:spacing w:after="0" w:line="249" w:lineRule="auto"/>
        <w:rPr>
          <w:sz w:val="20"/>
          <w:szCs w:val="20"/>
          <w:color w:val="auto"/>
        </w:rPr>
      </w:pPr>
      <w:r>
        <w:rPr>
          <w:rFonts w:ascii="Arial" w:cs="Arial" w:eastAsia="Arial" w:hAnsi="Arial"/>
          <w:sz w:val="18"/>
          <w:szCs w:val="18"/>
          <w:b w:val="1"/>
          <w:bCs w:val="1"/>
          <w:i w:val="1"/>
          <w:iCs w:val="1"/>
          <w:color w:val="auto"/>
        </w:rPr>
        <w:t xml:space="preserve">Financial Expenses, Net. </w:t>
      </w:r>
      <w:r>
        <w:rPr>
          <w:rFonts w:ascii="Arial" w:cs="Arial" w:eastAsia="Arial" w:hAnsi="Arial"/>
          <w:sz w:val="18"/>
          <w:szCs w:val="18"/>
          <w:color w:val="auto"/>
        </w:rPr>
        <w:t>Financial expenses, net increased by $1.4 million, or 120%, to $2.6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from $ 1.2 million for the year ended December 31, 2018, primarily driven by fluctuations in exchange rates and increased foreign currency conversion costs as a result of the growth in value of the transactions processed on our platform.</w:t>
      </w:r>
    </w:p>
    <w:p>
      <w:pPr>
        <w:spacing w:after="0" w:line="172" w:lineRule="exact"/>
        <w:rPr>
          <w:sz w:val="20"/>
          <w:szCs w:val="20"/>
          <w:color w:val="auto"/>
        </w:rPr>
      </w:pPr>
    </w:p>
    <w:p>
      <w:pPr>
        <w:ind w:left="160" w:right="800" w:firstLine="546"/>
        <w:spacing w:after="0" w:line="26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decreased by $16 thousand to $34 thousand for the year ended December 31, 2019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 thousand for the year ended December 31, 2018, primarily driven by a decrease in deferred tax liability.</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following tables present our unaudited consolidated quarterly results of operations in U.S. dollars and as a percentage of revenue for the periods indicated. This information should be read in conjunction with our consolidated financial statements and related notes included elsewhere in this prospectus. We have prepared the unaudited consolidated quarterly financial information for the quarters presented on the same basis as our audited consolidated financial statements. The historical quarterly results presented are not necessarily indicative of the results that may be expected for any future quarters or periods.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9"/>
              </w:rPr>
              <w:t>Mar. 31,</w:t>
            </w:r>
          </w:p>
        </w:tc>
        <w:tc>
          <w:tcPr>
            <w:tcW w:w="880" w:type="dxa"/>
            <w:vAlign w:val="bottom"/>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Sept. 30,</w:t>
            </w:r>
          </w:p>
        </w:tc>
        <w:tc>
          <w:tcPr>
            <w:tcW w:w="92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Dec. 31,</w:t>
            </w:r>
          </w:p>
        </w:tc>
        <w:tc>
          <w:tcPr>
            <w:tcW w:w="98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rPr>
              <w:t>Mar. 31,</w:t>
            </w:r>
          </w:p>
        </w:tc>
        <w:tc>
          <w:tcPr>
            <w:tcW w:w="9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Sept. 30,</w:t>
            </w:r>
          </w:p>
        </w:tc>
        <w:tc>
          <w:tcPr>
            <w:tcW w:w="9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8"/>
              </w:rPr>
              <w:t>Dec. 31,</w:t>
            </w:r>
          </w:p>
        </w:tc>
        <w:tc>
          <w:tcPr>
            <w:tcW w:w="9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9"/>
              </w:rPr>
              <w:t>Mar. 31,</w:t>
            </w:r>
          </w:p>
        </w:tc>
        <w:tc>
          <w:tcPr>
            <w:tcW w:w="800" w:type="dxa"/>
            <w:vAlign w:val="bottom"/>
          </w:tcPr>
          <w:p>
            <w:pPr>
              <w:jc w:val="right"/>
              <w:ind w:right="34"/>
              <w:spacing w:after="0" w:line="141"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7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Other Operating</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Metrics: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tcPr>
          <w:p>
            <w:pPr>
              <w:spacing w:after="0" w:line="201" w:lineRule="exact"/>
              <w:rPr>
                <w:sz w:val="20"/>
                <w:szCs w:val="20"/>
                <w:color w:val="auto"/>
              </w:rPr>
            </w:pPr>
            <w:r>
              <w:rPr>
                <w:rFonts w:ascii="Arial" w:cs="Arial" w:eastAsia="Arial" w:hAnsi="Arial"/>
                <w:sz w:val="18"/>
                <w:szCs w:val="18"/>
                <w:color w:val="auto"/>
              </w:rPr>
              <w:t>GMV</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68,782</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75,167</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94,549</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143,287</w:t>
            </w: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114,439</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167,008</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188,749</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303,647</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266,555</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326,231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Statements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of Operations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76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12,511</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12,690</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16,149</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24,502</w:t>
            </w: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19,689</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29,787</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33,325</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53,574</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46,151</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57,287</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9,571</w:t>
            </w: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9,749</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11,451</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16,416</w:t>
            </w:r>
          </w:p>
        </w:tc>
        <w:tc>
          <w:tcPr>
            <w:tcW w:w="9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13,907</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20,122</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23,269</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35,604</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30,784</w:t>
            </w:r>
          </w:p>
        </w:tc>
        <w:tc>
          <w:tcPr>
            <w:tcW w:w="9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36,687</w:t>
            </w:r>
          </w:p>
        </w:tc>
        <w:tc>
          <w:tcPr>
            <w:tcW w:w="0" w:type="dxa"/>
            <w:vAlign w:val="bottom"/>
          </w:tcPr>
          <w:p>
            <w:pPr>
              <w:spacing w:after="0"/>
              <w:rPr>
                <w:sz w:val="1"/>
                <w:szCs w:val="1"/>
                <w:color w:val="auto"/>
              </w:rPr>
            </w:pPr>
          </w:p>
        </w:tc>
      </w:tr>
      <w:tr>
        <w:trPr>
          <w:trHeight w:val="201"/>
        </w:trPr>
        <w:tc>
          <w:tcPr>
            <w:tcW w:w="176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2,940</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2,941</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4,698</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8,085</w:t>
            </w: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5,782</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9,665</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10,056</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17,970</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15,367</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60" w:type="dxa"/>
            <w:vAlign w:val="bottom"/>
          </w:tcPr>
          <w:p>
            <w:pPr>
              <w:ind w:left="360"/>
              <w:spacing w:after="0" w:line="200" w:lineRule="exact"/>
              <w:rPr>
                <w:sz w:val="20"/>
                <w:szCs w:val="20"/>
                <w:color w:val="auto"/>
              </w:rPr>
            </w:pPr>
            <w:r>
              <w:rPr>
                <w:rFonts w:ascii="Arial" w:cs="Arial" w:eastAsia="Arial" w:hAnsi="Arial"/>
                <w:sz w:val="18"/>
                <w:szCs w:val="18"/>
                <w:color w:val="auto"/>
              </w:rPr>
              <w:t>Research and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tcPr>
          <w:p>
            <w:pPr>
              <w:ind w:left="540"/>
              <w:spacing w:after="0" w:line="201" w:lineRule="exact"/>
              <w:rPr>
                <w:sz w:val="20"/>
                <w:szCs w:val="20"/>
                <w:color w:val="auto"/>
              </w:rPr>
            </w:pPr>
            <w:r>
              <w:rPr>
                <w:rFonts w:ascii="Arial" w:cs="Arial" w:eastAsia="Arial" w:hAnsi="Arial"/>
                <w:sz w:val="18"/>
                <w:szCs w:val="18"/>
                <w:color w:val="auto"/>
              </w:rPr>
              <w:t>development</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2,642</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2,840</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3,141</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3,412</w:t>
            </w: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3,215</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3,606</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3,707</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4,872</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5,444</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Sales and</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marketing</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974</w:t>
            </w: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868</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1,191</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1,560</w:t>
            </w:r>
          </w:p>
        </w:tc>
        <w:tc>
          <w:tcPr>
            <w:tcW w:w="9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1,852</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1,924</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2,168</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3,894</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3,099</w:t>
            </w:r>
          </w:p>
        </w:tc>
        <w:tc>
          <w:tcPr>
            <w:tcW w:w="9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30,017</w:t>
            </w:r>
          </w:p>
        </w:tc>
        <w:tc>
          <w:tcPr>
            <w:tcW w:w="0" w:type="dxa"/>
            <w:vAlign w:val="bottom"/>
          </w:tcPr>
          <w:p>
            <w:pPr>
              <w:spacing w:after="0"/>
              <w:rPr>
                <w:sz w:val="1"/>
                <w:szCs w:val="1"/>
                <w:color w:val="auto"/>
              </w:rPr>
            </w:pPr>
          </w:p>
        </w:tc>
      </w:tr>
      <w:tr>
        <w:trPr>
          <w:trHeight w:val="200"/>
        </w:trPr>
        <w:tc>
          <w:tcPr>
            <w:tcW w:w="1760" w:type="dxa"/>
            <w:vAlign w:val="bottom"/>
          </w:tcPr>
          <w:p>
            <w:pPr>
              <w:ind w:left="360"/>
              <w:spacing w:after="0" w:line="200" w:lineRule="exact"/>
              <w:rPr>
                <w:sz w:val="20"/>
                <w:szCs w:val="20"/>
                <w:color w:val="auto"/>
              </w:rPr>
            </w:pPr>
            <w:r>
              <w:rPr>
                <w:rFonts w:ascii="Arial" w:cs="Arial" w:eastAsia="Arial" w:hAnsi="Arial"/>
                <w:sz w:val="18"/>
                <w:szCs w:val="18"/>
                <w:color w:val="auto"/>
              </w:rPr>
              <w:t>General and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tcPr>
          <w:p>
            <w:pPr>
              <w:ind w:left="540"/>
              <w:spacing w:after="0" w:line="201" w:lineRule="exact"/>
              <w:rPr>
                <w:sz w:val="20"/>
                <w:szCs w:val="20"/>
                <w:color w:val="auto"/>
              </w:rPr>
            </w:pPr>
            <w:r>
              <w:rPr>
                <w:rFonts w:ascii="Arial" w:cs="Arial" w:eastAsia="Arial" w:hAnsi="Arial"/>
                <w:sz w:val="18"/>
                <w:szCs w:val="18"/>
                <w:color w:val="auto"/>
              </w:rPr>
              <w:t>administrative</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1,645</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1,690</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1,540</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2,113</w:t>
            </w: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1,277</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2,683</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2,077</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3,785</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2,714</w:t>
            </w: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operating</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expenses</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5,260</w:t>
            </w: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5,398</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5,872</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7,085</w:t>
            </w:r>
          </w:p>
        </w:tc>
        <w:tc>
          <w:tcPr>
            <w:tcW w:w="9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6,343</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8,214</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7,952</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12,551</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11,257</w:t>
            </w:r>
          </w:p>
        </w:tc>
        <w:tc>
          <w:tcPr>
            <w:tcW w:w="9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40,093</w:t>
            </w:r>
          </w:p>
        </w:tc>
        <w:tc>
          <w:tcPr>
            <w:tcW w:w="0" w:type="dxa"/>
            <w:vAlign w:val="bottom"/>
          </w:tcPr>
          <w:p>
            <w:pPr>
              <w:spacing w:after="0"/>
              <w:rPr>
                <w:sz w:val="1"/>
                <w:szCs w:val="1"/>
                <w:color w:val="auto"/>
              </w:rPr>
            </w:pPr>
          </w:p>
        </w:tc>
      </w:tr>
      <w:tr>
        <w:trPr>
          <w:trHeight w:val="200"/>
        </w:trPr>
        <w:tc>
          <w:tcPr>
            <w:tcW w:w="1760" w:type="dxa"/>
            <w:vAlign w:val="bottom"/>
          </w:tcPr>
          <w:p>
            <w:pPr>
              <w:spacing w:after="0" w:line="200" w:lineRule="exact"/>
              <w:rPr>
                <w:sz w:val="20"/>
                <w:szCs w:val="20"/>
                <w:color w:val="auto"/>
              </w:rPr>
            </w:pPr>
            <w:r>
              <w:rPr>
                <w:rFonts w:ascii="Arial" w:cs="Arial" w:eastAsia="Arial" w:hAnsi="Arial"/>
                <w:sz w:val="18"/>
                <w:szCs w:val="18"/>
                <w:color w:val="auto"/>
              </w:rPr>
              <w:t>Operating profit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tcPr>
          <w:p>
            <w:pPr>
              <w:ind w:left="180"/>
              <w:spacing w:after="0" w:line="201" w:lineRule="exact"/>
              <w:rPr>
                <w:sz w:val="20"/>
                <w:szCs w:val="20"/>
                <w:color w:val="auto"/>
              </w:rPr>
            </w:pPr>
            <w:r>
              <w:rPr>
                <w:rFonts w:ascii="Arial" w:cs="Arial" w:eastAsia="Arial" w:hAnsi="Arial"/>
                <w:sz w:val="18"/>
                <w:szCs w:val="18"/>
                <w:color w:val="auto"/>
              </w:rPr>
              <w:t>(loss)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(2,320)</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(2,457)</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(1,173)</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(561)</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1,451</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2,104</w:t>
            </w:r>
          </w:p>
        </w:tc>
        <w:tc>
          <w:tcPr>
            <w:tcW w:w="9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5,419</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4,110</w:t>
            </w:r>
          </w:p>
        </w:tc>
        <w:tc>
          <w:tcPr>
            <w:tcW w:w="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(19,493)</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Financial expenses,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1,067</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(343)</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1,704</w:t>
            </w:r>
          </w:p>
        </w:tc>
        <w:tc>
          <w:tcPr>
            <w:tcW w:w="9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702</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1,847</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850</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940</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5,709</w:t>
            </w:r>
          </w:p>
        </w:tc>
        <w:tc>
          <w:tcPr>
            <w:tcW w:w="9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360"/>
        </w:trPr>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95"/>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Mar. 31,</w:t>
            </w:r>
          </w:p>
        </w:tc>
        <w:tc>
          <w:tcPr>
            <w:tcW w:w="8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Sept. 30,</w:t>
            </w:r>
          </w:p>
        </w:tc>
        <w:tc>
          <w:tcPr>
            <w:tcW w:w="6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9"/>
              </w:rPr>
              <w:t>Mar. 31,</w:t>
            </w:r>
          </w:p>
        </w:tc>
        <w:tc>
          <w:tcPr>
            <w:tcW w:w="80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9"/>
              </w:rPr>
              <w:t>June 30,</w:t>
            </w:r>
          </w:p>
        </w:tc>
        <w:tc>
          <w:tcPr>
            <w:tcW w:w="7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Sept. 30,</w:t>
            </w:r>
          </w:p>
        </w:tc>
        <w:tc>
          <w:tcPr>
            <w:tcW w:w="7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Dec. 31,</w:t>
            </w:r>
          </w:p>
        </w:tc>
        <w:tc>
          <w:tcPr>
            <w:tcW w:w="8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68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120" w:type="dxa"/>
            <w:vAlign w:val="bottom"/>
            <w:vMerge w:val="continue"/>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taxes</w:t>
            </w:r>
          </w:p>
        </w:tc>
        <w:tc>
          <w:tcPr>
            <w:tcW w:w="7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146</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150</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8"/>
                <w:szCs w:val="18"/>
                <w:color w:val="auto"/>
              </w:rPr>
              <w:t>Net profit (loss)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(2,451)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(3,526)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(1,267)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4,333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(1,749)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(22,224)</w:t>
            </w:r>
          </w:p>
        </w:tc>
        <w:tc>
          <w:tcPr>
            <w:tcW w:w="0" w:type="dxa"/>
            <w:vAlign w:val="bottom"/>
          </w:tcPr>
          <w:p>
            <w:pPr>
              <w:spacing w:after="0"/>
              <w:rPr>
                <w:sz w:val="1"/>
                <w:szCs w:val="1"/>
                <w:color w:val="auto"/>
              </w:rPr>
            </w:pPr>
          </w:p>
        </w:tc>
      </w:tr>
      <w:tr>
        <w:trPr>
          <w:trHeight w:val="362"/>
        </w:trPr>
        <w:tc>
          <w:tcPr>
            <w:tcW w:w="3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Mar. 31,</w:t>
            </w:r>
          </w:p>
        </w:tc>
        <w:tc>
          <w:tcPr>
            <w:tcW w:w="8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Sept. 30,</w:t>
            </w:r>
          </w:p>
        </w:tc>
        <w:tc>
          <w:tcPr>
            <w:tcW w:w="6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9"/>
              </w:rPr>
              <w:t>Mar. 31,</w:t>
            </w:r>
          </w:p>
        </w:tc>
        <w:tc>
          <w:tcPr>
            <w:tcW w:w="80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9"/>
              </w:rPr>
              <w:t>June 30,</w:t>
            </w:r>
          </w:p>
        </w:tc>
        <w:tc>
          <w:tcPr>
            <w:tcW w:w="7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Sept. 30,</w:t>
            </w:r>
          </w:p>
        </w:tc>
        <w:tc>
          <w:tcPr>
            <w:tcW w:w="7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Dec. 31,</w:t>
            </w:r>
          </w:p>
        </w:tc>
        <w:tc>
          <w:tcPr>
            <w:tcW w:w="8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(as a % of revenue)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68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120" w:type="dxa"/>
            <w:vAlign w:val="bottom"/>
            <w:vMerge w:val="continue"/>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 Statements of</w:t>
            </w: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100.0</w:t>
            </w:r>
          </w:p>
        </w:tc>
        <w:tc>
          <w:tcPr>
            <w:tcW w:w="9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100.0</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100.0</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76.5</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76.8</w:t>
            </w: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70.6</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67.6</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69.8</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66.5</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66.7</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23.5</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23.2</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29.1</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7"/>
                <w:szCs w:val="17"/>
                <w:color w:val="auto"/>
              </w:rPr>
            </w:pPr>
          </w:p>
        </w:tc>
        <w:tc>
          <w:tcPr>
            <w:tcW w:w="9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29.4</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32.4</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30.2</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33.5</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33.3</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42.0</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42.5</w:t>
            </w: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36.4</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32.2</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27.6</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23.9</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23.4</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24.4</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1"/>
        </w:trPr>
        <w:tc>
          <w:tcPr>
            <w:tcW w:w="3120" w:type="dxa"/>
            <w:vAlign w:val="bottom"/>
          </w:tcPr>
          <w:p>
            <w:pPr>
              <w:ind w:left="360"/>
              <w:spacing w:after="0" w:line="201" w:lineRule="exact"/>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21.1</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22.4</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19.4</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9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16.3</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12.1</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11.1</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9.1</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11.8</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Sales and marketing</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6.8</w:t>
            </w: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6.4</w:t>
            </w: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7.3</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6.7</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1"/>
        </w:trPr>
        <w:tc>
          <w:tcPr>
            <w:tcW w:w="3120" w:type="dxa"/>
            <w:vAlign w:val="bottom"/>
          </w:tcPr>
          <w:p>
            <w:pPr>
              <w:ind w:left="360"/>
              <w:spacing w:after="0" w:line="201" w:lineRule="exact"/>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13.1</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13.3</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9.5</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8.6</w:t>
            </w:r>
          </w:p>
        </w:tc>
        <w:tc>
          <w:tcPr>
            <w:tcW w:w="9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6.5</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9.0</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6.2</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5.9</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42.0</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42.5</w:t>
            </w:r>
          </w:p>
        </w:tc>
        <w:tc>
          <w:tcPr>
            <w:tcW w:w="8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36.4</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32.2</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27.6</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23.9</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23.4</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24.4</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Operating profit (loss)</w:t>
            </w:r>
          </w:p>
        </w:tc>
        <w:tc>
          <w:tcPr>
            <w:tcW w:w="7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(18.5)</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(19.4)</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(7.3)</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4.1</w:t>
            </w:r>
          </w:p>
        </w:tc>
        <w:tc>
          <w:tcPr>
            <w:tcW w:w="90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(2.9)</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4.9</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6.3</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8.9</w:t>
            </w: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expenses, net</w:t>
            </w: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w:t>
            </w:r>
          </w:p>
        </w:tc>
        <w:tc>
          <w:tcPr>
            <w:tcW w:w="9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12.4</w:t>
            </w: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Income taxes</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w:t>
            </w: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w:t>
            </w:r>
          </w:p>
        </w:tc>
        <w:tc>
          <w:tcPr>
            <w:tcW w:w="6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0.1</w:t>
            </w:r>
          </w:p>
        </w:tc>
        <w:tc>
          <w:tcPr>
            <w:tcW w:w="9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0.0</w:t>
            </w: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0.0</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0.3</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0.3</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7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(19.6)</w:t>
            </w:r>
          </w:p>
        </w:tc>
        <w:tc>
          <w:tcPr>
            <w:tcW w:w="8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(27.8)</w:t>
            </w:r>
          </w:p>
        </w:tc>
        <w:tc>
          <w:tcPr>
            <w:tcW w:w="8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(5.1)</w:t>
            </w:r>
          </w:p>
        </w:tc>
        <w:tc>
          <w:tcPr>
            <w:tcW w:w="6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(6.4)</w:t>
            </w:r>
          </w:p>
        </w:tc>
        <w:tc>
          <w:tcPr>
            <w:tcW w:w="8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8.1</w:t>
            </w: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Since our inception, we have financed our operations primarily through private placements of our equity securities. On May 14,</w:t>
      </w:r>
    </w:p>
    <w:p>
      <w:pPr>
        <w:ind w:left="160"/>
        <w:spacing w:after="0"/>
        <w:rPr>
          <w:sz w:val="20"/>
          <w:szCs w:val="20"/>
          <w:color w:val="auto"/>
        </w:rPr>
      </w:pPr>
      <w:r>
        <w:rPr>
          <w:rFonts w:ascii="Arial" w:cs="Arial" w:eastAsia="Arial" w:hAnsi="Arial"/>
          <w:sz w:val="17"/>
          <w:szCs w:val="17"/>
          <w:color w:val="auto"/>
        </w:rPr>
        <w:t>2021, we completed our initial public offering in which we sold 17,250,000 ordinary shares, which included 2,250,000 ordinary shares sold</w:t>
      </w:r>
    </w:p>
    <w:p>
      <w:pPr>
        <w:ind w:left="160"/>
        <w:spacing w:after="0" w:line="238" w:lineRule="auto"/>
        <w:rPr>
          <w:sz w:val="20"/>
          <w:szCs w:val="20"/>
          <w:color w:val="auto"/>
        </w:rPr>
      </w:pPr>
      <w:r>
        <w:rPr>
          <w:rFonts w:ascii="Arial" w:cs="Arial" w:eastAsia="Arial" w:hAnsi="Arial"/>
          <w:sz w:val="18"/>
          <w:szCs w:val="18"/>
          <w:color w:val="auto"/>
        </w:rPr>
        <w:t>pursuant to the exercise by the underwriters of an over-allotment option to purchase additional shares, for proceeds of approximately</w:t>
      </w:r>
    </w:p>
    <w:p>
      <w:pPr>
        <w:ind w:left="160"/>
        <w:spacing w:after="0" w:line="233" w:lineRule="auto"/>
        <w:rPr>
          <w:sz w:val="20"/>
          <w:szCs w:val="20"/>
          <w:color w:val="auto"/>
        </w:rPr>
      </w:pPr>
      <w:r>
        <w:rPr>
          <w:rFonts w:ascii="Arial" w:cs="Arial" w:eastAsia="Arial" w:hAnsi="Arial"/>
          <w:sz w:val="18"/>
          <w:szCs w:val="18"/>
          <w:color w:val="auto"/>
        </w:rPr>
        <w:t>$401.1 million, net of the underwriting discount and before deducting offering expenses of approximately $3.5 million Our cash and cash</w:t>
      </w:r>
    </w:p>
    <w:p>
      <w:pPr>
        <w:ind w:left="160"/>
        <w:spacing w:after="0" w:line="232" w:lineRule="auto"/>
        <w:rPr>
          <w:sz w:val="20"/>
          <w:szCs w:val="20"/>
          <w:color w:val="auto"/>
        </w:rPr>
      </w:pPr>
      <w:r>
        <w:rPr>
          <w:rFonts w:ascii="Arial" w:cs="Arial" w:eastAsia="Arial" w:hAnsi="Arial"/>
          <w:sz w:val="18"/>
          <w:szCs w:val="18"/>
          <w:color w:val="auto"/>
        </w:rPr>
        <w:t>equivalents were $391.0 million as of June 30, 2021, consisting of cash in banks. This amount does not include cash of $31.0 million that</w:t>
      </w:r>
    </w:p>
    <w:p>
      <w:pPr>
        <w:ind w:left="160"/>
        <w:spacing w:after="0" w:line="233" w:lineRule="auto"/>
        <w:rPr>
          <w:sz w:val="20"/>
          <w:szCs w:val="20"/>
          <w:color w:val="auto"/>
        </w:rPr>
      </w:pPr>
      <w:r>
        <w:rPr>
          <w:rFonts w:ascii="Arial" w:cs="Arial" w:eastAsia="Arial" w:hAnsi="Arial"/>
          <w:sz w:val="18"/>
          <w:szCs w:val="18"/>
          <w:color w:val="auto"/>
        </w:rPr>
        <w:t>we received or settled from shoppers via third-party payment service providers and which flows through our bank account for payment to</w:t>
      </w:r>
    </w:p>
    <w:p>
      <w:pPr>
        <w:ind w:left="160"/>
        <w:spacing w:after="0" w:line="232" w:lineRule="auto"/>
        <w:rPr>
          <w:sz w:val="20"/>
          <w:szCs w:val="20"/>
          <w:color w:val="auto"/>
        </w:rPr>
      </w:pPr>
      <w:r>
        <w:rPr>
          <w:rFonts w:ascii="Arial" w:cs="Arial" w:eastAsia="Arial" w:hAnsi="Arial"/>
          <w:sz w:val="18"/>
          <w:szCs w:val="18"/>
          <w:color w:val="auto"/>
        </w:rPr>
        <w:t>merchants, recorded separately on our balance sheet in funds receivable, including cash in banks with a corresponding liability in funds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payable to customers.</w:t>
      </w:r>
    </w:p>
    <w:p>
      <w:pPr>
        <w:spacing w:after="0" w:line="208"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Our primary requirement for liquidity and capital resources is to finance working capital and capital expenditures, and for general corporate purposes. We believe that our sources of liquidity and capital resources will be sufficient to meet our business needs for at least the next 12 months. Our future financing requirements will depend on many factors including our growth rate, levels of revenue, the expansion of sales and marketing activities, market acceptance of our platform, and the timing and extent of spending to support expansion of our platform.</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600" w:type="dxa"/>
            <w:vAlign w:val="bottom"/>
            <w:vMerge w:val="continue"/>
          </w:tcPr>
          <w:p>
            <w:pPr>
              <w:spacing w:after="0"/>
              <w:rPr>
                <w:sz w:val="13"/>
                <w:szCs w:val="13"/>
                <w:color w:val="auto"/>
              </w:rPr>
            </w:pPr>
          </w:p>
        </w:tc>
        <w:tc>
          <w:tcPr>
            <w:tcW w:w="660" w:type="dxa"/>
            <w:vAlign w:val="bottom"/>
            <w:tcBorders>
              <w:top w:val="single" w:sz="8" w:color="auto"/>
            </w:tcBorders>
          </w:tcPr>
          <w:p>
            <w:pPr>
              <w:jc w:val="right"/>
              <w:ind w:right="100"/>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220"/>
              <w:spacing w:after="0" w:line="154"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660" w:type="dxa"/>
            <w:vAlign w:val="bottom"/>
            <w:tcBorders>
              <w:top w:val="single" w:sz="8" w:color="auto"/>
            </w:tcBorders>
          </w:tcPr>
          <w:p>
            <w:pPr>
              <w:jc w:val="right"/>
              <w:ind w:right="75"/>
              <w:spacing w:after="0" w:line="154"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49"/>
              <w:spacing w:after="0" w:line="154"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9"/>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provided by operating activities</w:t>
            </w:r>
          </w:p>
        </w:tc>
        <w:tc>
          <w:tcPr>
            <w:tcW w:w="9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7"/>
              </w:rPr>
              <w:t>$ (3,162)</w:t>
            </w:r>
          </w:p>
        </w:tc>
        <w:tc>
          <w:tcPr>
            <w:tcW w:w="134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 (13,696)</w:t>
            </w:r>
          </w:p>
        </w:tc>
        <w:tc>
          <w:tcPr>
            <w:tcW w:w="8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7"/>
              </w:rPr>
              <w:t>$ (7,987)</w:t>
            </w:r>
          </w:p>
        </w:tc>
        <w:tc>
          <w:tcPr>
            <w:tcW w:w="116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$7,028</w:t>
            </w:r>
          </w:p>
        </w:tc>
        <w:tc>
          <w:tcPr>
            <w:tcW w:w="10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29,350</w:t>
            </w: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(459)</w:t>
            </w:r>
          </w:p>
        </w:tc>
        <w:tc>
          <w:tcPr>
            <w:tcW w:w="134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(74,122)</w:t>
            </w:r>
          </w:p>
        </w:tc>
        <w:tc>
          <w:tcPr>
            <w:tcW w:w="8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(1,612)</w:t>
            </w:r>
          </w:p>
        </w:tc>
        <w:tc>
          <w:tcPr>
            <w:tcW w:w="116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(452)</w:t>
            </w:r>
          </w:p>
        </w:tc>
        <w:tc>
          <w:tcPr>
            <w:tcW w:w="10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9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59,261</w:t>
            </w:r>
          </w:p>
        </w:tc>
        <w:tc>
          <w:tcPr>
            <w:tcW w:w="134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397,156</w:t>
            </w:r>
          </w:p>
        </w:tc>
        <w:tc>
          <w:tcPr>
            <w:tcW w:w="8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19,972</w:t>
            </w:r>
          </w:p>
        </w:tc>
        <w:tc>
          <w:tcPr>
            <w:tcW w:w="116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147</w:t>
            </w:r>
          </w:p>
        </w:tc>
        <w:tc>
          <w:tcPr>
            <w:tcW w:w="10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2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Net cash used in operating activities was $8 million for the year ended December 31, 2018, and was primarily comprised of net loss of $11.6 million, $2.6 million of prepaid expenses and other assets and $1.3 million of funds receivable, offset by funds payable of $4.2 million, accounts payable of $1.3 million and accrued expenses and other liabilities of $2.1 million.</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Net cash provided by operating activities was $7 million for the year ended December 31, 2019, and was primarily comprised of net loss of $7.5 million and prepaid expenses and other assets of $3.9 million, offset by funds payable of $12.5 million, accounts payable of $4.1 million and accrued expenses and other liabilities of $4.2 million.</w:t>
      </w:r>
    </w:p>
    <w:p>
      <w:pPr>
        <w:spacing w:after="0" w:line="20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Net cash provided by operating activities was $29.3 million for the year ended December 31, 2020, and was primarily comprised of net profit of $3.9 million, funds payable of $12.9 million, accounts payable of $10.0 million and accrued expenses and other liabilities of $18.9 million, offset by prepaid expenses and other assets of $12.3 million and funds receivable of $11.8 million.</w:t>
      </w:r>
    </w:p>
    <w:p>
      <w:pPr>
        <w:spacing w:after="0" w:line="20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Net cash used in operating activities was $13.7 million for the six months ended June 30, 2021, and was primarily comprised of net loss of $23.9 million, $5.4 million of prepaid expenses, and $9.5 million of funds receivables, offset by amortization of commercial agreement asset of $25.5 million and remeasurement of warrant liabilities to preferred shares of $5.9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Net cash used in investing activities was $1.6 million for the year ended December 31, 2018, and was primarily comprised of purchases of long-term investments.</w:t>
      </w:r>
    </w:p>
    <w:p>
      <w:pPr>
        <w:spacing w:after="0" w:line="20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Net cash used in investing activities was $0.5 million for the year ended December 31, 2019, and was primarily comprised of investments in property and equipment.</w:t>
      </w:r>
    </w:p>
    <w:p>
      <w:pPr>
        <w:spacing w:after="0" w:line="203"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Net cash used in investing activities was $24.0 million for the year ended December 31, 2020, and was primarily comprised of marketable securities and short term investments.</w:t>
      </w:r>
    </w:p>
    <w:p>
      <w:pPr>
        <w:spacing w:after="0" w:line="203"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Net cash used in investing activities was $74.1 million for the six months ended June 30, 2021, and was primarily comprised of purchases of short-term deposits.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3" w:lineRule="exact"/>
        <w:rPr>
          <w:sz w:val="20"/>
          <w:szCs w:val="20"/>
          <w:color w:val="auto"/>
        </w:rPr>
      </w:pPr>
    </w:p>
    <w:p>
      <w:pPr>
        <w:ind w:left="160" w:right="720" w:firstLine="546"/>
        <w:spacing w:after="0" w:line="239" w:lineRule="auto"/>
        <w:rPr>
          <w:sz w:val="20"/>
          <w:szCs w:val="20"/>
          <w:color w:val="auto"/>
        </w:rPr>
      </w:pPr>
      <w:r>
        <w:rPr>
          <w:rFonts w:ascii="Arial" w:cs="Arial" w:eastAsia="Arial" w:hAnsi="Arial"/>
          <w:sz w:val="18"/>
          <w:szCs w:val="18"/>
          <w:color w:val="auto"/>
        </w:rPr>
        <w:t>Net cash provided by financing activities was $20 million for the year ended December 31, 2018, comprised of proceeds of preferred equity financing.</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Net cash provided by financing activities was $0.1 million for the year ended December 31, 2019, and was primarily comprised of proceeds derived from the exercise of share options.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Net cash provided by financing activities was $59.4 million for the year ended December 31, 2020, and was primarily comprised of proceeds of preferred equity financing.</w:t>
      </w:r>
    </w:p>
    <w:p>
      <w:pPr>
        <w:spacing w:after="0" w:line="203"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Net cash provided by financing activities was $397.2 million for the six months ended June 30, 2021, comprised of proceeds from issuance of ordinary shares in connection with our initial public offering (“IPO”) of $397 million, net of issuance costs.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significant contractual obligations as of December 31, 2020 are summarized in the following table:</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w w:val="97"/>
              </w:rPr>
              <w:t>Less than</w:t>
            </w:r>
          </w:p>
        </w:tc>
        <w:tc>
          <w:tcPr>
            <w:tcW w:w="86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1 to 3</w:t>
            </w:r>
          </w:p>
        </w:tc>
        <w:tc>
          <w:tcPr>
            <w:tcW w:w="7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8"/>
              </w:rPr>
              <w:t>3 to 5</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Years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40"/>
        </w:trPr>
        <w:tc>
          <w:tcPr>
            <w:tcW w:w="664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 term operating lease obligations</w:t>
            </w:r>
          </w:p>
        </w:tc>
        <w:tc>
          <w:tcPr>
            <w:tcW w:w="8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941</w:t>
            </w:r>
          </w:p>
        </w:tc>
        <w:tc>
          <w:tcPr>
            <w:tcW w:w="10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941</w:t>
            </w:r>
          </w:p>
        </w:tc>
        <w:tc>
          <w:tcPr>
            <w:tcW w:w="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640" w:type="dxa"/>
            <w:vAlign w:val="bottom"/>
          </w:tcPr>
          <w:p>
            <w:pPr>
              <w:spacing w:after="0" w:line="201" w:lineRule="exact"/>
              <w:rPr>
                <w:sz w:val="20"/>
                <w:szCs w:val="20"/>
                <w:color w:val="auto"/>
              </w:rPr>
            </w:pPr>
            <w:r>
              <w:rPr>
                <w:rFonts w:ascii="Arial" w:cs="Arial" w:eastAsia="Arial" w:hAnsi="Arial"/>
                <w:sz w:val="18"/>
                <w:szCs w:val="18"/>
                <w:color w:val="auto"/>
              </w:rPr>
              <w:t>Long term operating lease obligations</w:t>
            </w:r>
          </w:p>
        </w:tc>
        <w:tc>
          <w:tcPr>
            <w:tcW w:w="8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3,692</w:t>
            </w:r>
          </w:p>
        </w:tc>
        <w:tc>
          <w:tcPr>
            <w:tcW w:w="10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1,530</w:t>
            </w:r>
          </w:p>
        </w:tc>
        <w:tc>
          <w:tcPr>
            <w:tcW w:w="7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732</w:t>
            </w:r>
          </w:p>
        </w:tc>
        <w:tc>
          <w:tcPr>
            <w:tcW w:w="7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1"/>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4,633</w:t>
            </w:r>
          </w:p>
        </w:tc>
        <w:tc>
          <w:tcPr>
            <w:tcW w:w="10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941</w:t>
            </w:r>
          </w:p>
        </w:tc>
        <w:tc>
          <w:tcPr>
            <w:tcW w:w="8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1,530</w:t>
            </w: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732</w:t>
            </w:r>
          </w:p>
        </w:tc>
        <w:tc>
          <w:tcPr>
            <w:tcW w:w="7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 off-balance sheet arrangements.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audited consolidated financial statements included elsewhere in this prospectus.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30"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amounts reported in our consolidated financial statements and accompanying notes. Our estimates are based on our historical experience and on various other factors that we believe are reasonable under the circumstances.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206" w:lineRule="exact"/>
        <w:rPr>
          <w:sz w:val="20"/>
          <w:szCs w:val="20"/>
          <w:color w:val="auto"/>
        </w:rPr>
      </w:pPr>
    </w:p>
    <w:p>
      <w:pPr>
        <w:jc w:val="both"/>
        <w:ind w:left="160" w:right="440" w:firstLine="546"/>
        <w:spacing w:after="0" w:line="257" w:lineRule="auto"/>
        <w:rPr>
          <w:sz w:val="20"/>
          <w:szCs w:val="20"/>
          <w:color w:val="auto"/>
        </w:rPr>
      </w:pPr>
      <w:r>
        <w:rPr>
          <w:rFonts w:ascii="Arial" w:cs="Arial" w:eastAsia="Arial" w:hAnsi="Arial"/>
          <w:sz w:val="17"/>
          <w:szCs w:val="17"/>
          <w:color w:val="auto"/>
        </w:rPr>
        <w:t>We believe that the accounting policies discussed below are critical to understanding our historical and future performance, as these policies relate to the more significant areas involving management’s judgments and estimates. See Note 2 to our consolidated financial statements appearing at the end of this prospectus for a description of our other significant accounting policies.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revenues are comprised of:</w:t>
      </w:r>
    </w:p>
    <w:p>
      <w:pPr>
        <w:spacing w:after="0" w:line="114" w:lineRule="exact"/>
        <w:rPr>
          <w:sz w:val="20"/>
          <w:szCs w:val="20"/>
          <w:color w:val="auto"/>
        </w:rPr>
      </w:pPr>
    </w:p>
    <w:p>
      <w:pPr>
        <w:ind w:left="1340" w:right="60" w:hanging="638"/>
        <w:spacing w:after="0" w:line="237"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Service Fees –The Company provides merchants a cross-border e-commerce platform which enables to sell their products to consumers worldwide. Revenue is generated as a percentage of the value of transactions that flow through the Company’s platform.</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40" w:right="760" w:hanging="638"/>
        <w:spacing w:after="0" w:line="239"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Fulfillment services – The Company offers shipping, handling, and other global delivery services in order to deliver merchants’ goods to consumers.</w:t>
      </w:r>
    </w:p>
    <w:p>
      <w:pPr>
        <w:spacing w:after="0" w:line="203" w:lineRule="exact"/>
        <w:rPr>
          <w:sz w:val="20"/>
          <w:szCs w:val="20"/>
          <w:color w:val="auto"/>
        </w:rPr>
      </w:pPr>
    </w:p>
    <w:p>
      <w:pPr>
        <w:jc w:val="both"/>
        <w:ind w:left="160" w:right="380" w:firstLine="546"/>
        <w:spacing w:after="0" w:line="237" w:lineRule="auto"/>
        <w:rPr>
          <w:sz w:val="20"/>
          <w:szCs w:val="20"/>
          <w:color w:val="auto"/>
        </w:rPr>
      </w:pPr>
      <w:r>
        <w:rPr>
          <w:rFonts w:ascii="Arial" w:cs="Arial" w:eastAsia="Arial" w:hAnsi="Arial"/>
          <w:sz w:val="18"/>
          <w:szCs w:val="18"/>
          <w:color w:val="auto"/>
        </w:rPr>
        <w:t>The Company elected to adopt Accounting Standards Codification (“ASC”) Topic 606, Revenue from Contracts with Customers (“ASC 606”), effective as of January 1, 2018, utilizing the full retrospective method of adoption. Accordingly, the consolidated financial statements for the years ended December 31, 2018 and 2019 are presented under ASC 606.</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was no material impact to the Company’s consolidated financial statements as a result of this adoption.</w:t>
      </w:r>
    </w:p>
    <w:p>
      <w:pPr>
        <w:spacing w:after="0" w:line="208"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are delivered. The amount of revenue recognized reflects the consideration that the Company expects to receive in exchange for these goods or services. To achieve the core principle of this standard, the Company applied the following five steps:</w:t>
      </w:r>
    </w:p>
    <w:p>
      <w:pPr>
        <w:spacing w:after="0" w:line="181" w:lineRule="exact"/>
        <w:rPr>
          <w:sz w:val="20"/>
          <w:szCs w:val="20"/>
          <w:color w:val="auto"/>
        </w:rPr>
      </w:pPr>
    </w:p>
    <w:p>
      <w:pPr>
        <w:ind w:left="160" w:right="220" w:firstLine="553"/>
        <w:spacing w:after="0"/>
        <w:tabs>
          <w:tab w:leader="none" w:pos="90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Identification of the Contract, or Contracts, with the Customer. </w:t>
      </w:r>
      <w:r>
        <w:rPr>
          <w:rFonts w:ascii="Arial" w:cs="Arial" w:eastAsia="Arial" w:hAnsi="Arial"/>
          <w:sz w:val="18"/>
          <w:szCs w:val="18"/>
          <w:color w:val="auto"/>
        </w:rPr>
        <w:t>The Company determines that it has a contract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spacing w:after="0" w:line="182" w:lineRule="exact"/>
        <w:rPr>
          <w:rFonts w:ascii="Arial" w:cs="Arial" w:eastAsia="Arial" w:hAnsi="Arial"/>
          <w:sz w:val="18"/>
          <w:szCs w:val="18"/>
          <w:b w:val="1"/>
          <w:bCs w:val="1"/>
          <w:i w:val="1"/>
          <w:iCs w:val="1"/>
          <w:color w:val="auto"/>
        </w:rPr>
      </w:pPr>
    </w:p>
    <w:p>
      <w:pPr>
        <w:ind w:left="160" w:firstLine="553"/>
        <w:spacing w:after="0" w:line="239" w:lineRule="auto"/>
        <w:tabs>
          <w:tab w:leader="none" w:pos="90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Identification of the Performance Obligations in the Contract. </w:t>
      </w:r>
      <w:r>
        <w:rPr>
          <w:rFonts w:ascii="Arial" w:cs="Arial" w:eastAsia="Arial" w:hAnsi="Arial"/>
          <w:sz w:val="18"/>
          <w:szCs w:val="18"/>
          <w:color w:val="auto"/>
        </w:rPr>
        <w:t>Performance obligations promised in a contract are identified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w:t>
      </w:r>
    </w:p>
    <w:p>
      <w:pPr>
        <w:spacing w:after="0" w:line="180" w:lineRule="exact"/>
        <w:rPr>
          <w:rFonts w:ascii="Arial" w:cs="Arial" w:eastAsia="Arial" w:hAnsi="Arial"/>
          <w:sz w:val="18"/>
          <w:szCs w:val="18"/>
          <w:b w:val="1"/>
          <w:bCs w:val="1"/>
          <w:i w:val="1"/>
          <w:iCs w:val="1"/>
          <w:color w:val="auto"/>
        </w:rPr>
      </w:pPr>
    </w:p>
    <w:p>
      <w:pPr>
        <w:ind w:left="160" w:right="240" w:firstLine="553"/>
        <w:spacing w:after="0"/>
        <w:tabs>
          <w:tab w:leader="none" w:pos="90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Determination of the Transaction Price. </w:t>
      </w:r>
      <w:r>
        <w:rPr>
          <w:rFonts w:ascii="Arial" w:cs="Arial" w:eastAsia="Arial" w:hAnsi="Arial"/>
          <w:sz w:val="18"/>
          <w:szCs w:val="18"/>
          <w:color w:val="auto"/>
        </w:rPr>
        <w:t>The transaction price is determined based on the consideration 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spacing w:after="0" w:line="182" w:lineRule="exact"/>
        <w:rPr>
          <w:rFonts w:ascii="Arial" w:cs="Arial" w:eastAsia="Arial" w:hAnsi="Arial"/>
          <w:sz w:val="18"/>
          <w:szCs w:val="18"/>
          <w:b w:val="1"/>
          <w:bCs w:val="1"/>
          <w:i w:val="1"/>
          <w:iCs w:val="1"/>
          <w:color w:val="auto"/>
        </w:rPr>
      </w:pPr>
    </w:p>
    <w:p>
      <w:pPr>
        <w:ind w:left="160" w:right="140" w:firstLine="553"/>
        <w:spacing w:after="0"/>
        <w:tabs>
          <w:tab w:leader="none" w:pos="90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Allocation of the Transaction Price to the Performance Obligations in the Contract. </w:t>
      </w:r>
      <w:r>
        <w:rPr>
          <w:rFonts w:ascii="Arial" w:cs="Arial" w:eastAsia="Arial" w:hAnsi="Arial"/>
          <w:sz w:val="18"/>
          <w:szCs w:val="18"/>
          <w:color w:val="auto"/>
        </w:rPr>
        <w:t>Contracts that contain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obligations require an allocation of the transaction price to each performance obligation based on each performance obligation’s relative standalone selling price (“SSP”). To determine SSP, the Company maximizes the use of observable standalone sales and observable data, where available. In instances where performance obligations do not have observable standalone sales, the Company utilizes available information that may include market conditions, pricing strategies, and other observable inputs.</w:t>
      </w:r>
    </w:p>
    <w:p>
      <w:pPr>
        <w:spacing w:after="0" w:line="182" w:lineRule="exact"/>
        <w:rPr>
          <w:rFonts w:ascii="Arial" w:cs="Arial" w:eastAsia="Arial" w:hAnsi="Arial"/>
          <w:sz w:val="18"/>
          <w:szCs w:val="18"/>
          <w:b w:val="1"/>
          <w:bCs w:val="1"/>
          <w:i w:val="1"/>
          <w:iCs w:val="1"/>
          <w:color w:val="auto"/>
        </w:rPr>
      </w:pPr>
    </w:p>
    <w:p>
      <w:pPr>
        <w:ind w:left="160" w:right="200" w:firstLine="553"/>
        <w:spacing w:after="0" w:line="270" w:lineRule="auto"/>
        <w:tabs>
          <w:tab w:leader="none" w:pos="904"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Recognition of the Revenue when, or as, a Performance Obligation is Satisfied</w:t>
      </w:r>
      <w:r>
        <w:rPr>
          <w:rFonts w:ascii="Arial" w:cs="Arial" w:eastAsia="Arial" w:hAnsi="Arial"/>
          <w:sz w:val="17"/>
          <w:szCs w:val="17"/>
          <w:color w:val="auto"/>
        </w:rPr>
        <w:t>. Revenue is recognized at the time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spacing w:after="0" w:line="109" w:lineRule="exact"/>
        <w:rPr>
          <w:sz w:val="20"/>
          <w:szCs w:val="20"/>
          <w:color w:val="auto"/>
        </w:rPr>
      </w:pPr>
    </w:p>
    <w:p>
      <w:pPr>
        <w:ind w:left="1340" w:right="20" w:hanging="638"/>
        <w:spacing w:after="0" w:line="234"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Service Fees—the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 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p>
      <w:pPr>
        <w:spacing w:after="0" w:line="111" w:lineRule="exact"/>
        <w:rPr>
          <w:rFonts w:ascii="Arial" w:cs="Arial" w:eastAsia="Arial" w:hAnsi="Arial"/>
          <w:sz w:val="18"/>
          <w:szCs w:val="18"/>
          <w:color w:val="auto"/>
        </w:rPr>
      </w:pPr>
    </w:p>
    <w:p>
      <w:pPr>
        <w:ind w:left="1340" w:right="40" w:hanging="638"/>
        <w:spacing w:after="0" w:line="251" w:lineRule="auto"/>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Fulfillment services—the service is recognized over the shipment period starting upon the dispatch to the carrier until it reaches the consumer. The Company determined it acts as a principal since it is the primary obligor to fulfill its promise to its customers, controls the services (i.e., the Company directs other parties to provide services on its behalf), has discretion in determining the carrier it uses to provide the service and bears the risk of loss if the actual cost of the fulfillment service exceed the fee. Therefore, revenues derived from the fulfillment services are presented on a gross basis.</w:t>
      </w:r>
    </w:p>
    <w:p>
      <w:pPr>
        <w:spacing w:after="0" w:line="195"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Company elected to apply the optional exemption under ASC 606 not to disclose the remaining performance obligations that relate to contracts with an original expected duration of one year or less.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Ordinary Shares Valuations</w:t>
      </w:r>
    </w:p>
    <w:p>
      <w:pPr>
        <w:spacing w:after="0" w:line="12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Commencing May 11, 2021, our ordinary shares were publicly traded on Nasdaq. Upon the completion of our IPO, our share options are valued by reference to the trading prices of our ordinary shares in the public market.</w:t>
      </w:r>
    </w:p>
    <w:p>
      <w:pPr>
        <w:spacing w:after="0" w:line="203" w:lineRule="exact"/>
        <w:rPr>
          <w:sz w:val="20"/>
          <w:szCs w:val="20"/>
          <w:color w:val="auto"/>
        </w:rPr>
      </w:pPr>
    </w:p>
    <w:p>
      <w:pPr>
        <w:jc w:val="both"/>
        <w:ind w:left="160" w:right="480" w:firstLine="546"/>
        <w:spacing w:after="0" w:line="236" w:lineRule="auto"/>
        <w:rPr>
          <w:sz w:val="20"/>
          <w:szCs w:val="20"/>
          <w:color w:val="auto"/>
        </w:rPr>
      </w:pPr>
      <w:r>
        <w:rPr>
          <w:rFonts w:ascii="Arial" w:cs="Arial" w:eastAsia="Arial" w:hAnsi="Arial"/>
          <w:sz w:val="18"/>
          <w:szCs w:val="18"/>
          <w:color w:val="auto"/>
        </w:rPr>
        <w:t>In connection with our IPO, the board of directors adopted a new share incentive plan (the “2021 Plan”) for employees, office holders, directors, service providers and consultants. The 2021 Plan provides for the grant of stock options (including incentive stock options and nonqualified stock options), ordinary shares, restricted shares, restricted share units, stock appreciation rights and other share-based awards,</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As there was no public market for our ordinary shares prior to the IPO, the fair value of our ordinary shares was determined by our board of directors after considering contemporaneous third-party valuations and input from management. The valuations of the Company’s ordinary shares were determined in accordance with the guidelines outlined in the American Institute of Certified Public Accountants Practice Aid, Valuation of Privately-Held-Company Equity Securities Issued as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Compensation. In the absence of a public trading market, the Company’s board of directors, with input from management, exercised significant judgment and considered various objective and subjective factors to determine the fair value of the Company’s ordinary shares as of the date of each option grant, including the following factors:</w:t>
      </w:r>
    </w:p>
    <w:p>
      <w:pPr>
        <w:spacing w:after="0" w:line="109" w:lineRule="exact"/>
        <w:rPr>
          <w:sz w:val="20"/>
          <w:szCs w:val="20"/>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general economic conditions and the Company’s industry outlook;</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book value and overall financial condition;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earning capacity;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dividend history;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existence of goodwill or other intangible value within the Company’s business;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interest sales and the size of the interests being valued; and</w:t>
      </w:r>
    </w:p>
    <w:p>
      <w:pPr>
        <w:spacing w:after="0" w:line="127" w:lineRule="exact"/>
        <w:rPr>
          <w:rFonts w:ascii="Arial" w:cs="Arial" w:eastAsia="Arial" w:hAnsi="Arial"/>
          <w:sz w:val="18"/>
          <w:szCs w:val="18"/>
          <w:color w:val="auto"/>
        </w:rPr>
      </w:pPr>
    </w:p>
    <w:p>
      <w:pPr>
        <w:ind w:left="920" w:right="300" w:hanging="218"/>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companies engaged in the same or a similar line of the Company’s business having their equity securities actively traded in a free and open market, either on an exchange or over-the-counter.</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In valuing the Company’s ordinary shares prior to the IPO, the Company used current/recent round of financing, to determine the fair value of the business, or equity value.</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resulting equity value was then allocated to each share class using an Option Pricing Model (“OPM”). The OPM allocates the overall company value to the various share classes based on differences in liquidation preferences, participation rights, dividend policy, and conversion rights, using a series of call options. The OPM is appropriate to use when the range of possible future outcomes is difficult to predict. Beginning in April 2020, the Company utilized a probability-weighted expected return method (“PWERM”) to allocate value among the various share classes. The PWERM involves the estimation of the value of the Company under multiple future potential outcomes and estimates the probability of each potential outcome. The per-share value of the Company’s ordinary shares as determined through the PWERM was ultimately based upon probability-weighted per share values resulting from the various future scenarios, which include an initial public offering or continued operation as a private company. After the ordinary share value was determined, a discount for lack of marketability (“DLOM”) was applied to arrive at the fair value of the ordinary shares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market value.</w:t>
      </w:r>
    </w:p>
    <w:p>
      <w:pPr>
        <w:spacing w:after="0" w:line="210" w:lineRule="exact"/>
        <w:rPr>
          <w:sz w:val="20"/>
          <w:szCs w:val="20"/>
          <w:color w:val="auto"/>
        </w:rPr>
      </w:pPr>
    </w:p>
    <w:p>
      <w:pPr>
        <w:ind w:left="160" w:right="80" w:firstLine="546"/>
        <w:spacing w:after="0" w:line="251" w:lineRule="auto"/>
        <w:rPr>
          <w:sz w:val="20"/>
          <w:szCs w:val="20"/>
          <w:color w:val="auto"/>
        </w:rPr>
      </w:pPr>
      <w:r>
        <w:rPr>
          <w:rFonts w:ascii="Arial" w:cs="Arial" w:eastAsia="Arial" w:hAnsi="Arial"/>
          <w:sz w:val="17"/>
          <w:szCs w:val="17"/>
          <w:color w:val="auto"/>
        </w:rPr>
        <w:t>In addition, the Company also considered any secondary transactions involving its capital shares. In its evaluation of those transactions, the Company considered the facts and circumstances of each transaction to determine the extent to which they represented a fair value exchange. Factors considered include transaction volume, proximity to other transactions as well as the valuation date, frequency of similar transactions, whether the transactions occurred between willing and unrelated parties, and whether the transactions involved parties with sufficient access to the Company’s financial information from which to make an informed decision on price.</w:t>
      </w:r>
    </w:p>
    <w:p>
      <w:pPr>
        <w:spacing w:after="0" w:line="195"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some cases, the Company considered the amount of time between the valuation date and the grant date to determine whether to use the latest ordinary share valuation determined pursuant to the method described above or a straight-line calculation between two valuation dates. This determination included an evaluation of whether the subsequent valuation indicated that any significant change in valuation had occurred between the previous valuation and the grant date.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connection with the preparation of our financial statements for the year ended December 31, 2020, we re-evaluated our estimate of the fair value of our ordinary shares for financial reporting purposes as a result of our rapidly improving financial prospects, our evolving belief that an initial public offering was increasingly viable and the generally improving conditions in the capital markets in the fourth quarter of 2020. As a result of our reevaluation, we determined that, solely for financial reporting purposes, the fair values of our ordinary shares were higher than the fair values of our ordinary shares determined in good faith by our board of directors for option grant dates in May, August, October and December 2020. As a result, we retrospectively adjusted the fair value per share of our ordinary shares for financial reporting purposes as of these grant dates and recognized additional stock-based compensation expense for the year ended December 31, 2020.</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3" w:lineRule="exact"/>
        <w:rPr>
          <w:sz w:val="20"/>
          <w:szCs w:val="20"/>
          <w:color w:val="auto"/>
        </w:rPr>
      </w:pPr>
    </w:p>
    <w:p>
      <w:pPr>
        <w:ind w:left="160" w:right="60" w:firstLine="546"/>
        <w:spacing w:after="0" w:line="250" w:lineRule="auto"/>
        <w:rPr>
          <w:sz w:val="20"/>
          <w:szCs w:val="20"/>
          <w:color w:val="auto"/>
        </w:rPr>
      </w:pPr>
      <w:r>
        <w:rPr>
          <w:rFonts w:ascii="Arial" w:cs="Arial" w:eastAsia="Arial" w:hAnsi="Arial"/>
          <w:sz w:val="17"/>
          <w:szCs w:val="17"/>
          <w:color w:val="auto"/>
        </w:rPr>
        <w:t>A majority of our purchase and sale transactions are carried out in different currencies, including the U.S. Dollar, Euro and Pounds Sterling, and we bear the risk of diminution in value of the relevant shopper’s purchasing currency in the interim periods between the various transaction stages (e.g. placement/payment and returns/refund). Additionally, we incur a substantial portion of our operating expenses in New Israeli Shekels, Pounds Sterling and U.S. Dollars, and to a lesser extent, other foreign currencies. Our results of operations and cash flows are, therefore, subject to fluctuations due to changes in foreign currency exchange rates. However, we believe we have a certain level of built-in “natural currency hedge” provided by our bi-directional volume of sales and broad international activity.</w:t>
      </w:r>
    </w:p>
    <w:p>
      <w:pPr>
        <w:spacing w:after="0" w:line="196"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Despite this natural hedge, we may incur additional costs and experience losses resulting from fluctuations in exchange rates for revenues in foreign currencies or upon translation of New Israeli Shekels expenses incurred in Israel, or Pounds Sterling expenses incurred in the United Kingdom, to U.S. Dollars.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the year ended December 31, 2020, we did not hedge our foreign currency exchange risk.</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JOBS Act</w:t>
      </w:r>
    </w:p>
    <w:p>
      <w:pPr>
        <w:spacing w:after="0" w:line="123" w:lineRule="exact"/>
        <w:rPr>
          <w:sz w:val="20"/>
          <w:szCs w:val="20"/>
          <w:color w:val="auto"/>
        </w:rPr>
      </w:pPr>
    </w:p>
    <w:p>
      <w:pPr>
        <w:ind w:left="160" w:right="120" w:firstLine="546"/>
        <w:spacing w:after="0" w:line="249" w:lineRule="auto"/>
        <w:rPr>
          <w:sz w:val="20"/>
          <w:szCs w:val="20"/>
          <w:color w:val="auto"/>
        </w:rPr>
      </w:pPr>
      <w:r>
        <w:rPr>
          <w:rFonts w:ascii="Arial" w:cs="Arial" w:eastAsia="Arial" w:hAnsi="Arial"/>
          <w:sz w:val="17"/>
          <w:szCs w:val="17"/>
          <w:color w:val="auto"/>
        </w:rPr>
        <w:t>We qualify as an “emerging growth company” pursuant to the provisions of the JOBS Act.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6" w:right="5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Mission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Global-e’s mission is to make global e-commerce “border agnostic” – Go global. Be local.</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built the world’s leading platform to enable and accelerate global, direct-to-consumer (“D2C”) cross-border e-commerce.</w:t>
      </w:r>
    </w:p>
    <w:p>
      <w:pPr>
        <w:spacing w:after="0" w:line="208"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6"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25 languages, purchases in more than 100 currencies by over 150 payment methods and a multitude of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202"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For merchants, our platform also removes much of the complexity that is associated with cross-border e-commerce. Sales are reconciled and paid for locally and in the currency of the merchant’s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As of June 30, 2021, we have more than 520 merchants on our platform across diversified verticals and ranging from small, emerging brands to globally-recognized retailers.</w:t>
      </w:r>
    </w:p>
    <w:p>
      <w:pPr>
        <w:spacing w:after="0" w:line="204"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The scale and sophistication of our platform rely on the data and insights we’ve accumulated since our founding more than seven years ago. We refer to the application of our data as “Smart Insights” – country-, price- 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merchants.</w:t>
      </w:r>
    </w:p>
    <w:p>
      <w:pPr>
        <w:spacing w:after="0" w:line="20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The merchants’ success is our success, and we aspire to become their trusted partner for international sales. The better the outcomes for the merchants and the more revenue and growth they achieve, the greater our own revenue and growth. We believe this alignment of interests with the merchants is core to our long-term success. This is evidenced by our Gross Dollar Retention Rate, which has typically been over 98% since 2018, and our Net Dollar Retention Rate, which has typically been over 140% during the same period. These retention rates demonstrate both the strong retention we enjoy among our existing merchants and the strong growth of GMV from merchants that use our platform.</w:t>
      </w:r>
    </w:p>
    <w:p>
      <w:pPr>
        <w:spacing w:after="0" w:line="202"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Since launching our platform in 2013, our business has experienced rapid growth. Our GMV amounted to $211 million, $382 million and $774 million in 2018, 2019 and 2020, respectively, representing an increase of 81% and 103% in the years ended December 31, 2019 and 2020, respectively. For the six months ended June 30, 2021, our GMV amounted to $592.8 million, representing a 110.6% increase from the $281.4 million for the six months ended June 30, 2020. Our revenues were $38.6 million, $65.9 million and $ 136.4 million in the years ended December 31, 2018, 2019 and 2020, respectively, representing an increase of 70.4% and 107.1% in the years ended December 31, 2019 and 2020, respectively. For the six months ended June 30, 2021, we generated $103.4 million in revenue, representing a 109% increase from $49.5 million for the six months ended June 30, 2020. We incurred net losses of $11.6 million and $7.5 million in the years ended December 31, 2018 and 2019, respectively, representing a decrease in net losses of 35% in the year ended December 31, 2019, and realized net income of $3.9 million in the year ended December 31, 2020. For the six months ended June 30, 2021, we incurred a net loss of $24.0 million, representing a 1,337% increase in net losses from a net loss of $1.7 million for the six months ended June 30, 2020, attributable to increases in sales and marketing expenses as a result of an amortization expense of $25.5 million related to the Shopify warrants. Our operating efficiency and growing economies of scale have allowed our gross profit growth rates to outpace those of our revenue growth. Our gross profit increased by 117% and 133% in the years ended December 31, 2019 and 2020, respectively, and by 133% in the six months ended June 30, 2020 compared to the same period in the prior year. Our gross margin has steadily improved from 22.2% in 2018 to 28.3% in 2019 and to 31.9% in 2020, and reached 34.8% for the six months ended June 30, 2021.</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6"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Trends in Our Favor</w:t>
      </w:r>
    </w:p>
    <w:p>
      <w:pPr>
        <w:spacing w:after="0" w:line="123"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A number of industry trends are reshaping the business environment in which we operate, leading to what we believe is a unique opportunity. Key market dynamics include:</w:t>
      </w:r>
    </w:p>
    <w:p>
      <w:pPr>
        <w:spacing w:after="0" w:line="91" w:lineRule="exact"/>
        <w:rPr>
          <w:sz w:val="20"/>
          <w:szCs w:val="20"/>
          <w:color w:val="auto"/>
        </w:rPr>
      </w:pPr>
    </w:p>
    <w:p>
      <w:pPr>
        <w:ind w:left="920" w:right="300" w:hanging="218"/>
        <w:spacing w:after="0" w:line="260"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Transformation of retail to be online-focused </w:t>
      </w:r>
      <w:r>
        <w:rPr>
          <w:rFonts w:ascii="Arial" w:cs="Arial" w:eastAsia="Arial" w:hAnsi="Arial"/>
          <w:sz w:val="18"/>
          <w:szCs w:val="18"/>
          <w:color w:val="auto"/>
        </w:rPr>
        <w:t>– The retail market is undergoing an accelerated shift towards e-commerce,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online sales outpacing that of traditional retail.</w:t>
      </w:r>
    </w:p>
    <w:p>
      <w:pPr>
        <w:spacing w:after="0" w:line="73" w:lineRule="exact"/>
        <w:rPr>
          <w:rFonts w:ascii="Arial" w:cs="Arial" w:eastAsia="Arial" w:hAnsi="Arial"/>
          <w:sz w:val="18"/>
          <w:szCs w:val="18"/>
          <w:color w:val="auto"/>
        </w:rPr>
      </w:pPr>
    </w:p>
    <w:p>
      <w:pPr>
        <w:ind w:left="920" w:right="40" w:hanging="218"/>
        <w:spacing w:after="0" w:line="290"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Rise of cross-border e-commerce </w:t>
      </w:r>
      <w:r>
        <w:rPr>
          <w:rFonts w:ascii="Arial" w:cs="Arial" w:eastAsia="Arial" w:hAnsi="Arial"/>
          <w:sz w:val="17"/>
          <w:szCs w:val="17"/>
          <w:color w:val="auto"/>
        </w:rPr>
        <w:t>– Cross-border e-commerce growth rates are outpacing domestic growth rates, propelled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rise of social media and global influencers, resulting in globalization of consumer tastes and increased cross-border demand.</w:t>
      </w:r>
    </w:p>
    <w:p>
      <w:pPr>
        <w:spacing w:after="0" w:line="49" w:lineRule="exact"/>
        <w:rPr>
          <w:rFonts w:ascii="Arial" w:cs="Arial" w:eastAsia="Arial" w:hAnsi="Arial"/>
          <w:sz w:val="17"/>
          <w:szCs w:val="17"/>
          <w:color w:val="auto"/>
        </w:rPr>
      </w:pPr>
    </w:p>
    <w:p>
      <w:pPr>
        <w:ind w:left="920" w:right="20" w:hanging="218"/>
        <w:spacing w:after="0" w:line="260"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Emphasis on D2C sales </w:t>
      </w:r>
      <w:r>
        <w:rPr>
          <w:rFonts w:ascii="Arial" w:cs="Arial" w:eastAsia="Arial" w:hAnsi="Arial"/>
          <w:sz w:val="18"/>
          <w:szCs w:val="18"/>
          <w:color w:val="auto"/>
        </w:rPr>
        <w:t>– e-commerce enables a stronger model of D2C sales for traditional and new merchants, which paves a</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route for merchants to take ownership of shopper relationships worldwide.</w:t>
      </w:r>
    </w:p>
    <w:p>
      <w:pPr>
        <w:spacing w:after="0" w:line="73" w:lineRule="exact"/>
        <w:rPr>
          <w:rFonts w:ascii="Arial" w:cs="Arial" w:eastAsia="Arial" w:hAnsi="Arial"/>
          <w:sz w:val="18"/>
          <w:szCs w:val="18"/>
          <w:color w:val="auto"/>
        </w:rPr>
      </w:pPr>
    </w:p>
    <w:p>
      <w:pPr>
        <w:ind w:left="920" w:hanging="218"/>
        <w:spacing w:after="0" w:line="246"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Difficulty in executing on a Do-It-Yourself (“DIY”) strategy </w:t>
      </w:r>
      <w:r>
        <w:rPr>
          <w:rFonts w:ascii="Arial" w:cs="Arial" w:eastAsia="Arial" w:hAnsi="Arial"/>
          <w:sz w:val="18"/>
          <w:szCs w:val="18"/>
          <w:color w:val="auto"/>
        </w:rPr>
        <w:t>– Managing a D2C cross-border network is capital-intensive,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deep local know-how, and a complex combination of features and capabilities to navigate across markets, further exacerbated by local on-going regulatory changes.</w:t>
      </w:r>
    </w:p>
    <w:p>
      <w:pPr>
        <w:spacing w:after="0" w:line="85" w:lineRule="exact"/>
        <w:rPr>
          <w:rFonts w:ascii="Arial" w:cs="Arial" w:eastAsia="Arial" w:hAnsi="Arial"/>
          <w:sz w:val="18"/>
          <w:szCs w:val="18"/>
          <w:color w:val="auto"/>
        </w:rPr>
      </w:pPr>
    </w:p>
    <w:p>
      <w:pPr>
        <w:ind w:left="920" w:right="440" w:hanging="218"/>
        <w:spacing w:after="0" w:line="260"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Tailwinds from COVID-19 </w:t>
      </w:r>
      <w:r>
        <w:rPr>
          <w:rFonts w:ascii="Arial" w:cs="Arial" w:eastAsia="Arial" w:hAnsi="Arial"/>
          <w:sz w:val="18"/>
          <w:szCs w:val="18"/>
          <w:color w:val="auto"/>
        </w:rPr>
        <w:t>– The COVID-19 pandemic accelerated existing trends of shoppers moving online and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prioritizing digital channels; these trends are expected to continue post-pandemic.</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Shift to e-commerce with runway for sustained growth</w:t>
      </w:r>
    </w:p>
    <w:p>
      <w:pPr>
        <w:spacing w:after="0" w:line="123" w:lineRule="exact"/>
        <w:rPr>
          <w:sz w:val="20"/>
          <w:szCs w:val="20"/>
          <w:color w:val="auto"/>
        </w:rPr>
      </w:pPr>
    </w:p>
    <w:p>
      <w:pPr>
        <w:ind w:left="160" w:right="1280" w:firstLine="546"/>
        <w:spacing w:after="0" w:line="239" w:lineRule="auto"/>
        <w:rPr>
          <w:sz w:val="20"/>
          <w:szCs w:val="20"/>
          <w:color w:val="auto"/>
        </w:rPr>
      </w:pPr>
      <w:r>
        <w:rPr>
          <w:rFonts w:ascii="Arial" w:cs="Arial" w:eastAsia="Arial" w:hAnsi="Arial"/>
          <w:sz w:val="18"/>
          <w:szCs w:val="18"/>
          <w:color w:val="auto"/>
        </w:rPr>
        <w:t>Over the course of the last several decades, retail has undergone a historic transformation. The market presence of bricks-and-mortar stores has declined as consumers increasingly shop online.</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As shopper adoption of e-commerce has increased rapidly, merchants have followed suit and diverted attention and resources from traditional storefronts to online channels. Merchants have placed heightened focus on their online presences, driving a digital transformation. Social media in particular is playing an increasingly critical role in how brands market themselves and how shoppers discover and interact with brands. Merchants are thus intently focused on making their websites approachable, inviting, intuitive and user-friendly.</w:t>
      </w:r>
    </w:p>
    <w:p>
      <w:pPr>
        <w:spacing w:after="0" w:line="204"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As a result, global e-commerce was expected to reach $3.9 trillion in sales in 2020, representing approximately 17% of total retail sales, according to research firm eMarketer. In the U.S., the share of D2C shoppers was just 30% of total online buyers in 2017, but is expected to surpass 45% in 2021, according to eMarketer. Global online penetration is anticipated to grow to approximately 21%, leading to approximately $5.8 trillion in e-commerce sales by 2023, a 13% CAGR from 2020.</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Growth in cross-border online transactions outpacing that of domestic volumes</w:t>
      </w:r>
    </w:p>
    <w:p>
      <w:pPr>
        <w:spacing w:after="0" w:line="123" w:lineRule="exact"/>
        <w:rPr>
          <w:sz w:val="20"/>
          <w:szCs w:val="20"/>
          <w:color w:val="auto"/>
        </w:rPr>
      </w:pPr>
    </w:p>
    <w:p>
      <w:pPr>
        <w:ind w:left="160" w:right="60" w:firstLine="546"/>
        <w:spacing w:after="0" w:line="250" w:lineRule="auto"/>
        <w:rPr>
          <w:sz w:val="20"/>
          <w:szCs w:val="20"/>
          <w:color w:val="auto"/>
        </w:rPr>
      </w:pPr>
      <w:r>
        <w:rPr>
          <w:rFonts w:ascii="Arial" w:cs="Arial" w:eastAsia="Arial" w:hAnsi="Arial"/>
          <w:sz w:val="17"/>
          <w:szCs w:val="17"/>
          <w:color w:val="auto"/>
        </w:rPr>
        <w:t>Shoppers’ buying habits are not only rapidly shifting towards online but trends and consumer tastes are also turning increasingly global, driving cross-border online volumes. This trend is further accelerated by the rise in social media, which has created a significant marketing channel for merchants to reach new audiences in foreign markets through targeted ads and influencers. Facebook has approximately 2.9 billion monthly average users according to the most recent publicly available data, and the top 10 Instagram influencers reach over 2.0 billion potential shoppers. According to research by 5WPR social media influences the purchasing behavior of 72% of individuals between the ages of 18 and 34. Forrester expects that by 2023, the cross-border e-commerce market will reach $736 billion.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Merchants are increasingly choosing to sell direct-to-consumer</w:t>
      </w:r>
    </w:p>
    <w:p>
      <w:pPr>
        <w:spacing w:after="0" w:line="12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While consumer brands may have historically relied on third parties for the distribution of their products, in particular outside their home countries or regions, including through local franchisees, distributors, department stores and retail chains, we believe global e-commerce enables a new enhanced model of D2C sales for merchants.</w:t>
      </w:r>
    </w:p>
    <w:p>
      <w:pPr>
        <w:spacing w:after="0" w:line="203"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The rapid evolution of e-commerce enablement platforms and global logistics networks has increased the ease of setting up a digital D2C presence. This has both enabled traditional players to shift their distribution channels to D2C given the opportunity to directly acquire shoppers on a global scale as well as driven emerging digital-native merchants to gain a global presence from day-one.</w:t>
      </w:r>
    </w:p>
    <w:p>
      <w:pPr>
        <w:spacing w:after="0" w:line="18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D2C holds many benefits for merchants over alternative channels, such as marketplaces or local distributors, by enabling them to create and maintain long-term direct relationships with shoppers, retain full control over the brand experience, gain data-based insights into their shoppers, and typically drive higher margins. Shoppers also benefit from the D2C model, which typically allows for better pricing, wider product assortments, guaranteed product authenticity and a tailored user experience.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Limitations of the Do-It-Yourself approach for cross-border e-commerce</w:t>
      </w:r>
    </w:p>
    <w:p>
      <w:pPr>
        <w:spacing w:after="0" w:line="123" w:lineRule="exact"/>
        <w:rPr>
          <w:sz w:val="20"/>
          <w:szCs w:val="20"/>
          <w:color w:val="auto"/>
        </w:rPr>
      </w:pPr>
    </w:p>
    <w:p>
      <w:pPr>
        <w:ind w:left="160" w:right="20" w:firstLine="546"/>
        <w:spacing w:after="0" w:line="232" w:lineRule="auto"/>
        <w:rPr>
          <w:sz w:val="20"/>
          <w:szCs w:val="20"/>
          <w:color w:val="auto"/>
        </w:rPr>
      </w:pPr>
      <w:r>
        <w:rPr>
          <w:rFonts w:ascii="Arial" w:cs="Arial" w:eastAsia="Arial" w:hAnsi="Arial"/>
          <w:sz w:val="18"/>
          <w:szCs w:val="18"/>
          <w:color w:val="auto"/>
        </w:rPr>
        <w:t>Some merchants manage cross-border e-commerce in-house. Running the entire process on a DIY basis requires the merchant to perform tasks including the management of multiple website and local capabilities (messaging, currencies, pricing and duties), local marketing proposition, local market promotions, international shipping, customer service, and returns. Such an approach requires the upfront expenditure of significant resources as well as required support for ongoing capital needs. Markets are increasingly complex and may be difficult to navigate when multiple international locations are targeted in parallel. Each market requires its own specialized capabilities, know-how, and flexibility to adjust to local shoppers’ changes in tastes as well as local market regulatory changes (such as sales tax adjustments, Brexit, trade agreements, etc.). The complexity and resource allocation may end up with low projected return on investment and slow time-to-market. Based on data collected from select merchants, we estimate that while approximately 30% of all e-commerce traffic is international, only 5% to 10% of e-commerce monetization is international, due in large part to this complexity. According to research by eMarketer, over 79 million shoppers made purchases on D2C e-commerce sites in the United States in 2019, representing approximately 40% of all e-commerce shoppers in 2019 and a 10 percentage point increase in representation from the</w:t>
      </w:r>
    </w:p>
    <w:p>
      <w:pPr>
        <w:ind w:left="160"/>
        <w:spacing w:after="0"/>
        <w:rPr>
          <w:sz w:val="20"/>
          <w:szCs w:val="20"/>
          <w:color w:val="auto"/>
        </w:rPr>
      </w:pPr>
      <w:r>
        <w:rPr>
          <w:rFonts w:ascii="Arial" w:cs="Arial" w:eastAsia="Arial" w:hAnsi="Arial"/>
          <w:sz w:val="18"/>
          <w:szCs w:val="18"/>
          <w:color w:val="auto"/>
        </w:rPr>
        <w:t>56 million D2C e-commerce shoppers in 2017. D2C e-commerce shoppers in the United States are expected to increase to 95 million by</w:t>
      </w:r>
    </w:p>
    <w:p>
      <w:pPr>
        <w:ind w:left="160"/>
        <w:spacing w:after="0"/>
        <w:rPr>
          <w:sz w:val="20"/>
          <w:szCs w:val="20"/>
          <w:color w:val="auto"/>
        </w:rPr>
      </w:pPr>
      <w:r>
        <w:rPr>
          <w:rFonts w:ascii="Arial" w:cs="Arial" w:eastAsia="Arial" w:hAnsi="Arial"/>
          <w:sz w:val="18"/>
          <w:szCs w:val="18"/>
          <w:color w:val="auto"/>
        </w:rPr>
        <w:t>2021.</w:t>
      </w:r>
    </w:p>
    <w:p>
      <w:pPr>
        <w:spacing w:after="0" w:line="208"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Building a rich data set as a DIY operator is difficult. A dearth of data on local market shopper behavior and market common proposition standards can also lead to suboptimal conversion of shopper traffic to sales under the DIY model. We believe shoppers today expect that all merchants – even small, local ones – will offer the same high-quality experience to which they have grown accustomed from the leading and largest local players in their markets. Such large local players often have deep insight into local market characteristics as well as the resources to continue developing their offering to provide a superior shopper journey relative to peers. International merchants competing with such large local players but failing to meet shopper expectations, may experience the permanent loss of shoppers and potential damage to their brand equity and shopper trust.</w:t>
      </w:r>
    </w:p>
    <w:p>
      <w:pPr>
        <w:spacing w:after="0" w:line="291"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COVID-19 has further accelerated trends observed in e-commerce globally and is expected to have a long-lasting impact on growth in the future</w:t>
      </w:r>
    </w:p>
    <w:p>
      <w:pPr>
        <w:spacing w:after="0" w:line="7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The ongoing shift to shopping online has been further accelerated by the global COVID-19 pandemic. Lockdown and social-distancing measures to prevent and slow the spread of COVID-19</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320" w:top="456"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diverted shoppers to online channels and resulted in rapid e-commerce growth, with e-commerce penetration reaching 16% of total retail sales in the United States in the second quarter of 2020, according to the U.S. Department of Commerce. The COVID-19 pandemic is expected to create shopper stickiness beyond its duration, resulting in a material change in e-commerce adoption. A survey conducted by PricewaterhouseCoopers reported that with respect to non-grocery purchases, over 90% of shoppers intend to maintain their increased use of online shopping channels when social distancing/social isolation measures are removed.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Opportunity</w:t>
      </w:r>
    </w:p>
    <w:p>
      <w:pPr>
        <w:spacing w:after="0" w:line="123" w:lineRule="exact"/>
        <w:rPr>
          <w:sz w:val="20"/>
          <w:szCs w:val="20"/>
          <w:color w:val="auto"/>
        </w:rPr>
      </w:pPr>
    </w:p>
    <w:p>
      <w:pPr>
        <w:ind w:left="160" w:right="160" w:firstLine="546"/>
        <w:spacing w:after="0" w:line="249" w:lineRule="auto"/>
        <w:rPr>
          <w:sz w:val="20"/>
          <w:szCs w:val="20"/>
          <w:color w:val="auto"/>
        </w:rPr>
      </w:pPr>
      <w:r>
        <w:rPr>
          <w:rFonts w:ascii="Arial" w:cs="Arial" w:eastAsia="Arial" w:hAnsi="Arial"/>
          <w:sz w:val="17"/>
          <w:szCs w:val="17"/>
          <w:color w:val="auto"/>
        </w:rPr>
        <w:t>We strive to make international sales as simple as domestic ones for our merchants, while also ensuring their shoppers enjoy an intuitive and frictionless shopper journey, making both shoppers and merchants “abroad-agnostic”. We believe that our scalable platform enables our merchants to capture the large and growing cross-border e-commerce market. As of June 30, 2021, we served over 520 merchants across 11 countries, mainly in the United States, the United Kingdom, France, and other Western European markets; overall, we sell to shoppers in over 200 destination markets worldwide. Forrester expects that by 2023, the cross-border e-commerce market will reach $736 billion. For the six months ended June 30, 2021 and the year ended December 31, 2020, our merchants’ transactions on our platform amounted to a GMV of $592.8 million and $ 774 million, respectively. We believe that only a small number of all e-commerce merchants have a meaningful cross-border footprint, presenting a significant opportunity for further growth. We believe we have the potential to become an industry-defining player that enables merchants to capture the cross-border e-commerce opportunity.</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Global-e Solution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Global-e is a leader in cross-border e-commerce enablement. We offer a full end-to-end platform built on a highly scalable</w:t>
      </w:r>
    </w:p>
    <w:p>
      <w:pPr>
        <w:jc w:val="center"/>
        <w:ind w:right="80"/>
        <w:spacing w:after="0"/>
        <w:rPr>
          <w:sz w:val="20"/>
          <w:szCs w:val="20"/>
          <w:color w:val="auto"/>
        </w:rPr>
      </w:pPr>
      <w:r>
        <w:rPr>
          <w:rFonts w:ascii="Arial" w:cs="Arial" w:eastAsia="Arial" w:hAnsi="Arial"/>
          <w:sz w:val="18"/>
          <w:szCs w:val="18"/>
          <w:color w:val="auto"/>
        </w:rPr>
        <w:t>technology stack. Our comprehensive solution provides merchants with mission-critical tools that enable them to sell and scale globally.</w:t>
      </w:r>
    </w:p>
    <w:p>
      <w:pPr>
        <w:spacing w:after="0" w:line="208"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We believe our offering is a result of a potent combination of key components that will help further fuel the growth of cross-border e-commerce by: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Offering an intuitive and frictionless shopper journey</w:t>
      </w:r>
    </w:p>
    <w:p>
      <w:pPr>
        <w:spacing w:after="0" w:line="123" w:lineRule="exact"/>
        <w:rPr>
          <w:sz w:val="20"/>
          <w:szCs w:val="20"/>
          <w:color w:val="auto"/>
        </w:rPr>
      </w:pPr>
    </w:p>
    <w:p>
      <w:pPr>
        <w:ind w:left="160" w:right="480" w:firstLine="546"/>
        <w:spacing w:after="0" w:line="239" w:lineRule="auto"/>
        <w:rPr>
          <w:sz w:val="20"/>
          <w:szCs w:val="20"/>
          <w:color w:val="auto"/>
        </w:rPr>
      </w:pPr>
      <w:r>
        <w:rPr>
          <w:rFonts w:ascii="Arial" w:cs="Arial" w:eastAsia="Arial" w:hAnsi="Arial"/>
          <w:sz w:val="18"/>
          <w:szCs w:val="18"/>
          <w:color w:val="auto"/>
        </w:rPr>
        <w:t>Through a combination of proprietary capabilities and useful third-party integrations, Global-e is able to create a localized and efficient experience for shoppers regardless of the country they are shopping from. Our platform is able to support:</w:t>
      </w:r>
    </w:p>
    <w:p>
      <w:pPr>
        <w:spacing w:after="0" w:line="87" w:lineRule="exact"/>
        <w:rPr>
          <w:sz w:val="20"/>
          <w:szCs w:val="20"/>
          <w:color w:val="auto"/>
        </w:rPr>
      </w:pPr>
    </w:p>
    <w:p>
      <w:pPr>
        <w:ind w:left="9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 localized marketing messaging and checkout in over 25 languages.</w:t>
      </w:r>
    </w:p>
    <w:p>
      <w:pPr>
        <w:spacing w:after="0" w:line="113" w:lineRule="exact"/>
        <w:rPr>
          <w:rFonts w:ascii="Arial" w:cs="Arial" w:eastAsia="Arial" w:hAnsi="Arial"/>
          <w:sz w:val="18"/>
          <w:szCs w:val="18"/>
          <w:color w:val="auto"/>
        </w:rPr>
      </w:pPr>
    </w:p>
    <w:p>
      <w:pPr>
        <w:ind w:left="920" w:hanging="218"/>
        <w:spacing w:after="0" w:line="26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–support for more than 100 currencies as well as a sophisticated pricing engine customizable according to the shopper’s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local market retail pricing conventions and the merchant’s pricing strategy.</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 over 150 payment methods, with new payment methods being continuously added.</w:t>
      </w:r>
    </w:p>
    <w:p>
      <w:pPr>
        <w:spacing w:after="0" w:line="127" w:lineRule="exact"/>
        <w:rPr>
          <w:rFonts w:ascii="Arial" w:cs="Arial" w:eastAsia="Arial" w:hAnsi="Arial"/>
          <w:sz w:val="18"/>
          <w:szCs w:val="18"/>
          <w:color w:val="auto"/>
        </w:rPr>
      </w:pPr>
    </w:p>
    <w:p>
      <w:pPr>
        <w:ind w:left="920" w:right="160" w:hanging="218"/>
        <w:spacing w:after="0" w:line="24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Duties and taxes </w:t>
      </w:r>
      <w:r>
        <w:rPr>
          <w:rFonts w:ascii="Arial" w:cs="Arial" w:eastAsia="Arial" w:hAnsi="Arial"/>
          <w:sz w:val="18"/>
          <w:szCs w:val="18"/>
          <w:color w:val="auto"/>
        </w:rPr>
        <w:t>– the ability to accurately pre-calculate import duties and taxes and remit them in over 170 destination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simplifying the customs clearance process and allowing for a guaranteed landed price quote for both the shopper and the merchant. We also ensure we are addressing local market import restrictions.</w:t>
      </w:r>
    </w:p>
    <w:p>
      <w:pPr>
        <w:spacing w:after="0" w:line="77" w:lineRule="exact"/>
        <w:rPr>
          <w:rFonts w:ascii="Arial" w:cs="Arial" w:eastAsia="Arial" w:hAnsi="Arial"/>
          <w:sz w:val="18"/>
          <w:szCs w:val="18"/>
          <w:color w:val="auto"/>
        </w:rPr>
      </w:pPr>
    </w:p>
    <w:p>
      <w:pPr>
        <w:jc w:val="both"/>
        <w:ind w:left="920" w:hanging="218"/>
        <w:spacing w:after="0" w:line="249"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 an extensive network of more than 20 shipping carriers, offering multiple shipping modes at attractive rates,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shipping options such as Pick-Up &amp; Drop-Off where applicable. We have found that shopper preferences for shipping modes and pricing vary significantly among markets, and are an important driver of conversion rates.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56"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500" w:hanging="218"/>
        <w:spacing w:after="0" w:line="265"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After-sale support and returns </w:t>
      </w:r>
      <w:r>
        <w:rPr>
          <w:rFonts w:ascii="Arial" w:cs="Arial" w:eastAsia="Arial" w:hAnsi="Arial"/>
          <w:sz w:val="18"/>
          <w:szCs w:val="18"/>
          <w:color w:val="auto"/>
        </w:rPr>
        <w:t>– multi-lingual shopper services and multiple returns options, including pre-paid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in relevant markets.</w:t>
      </w:r>
    </w:p>
    <w:p>
      <w:pPr>
        <w:spacing w:after="0" w:line="18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combination of these extensive international capabilities embeds a highly-localized shopper journey into the framework of a merchant’s e-commerce store. This creates benefits for shoppers, who enjoy an efficient and familiar experience, while gaining direct access to the merchant’s full and original e-commerce website. Their positive experience allows us to significantly increase the conversion of our merchants’ international traffic and, consequently, their revenue.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Solving the merchants’ needs through our purpose-built end-to-end platform</w:t>
      </w:r>
    </w:p>
    <w:p>
      <w:pPr>
        <w:spacing w:after="0" w:line="123"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Our platform includes mission-critical tools, from local pricing and payments capabilities to after-sales support. We also simplify the international order flow – regardless of shopper and merchant origin, currency and payment method used, whether duties and taxes were pre-paid and which shipping option was chosen – making it as simple to complete as a domestic order.</w:t>
      </w:r>
    </w:p>
    <w:p>
      <w:pPr>
        <w:spacing w:after="0" w:line="87" w:lineRule="exact"/>
        <w:rPr>
          <w:sz w:val="20"/>
          <w:szCs w:val="20"/>
          <w:color w:val="auto"/>
        </w:rPr>
      </w:pPr>
    </w:p>
    <w:p>
      <w:pPr>
        <w:ind w:left="920" w:right="20" w:hanging="218"/>
        <w:spacing w:after="0" w:line="258"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Increased sales conversion: </w:t>
      </w:r>
      <w:r>
        <w:rPr>
          <w:rFonts w:ascii="Arial" w:cs="Arial" w:eastAsia="Arial" w:hAnsi="Arial"/>
          <w:sz w:val="17"/>
          <w:szCs w:val="17"/>
          <w:color w:val="auto"/>
        </w:rPr>
        <w:t>we enable the merchants to scale internationally in a rapid, efficient manner through our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We ensure that the merchants are able to capitalize on their valuable international shopper traffic and growth potential by eliminating friction to close the gap between international markets’ share of </w:t>
      </w:r>
      <w:r>
        <w:rPr>
          <w:rFonts w:ascii="Arial" w:cs="Arial" w:eastAsia="Arial" w:hAnsi="Arial"/>
          <w:sz w:val="17"/>
          <w:szCs w:val="17"/>
          <w:i w:val="1"/>
          <w:iCs w:val="1"/>
          <w:color w:val="auto"/>
        </w:rPr>
        <w:t>traffic</w:t>
      </w:r>
      <w:r>
        <w:rPr>
          <w:rFonts w:ascii="Arial" w:cs="Arial" w:eastAsia="Arial" w:hAnsi="Arial"/>
          <w:sz w:val="17"/>
          <w:szCs w:val="17"/>
          <w:color w:val="auto"/>
        </w:rPr>
        <w:t xml:space="preserve"> and </w:t>
      </w:r>
      <w:r>
        <w:rPr>
          <w:rFonts w:ascii="Arial" w:cs="Arial" w:eastAsia="Arial" w:hAnsi="Arial"/>
          <w:sz w:val="17"/>
          <w:szCs w:val="17"/>
          <w:i w:val="1"/>
          <w:iCs w:val="1"/>
          <w:color w:val="auto"/>
        </w:rPr>
        <w:t>monetization</w:t>
      </w:r>
      <w:r>
        <w:rPr>
          <w:rFonts w:ascii="Arial" w:cs="Arial" w:eastAsia="Arial" w:hAnsi="Arial"/>
          <w:sz w:val="17"/>
          <w:szCs w:val="17"/>
          <w:color w:val="auto"/>
        </w:rPr>
        <w:t>. This enables the merchants to generate an uplift in sales from the conversion of their international shopper conversion. We have seen merchants experience significant uplift (often exceeding 60%) in international traffic conversion after beginning to use our platform.</w:t>
      </w:r>
    </w:p>
    <w:p>
      <w:pPr>
        <w:spacing w:after="0" w:line="72" w:lineRule="exact"/>
        <w:rPr>
          <w:rFonts w:ascii="Arial" w:cs="Arial" w:eastAsia="Arial" w:hAnsi="Arial"/>
          <w:sz w:val="17"/>
          <w:szCs w:val="17"/>
          <w:color w:val="auto"/>
        </w:rPr>
      </w:pPr>
    </w:p>
    <w:p>
      <w:pPr>
        <w:ind w:left="920" w:right="40" w:hanging="218"/>
        <w:spacing w:after="0" w:line="24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Enabling expansion flexibility: </w:t>
      </w:r>
      <w:r>
        <w:rPr>
          <w:rFonts w:ascii="Arial" w:cs="Arial" w:eastAsia="Arial" w:hAnsi="Arial"/>
          <w:sz w:val="18"/>
          <w:szCs w:val="18"/>
          <w:color w:val="auto"/>
        </w:rPr>
        <w:t>Global-e presents merchants with flexibility to expand where and when they want to,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seek to capture the cross-border opportunity. We transform what otherwise would have required significant time and financial investments in proprietary development and go-to-market efforts into an efficient expansion solution managed by adjusting mere configurations on the Global-e platform per market.</w:t>
      </w:r>
    </w:p>
    <w:p>
      <w:pPr>
        <w:spacing w:after="0" w:line="84" w:lineRule="exact"/>
        <w:rPr>
          <w:rFonts w:ascii="Arial" w:cs="Arial" w:eastAsia="Arial" w:hAnsi="Arial"/>
          <w:sz w:val="18"/>
          <w:szCs w:val="18"/>
          <w:color w:val="auto"/>
        </w:rPr>
      </w:pPr>
    </w:p>
    <w:p>
      <w:pPr>
        <w:ind w:left="920" w:right="40" w:hanging="218"/>
        <w:spacing w:after="0" w:line="236"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Reducing merchant complexity: </w:t>
      </w:r>
      <w:r>
        <w:rPr>
          <w:rFonts w:ascii="Arial" w:cs="Arial" w:eastAsia="Arial" w:hAnsi="Arial"/>
          <w:sz w:val="18"/>
          <w:szCs w:val="18"/>
          <w:color w:val="auto"/>
        </w:rPr>
        <w:t>Global-e assumes the role of merchant of record (“MoR”) vis-à-vis the shopper.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taking on such responsibility significantly reduces legal complexity for the merchants, as we report and forward relevant import taxes and handle import compliance in the local market where a purchase is made, in line with specific market regulations. Our MoR status allows us to handle tax recovery for returned goods, with no hassle to the merchant. We bear certain fraud and foreign exchange risks that would otherwise be borne by the merchants and offer simple access to dozens of local payment methods, which further reduces potential frictions that could deter both merchants and shoppers from engaging in cross-border transactions. We also adapt our systems and operations on an ongoing basis to address the evolving regulatory landscape and technical backdrop. Vis-à-vis the merchant, we streamline order processing by periodically reconciling all international orders in bulk and in the merchant’s native currency. In short, we aim to provide an experience that is akin to a domestic transaction.</w:t>
      </w:r>
    </w:p>
    <w:p>
      <w:pPr>
        <w:spacing w:after="0" w:line="91" w:lineRule="exact"/>
        <w:rPr>
          <w:rFonts w:ascii="Arial" w:cs="Arial" w:eastAsia="Arial" w:hAnsi="Arial"/>
          <w:sz w:val="18"/>
          <w:szCs w:val="18"/>
          <w:color w:val="auto"/>
        </w:rPr>
      </w:pPr>
    </w:p>
    <w:p>
      <w:pPr>
        <w:ind w:left="920" w:right="20" w:hanging="218"/>
        <w:spacing w:after="0" w:line="24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Emphasizing merchant branding</w:t>
      </w:r>
      <w:r>
        <w:rPr>
          <w:rFonts w:ascii="Arial" w:cs="Arial" w:eastAsia="Arial" w:hAnsi="Arial"/>
          <w:sz w:val="18"/>
          <w:szCs w:val="18"/>
          <w:color w:val="auto"/>
        </w:rPr>
        <w:t>: maintaining the direct shopper relationships is of strategic importance to the merchants,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we are deeply committed to preserving that connection. All throughout the process, the merchants preserve the integrity of the brand experience and enhance their brand equity. Our platform uses minimal Global-e branding – and only where required to do so – so shoppers primarily face the merchant’s existing storefront and brand experience.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Combining our access to data and know-how to generate Smart Insights</w:t>
      </w:r>
    </w:p>
    <w:p>
      <w:pPr>
        <w:spacing w:after="0" w:line="12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are well-positioned to provide insights to our merchants thanks to both the breadth and depth of the data we generate, on the basis of the significant international traffic on our merchants’ websites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spacing w:after="0" w:line="251" w:lineRule="auto"/>
        <w:rPr>
          <w:sz w:val="20"/>
          <w:szCs w:val="20"/>
          <w:color w:val="auto"/>
        </w:rPr>
      </w:pPr>
      <w:r>
        <w:rPr>
          <w:rFonts w:ascii="Arial" w:cs="Arial" w:eastAsia="Arial" w:hAnsi="Arial"/>
          <w:sz w:val="17"/>
          <w:szCs w:val="17"/>
          <w:color w:val="auto"/>
        </w:rPr>
        <w:t>and the millions of transactions we facilitate on a yearly basis. For the year ended December 31, 2020, there were approximately 367 million visits across our merchants’ e-commerce sites, and we enabled approximately 4.6 million transactions across 10 different origin countries and over 200 destination markets. For the twelve months ended June 30, 2021, there were more than 500 million visits across our merchants’ e-commerce sites and we enabled more than 6.0 million transactions. We gather extensive data along the entire value chain and lifecycle of an order – from the initial visit to the e-commerce store through the actual purchase, delivery and returns.</w:t>
      </w:r>
    </w:p>
    <w:p>
      <w:pPr>
        <w:spacing w:after="0" w:line="195"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proprietary models use this wealth of information to generate curated and actionable Smart Insights for our merchants, advising them on how certain changes to their online value proposition would potentially affect shopper conversion rates. We also provide detailed business analytics on a market-per-market basis, leveraging our know-how, tools and data. Such Smart Insights enable the merchants to optimize their offering to the shoppers by location, alleviating the need for trial and error in order to assess customer preferences on a standalone basis.</w:t>
      </w:r>
    </w:p>
    <w:p>
      <w:pPr>
        <w:spacing w:after="0" w:line="204"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Our holistic approach – coupling our localization capabilities and market know-how with our data driven Smart Insights – enables the merchants to unlock their potential for cross-border, D2C sales by means of a localized and optimized offering for each individual market, vertical and price segment.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Merchants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serve a fast-growing and diverse portfolio of merchants around the globe</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As of June 30, 2021, we had 522 merchants using our platform, up 18.1% from 442 merchants as of December 31, 2020 and 84.5% from 283 merchants as of December 31, 2019. During the year ended December 31, 2020, merchants using our platform made transactions at a total GMV of $774 million, up 103% from $ 382 million in the year ended December 31, 2019. For the six months ended June 30, 2021, our merchants’ transactions on our platform amounted to a total GMV of $592.8 million, up 110.6% from $281.4 million for the six months ended June 30, 2020. The merchants we serve are highly diverse across:</w:t>
      </w:r>
    </w:p>
    <w:p>
      <w:pPr>
        <w:spacing w:after="0" w:line="88" w:lineRule="exact"/>
        <w:rPr>
          <w:sz w:val="20"/>
          <w:szCs w:val="20"/>
          <w:color w:val="auto"/>
        </w:rPr>
      </w:pPr>
    </w:p>
    <w:p>
      <w:pPr>
        <w:ind w:left="920" w:hanging="218"/>
        <w:spacing w:after="0" w:line="265"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Multiple origin countries </w:t>
      </w:r>
      <w:r>
        <w:rPr>
          <w:rFonts w:ascii="Arial" w:cs="Arial" w:eastAsia="Arial" w:hAnsi="Arial"/>
          <w:sz w:val="18"/>
          <w:szCs w:val="18"/>
          <w:color w:val="auto"/>
        </w:rPr>
        <w:t>– we serve merchants from the United Kingdom, United States, France, and other Western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w:t>
      </w:r>
    </w:p>
    <w:p>
      <w:pPr>
        <w:spacing w:after="0" w:line="64" w:lineRule="exact"/>
        <w:rPr>
          <w:rFonts w:ascii="Arial" w:cs="Arial" w:eastAsia="Arial" w:hAnsi="Arial"/>
          <w:sz w:val="18"/>
          <w:szCs w:val="18"/>
          <w:color w:val="auto"/>
        </w:rPr>
      </w:pPr>
    </w:p>
    <w:p>
      <w:pPr>
        <w:ind w:left="920" w:right="320" w:hanging="218"/>
        <w:spacing w:after="0" w:line="265"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Multiple product verticals </w:t>
      </w:r>
      <w:r>
        <w:rPr>
          <w:rFonts w:ascii="Arial" w:cs="Arial" w:eastAsia="Arial" w:hAnsi="Arial"/>
          <w:sz w:val="18"/>
          <w:szCs w:val="18"/>
          <w:color w:val="auto"/>
        </w:rPr>
        <w:t>– fashion and apparel, luxury, footwear, cosmetics, accessories, children’s fashion, watches and</w:t>
      </w:r>
      <w:r>
        <w:rPr>
          <w:rFonts w:ascii="Arial" w:cs="Arial" w:eastAsia="Arial" w:hAnsi="Arial"/>
          <w:sz w:val="18"/>
          <w:szCs w:val="18"/>
          <w:b w:val="1"/>
          <w:bCs w:val="1"/>
          <w:color w:val="auto"/>
        </w:rPr>
        <w:t xml:space="preserve"> </w:t>
      </w:r>
      <w:r>
        <w:rPr>
          <w:rFonts w:ascii="Arial" w:cs="Arial" w:eastAsia="Arial" w:hAnsi="Arial"/>
          <w:sz w:val="18"/>
          <w:szCs w:val="18"/>
          <w:color w:val="auto"/>
        </w:rPr>
        <w:t>jewelry, sporting equipment, toys and hobbies, automotive spare parts, and others.</w:t>
      </w:r>
    </w:p>
    <w:p>
      <w:pPr>
        <w:spacing w:after="0" w:line="64" w:lineRule="exact"/>
        <w:rPr>
          <w:rFonts w:ascii="Arial" w:cs="Arial" w:eastAsia="Arial" w:hAnsi="Arial"/>
          <w:sz w:val="18"/>
          <w:szCs w:val="18"/>
          <w:color w:val="auto"/>
        </w:rPr>
      </w:pPr>
    </w:p>
    <w:p>
      <w:pPr>
        <w:ind w:left="920" w:right="600" w:hanging="218"/>
        <w:spacing w:after="0" w:line="265"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Multiple product price points </w:t>
      </w:r>
      <w:r>
        <w:rPr>
          <w:rFonts w:ascii="Arial" w:cs="Arial" w:eastAsia="Arial" w:hAnsi="Arial"/>
          <w:sz w:val="18"/>
          <w:szCs w:val="18"/>
          <w:color w:val="auto"/>
        </w:rPr>
        <w:t>– ranging from everyday fashion retailers such as Forever 21 and Marks and Spencer, to</w:t>
      </w:r>
      <w:r>
        <w:rPr>
          <w:rFonts w:ascii="Arial" w:cs="Arial" w:eastAsia="Arial" w:hAnsi="Arial"/>
          <w:sz w:val="18"/>
          <w:szCs w:val="18"/>
          <w:b w:val="1"/>
          <w:bCs w:val="1"/>
          <w:color w:val="auto"/>
        </w:rPr>
        <w:t xml:space="preserve"> </w:t>
      </w:r>
      <w:r>
        <w:rPr>
          <w:rFonts w:ascii="Arial" w:cs="Arial" w:eastAsia="Arial" w:hAnsi="Arial"/>
          <w:sz w:val="18"/>
          <w:szCs w:val="18"/>
          <w:color w:val="auto"/>
        </w:rPr>
        <w:t>ultra-high-end brands such as Hugo Boss, Cartier and Versace.</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Multiple merchant sizes </w:t>
      </w:r>
      <w:r>
        <w:rPr>
          <w:rFonts w:ascii="Arial" w:cs="Arial" w:eastAsia="Arial" w:hAnsi="Arial"/>
          <w:sz w:val="18"/>
          <w:szCs w:val="18"/>
          <w:color w:val="auto"/>
        </w:rPr>
        <w:t>– from multi-billion dollar global high-street brands to niche small and medium businesses.</w:t>
      </w:r>
    </w:p>
    <w:p>
      <w:pPr>
        <w:spacing w:after="0" w:line="127" w:lineRule="exact"/>
        <w:rPr>
          <w:rFonts w:ascii="Arial" w:cs="Arial" w:eastAsia="Arial" w:hAnsi="Arial"/>
          <w:sz w:val="18"/>
          <w:szCs w:val="18"/>
          <w:color w:val="auto"/>
        </w:rPr>
      </w:pPr>
    </w:p>
    <w:p>
      <w:pPr>
        <w:ind w:left="920" w:right="160" w:hanging="218"/>
        <w:spacing w:after="0" w:line="265"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Multiple merchant types </w:t>
      </w:r>
      <w:r>
        <w:rPr>
          <w:rFonts w:ascii="Arial" w:cs="Arial" w:eastAsia="Arial" w:hAnsi="Arial"/>
          <w:sz w:val="18"/>
          <w:szCs w:val="18"/>
          <w:color w:val="auto"/>
        </w:rPr>
        <w:t>– from traditional bricks-and-mortar retailers who have been transitioning to the digital D2C realm to</w:t>
      </w:r>
      <w:r>
        <w:rPr>
          <w:rFonts w:ascii="Arial" w:cs="Arial" w:eastAsia="Arial" w:hAnsi="Arial"/>
          <w:sz w:val="18"/>
          <w:szCs w:val="18"/>
          <w:b w:val="1"/>
          <w:bCs w:val="1"/>
          <w:color w:val="auto"/>
        </w:rPr>
        <w:t xml:space="preserve"> </w:t>
      </w:r>
      <w:r>
        <w:rPr>
          <w:rFonts w:ascii="Arial" w:cs="Arial" w:eastAsia="Arial" w:hAnsi="Arial"/>
          <w:sz w:val="18"/>
          <w:szCs w:val="18"/>
          <w:color w:val="auto"/>
        </w:rPr>
        <w:t>emerging digital-native brands.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our large and highly diverse portfolio of merchants presents several key advantages:</w:t>
      </w:r>
    </w:p>
    <w:p>
      <w:pPr>
        <w:spacing w:after="0" w:line="114" w:lineRule="exact"/>
        <w:rPr>
          <w:sz w:val="20"/>
          <w:szCs w:val="20"/>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rich, diverse and fast-growing data asset of international transactions, enabling us to produce Smart Insights.</w:t>
      </w:r>
    </w:p>
    <w:p>
      <w:pPr>
        <w:spacing w:after="0" w:line="127" w:lineRule="exact"/>
        <w:rPr>
          <w:rFonts w:ascii="Arial" w:cs="Arial" w:eastAsia="Arial" w:hAnsi="Arial"/>
          <w:sz w:val="18"/>
          <w:szCs w:val="18"/>
          <w:color w:val="auto"/>
        </w:rPr>
      </w:pPr>
    </w:p>
    <w:p>
      <w:pPr>
        <w:ind w:left="920" w:right="120" w:hanging="218"/>
        <w:spacing w:after="0" w:line="23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Vertical-level as well as geographical expertise, yielding a competitive advantage when approaching prospective merchants as part of our sales process.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Strong network and word-of-mouth effects within specific verticals and/or geographies.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 business resilience due to steadily decreasing merchant concentration.</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320" w:top="456" w:right="5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560" w:hanging="218"/>
        <w:spacing w:after="0" w:line="23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certain level of built-in “natural currency hedge” as a result of our business activity being conducted in a large number of different base currencies.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a highly efficient sales and go-to-market strategy</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establish partnerships with new merchants through several sales channels:</w:t>
      </w:r>
    </w:p>
    <w:p>
      <w:pPr>
        <w:spacing w:after="0" w:line="92" w:lineRule="exact"/>
        <w:rPr>
          <w:sz w:val="20"/>
          <w:szCs w:val="20"/>
          <w:color w:val="auto"/>
        </w:rPr>
      </w:pPr>
    </w:p>
    <w:p>
      <w:pPr>
        <w:ind w:left="920" w:right="520" w:hanging="218"/>
        <w:spacing w:after="0" w:line="265"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Direct sales </w:t>
      </w:r>
      <w:r>
        <w:rPr>
          <w:rFonts w:ascii="Arial" w:cs="Arial" w:eastAsia="Arial" w:hAnsi="Arial"/>
          <w:sz w:val="18"/>
          <w:szCs w:val="18"/>
          <w:color w:val="auto"/>
        </w:rPr>
        <w:t>– We have a dedicated team of sales executives that use various data sources to screen, qualify, identify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approach prospective merchants.</w:t>
      </w:r>
    </w:p>
    <w:p>
      <w:pPr>
        <w:spacing w:after="0" w:line="64" w:lineRule="exact"/>
        <w:rPr>
          <w:rFonts w:ascii="Arial" w:cs="Arial" w:eastAsia="Arial" w:hAnsi="Arial"/>
          <w:sz w:val="18"/>
          <w:szCs w:val="18"/>
          <w:color w:val="auto"/>
        </w:rPr>
      </w:pPr>
    </w:p>
    <w:p>
      <w:pPr>
        <w:ind w:left="920" w:right="20" w:hanging="218"/>
        <w:spacing w:after="0" w:line="24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Inbound and word-of-mouth </w:t>
      </w:r>
      <w:r>
        <w:rPr>
          <w:rFonts w:ascii="Arial" w:cs="Arial" w:eastAsia="Arial" w:hAnsi="Arial"/>
          <w:sz w:val="18"/>
          <w:szCs w:val="18"/>
          <w:color w:val="auto"/>
        </w:rPr>
        <w:t>– As our scale and the number of merchants we have in each individual market grows, so does</w:t>
      </w:r>
      <w:r>
        <w:rPr>
          <w:rFonts w:ascii="Arial" w:cs="Arial" w:eastAsia="Arial" w:hAnsi="Arial"/>
          <w:sz w:val="18"/>
          <w:szCs w:val="18"/>
          <w:b w:val="1"/>
          <w:bCs w:val="1"/>
          <w:color w:val="auto"/>
        </w:rPr>
        <w:t xml:space="preserve"> </w:t>
      </w:r>
      <w:r>
        <w:rPr>
          <w:rFonts w:ascii="Arial" w:cs="Arial" w:eastAsia="Arial" w:hAnsi="Arial"/>
          <w:sz w:val="18"/>
          <w:szCs w:val="18"/>
          <w:color w:val="auto"/>
        </w:rPr>
        <w:t>our own brand equity. This leads to more inbound prospects as well as stronger word-of-mouth-based sales, whereby an existing Global-e merchant recommends our solution to other players in the market.</w:t>
      </w:r>
    </w:p>
    <w:p>
      <w:pPr>
        <w:spacing w:after="0" w:line="77" w:lineRule="exact"/>
        <w:rPr>
          <w:rFonts w:ascii="Arial" w:cs="Arial" w:eastAsia="Arial" w:hAnsi="Arial"/>
          <w:sz w:val="18"/>
          <w:szCs w:val="18"/>
          <w:color w:val="auto"/>
        </w:rPr>
      </w:pPr>
    </w:p>
    <w:p>
      <w:pPr>
        <w:ind w:left="920" w:hanging="218"/>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Channel partnerships </w:t>
      </w:r>
      <w:r>
        <w:rPr>
          <w:rFonts w:ascii="Arial" w:cs="Arial" w:eastAsia="Arial" w:hAnsi="Arial"/>
          <w:sz w:val="18"/>
          <w:szCs w:val="18"/>
          <w:color w:val="auto"/>
        </w:rPr>
        <w:t>– We have established mutually-beneficial strategic partnerships with a range of third parties,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e-commerce and technology platforms, shipping providers, third-party logistics providers, payment providers, system integrators and others. In the context of such relationships, our partners pass on leads to our sales teams and provide us with access to merchants. We recently entered into a Services and Partnership Agreement with Shopify to jointly cooperate in offering e-commerce cross-border solutions to Shopify merchants.</w:t>
      </w:r>
    </w:p>
    <w:p>
      <w:pPr>
        <w:spacing w:after="0" w:line="204"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Sale cycle length depends on several parameters, such as merchant size, vertical, and type of technical integration but takes between three weeks and six months, depending on the size of the client, vertical and readiness for international project. Once the sales cycle is completed, implementation periods vary, depending on technical complexity, level of granularity of the merchant’s intended international marketing proposition and operational complexity. Implementation projects for large merchants take approximately 12-16 weeks on average while implementation for small businesses take approximately three to six weeks depending on the client internal team engagement.</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Our consistent historical performance yields high merchant satisfaction levels, as evident from our strong retention rates. Since 2018, our Net Dollar Retention Rate has typically been over 140%, and our Gross Dollar Retention Rate has typically been over 98%. High merchant retention, coupled with our reliance on multiple and robust sales channels, generates a highly efficient sales and marketing operation. For merchants acquired in the year ended December 31, 2019, our payback period, which measures the amount of time required to recover merchant acquisition costs in a given year from the merchants acquired in that year, based on the gross profit realized from such merchants in the following year, was less than six months.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Merchant Case Studies</w:t>
      </w:r>
    </w:p>
    <w:p>
      <w:pPr>
        <w:spacing w:after="0" w:line="12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By using our platform, merchants achieve considerable uplift (often exceeding 60%) in international traffic conversion. We have highlighted below some actual use cases from our merchants. The case studies below illustrate the results some of our merchants have achieved through the use of our platform. These are individual experiences with our platform and not all merchants may experience all of the benefits described below.</w:t>
      </w:r>
    </w:p>
    <w:p>
      <w:pPr>
        <w:spacing w:after="0" w:line="87" w:lineRule="exact"/>
        <w:rPr>
          <w:sz w:val="20"/>
          <w:szCs w:val="20"/>
          <w:color w:val="auto"/>
        </w:rPr>
      </w:pPr>
    </w:p>
    <w:p>
      <w:pPr>
        <w:ind w:left="920" w:right="140" w:hanging="218"/>
        <w:spacing w:after="0" w:line="243"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Marc Jacobs – </w:t>
      </w:r>
      <w:r>
        <w:rPr>
          <w:rFonts w:ascii="Arial" w:cs="Arial" w:eastAsia="Arial" w:hAnsi="Arial"/>
          <w:sz w:val="18"/>
          <w:szCs w:val="18"/>
          <w:color w:val="auto"/>
        </w:rPr>
        <w:t>among the world’s leading luxury fashion brands, had been transacting online with their shoppers worldwide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time. However, in the cross-border interactions with their shoppers, they were generally unable to support pricing, presentation and payments capabilities tailored to regional preferences. They sought a cross-border e-commerce solution that would enable them to offer a localized shopping experience, and in turn better capture their</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340"/>
        <w:spacing w:after="0" w:line="236" w:lineRule="auto"/>
        <w:rPr>
          <w:sz w:val="20"/>
          <w:szCs w:val="20"/>
          <w:color w:val="auto"/>
        </w:rPr>
      </w:pPr>
      <w:r>
        <w:rPr>
          <w:rFonts w:ascii="Arial" w:cs="Arial" w:eastAsia="Arial" w:hAnsi="Arial"/>
          <w:sz w:val="18"/>
          <w:szCs w:val="18"/>
          <w:color w:val="auto"/>
        </w:rPr>
        <w:t>full international opportunity. Marc Jacobs engaged Global-e in September 2018 and in just three weeks’ time was able to implement a cross-border solution that enabled them to offer their shoppers the improved and localized shopping experience sought. When comparing the three months immediately prior to engaging Global-e to the same three-month period in the following year, Marc Jacobs realized the following results:</w:t>
      </w:r>
    </w:p>
    <w:p>
      <w:pPr>
        <w:spacing w:after="0" w:line="109" w:lineRule="exact"/>
        <w:rPr>
          <w:sz w:val="20"/>
          <w:szCs w:val="20"/>
          <w:color w:val="auto"/>
        </w:rPr>
      </w:pPr>
    </w:p>
    <w:p>
      <w:pPr>
        <w:ind w:left="1460" w:hanging="209"/>
        <w:spacing w:after="0"/>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77% increase in the number of international orders as compared to the same period in the prior year;</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130% increase in international e-commerce revenues; and</w:t>
      </w:r>
    </w:p>
    <w:p>
      <w:pPr>
        <w:spacing w:after="0" w:line="113" w:lineRule="exact"/>
        <w:rPr>
          <w:rFonts w:ascii="Arial" w:cs="Arial" w:eastAsia="Arial" w:hAnsi="Arial"/>
          <w:sz w:val="15"/>
          <w:szCs w:val="15"/>
          <w:color w:val="auto"/>
        </w:rPr>
      </w:pPr>
    </w:p>
    <w:p>
      <w:pPr>
        <w:ind w:left="1460" w:right="40" w:hanging="209"/>
        <w:spacing w:after="0" w:line="239" w:lineRule="auto"/>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superior performance in previously average-performing markets, such as France, where e-commerce revenues increased by 484%.</w:t>
      </w:r>
    </w:p>
    <w:p>
      <w:pPr>
        <w:spacing w:after="0" w:line="87" w:lineRule="exact"/>
        <w:rPr>
          <w:rFonts w:ascii="Arial" w:cs="Arial" w:eastAsia="Arial" w:hAnsi="Arial"/>
          <w:sz w:val="15"/>
          <w:szCs w:val="15"/>
          <w:color w:val="auto"/>
        </w:rPr>
      </w:pPr>
    </w:p>
    <w:p>
      <w:pPr>
        <w:ind w:left="920" w:right="40" w:hanging="218"/>
        <w:spacing w:after="0" w:line="23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Etam </w:t>
      </w:r>
      <w:r>
        <w:rPr>
          <w:rFonts w:ascii="Arial" w:cs="Arial" w:eastAsia="Arial" w:hAnsi="Arial"/>
          <w:sz w:val="18"/>
          <w:szCs w:val="18"/>
          <w:color w:val="auto"/>
        </w:rPr>
        <w:t>- a leading lingerie brand based in France, was selling its products to shoppers in dozens of countries, but was struggling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capture the full potential of its international reach due to common cross-border e-commerce hurdles. These hurdles included the inability to offer multiple payment methods or to present prices in multiple currencies. They therefore sought to engage Global-e as an experienced cross-border solutions provider to help grow cross-border sales through an improved shopping and localized shopper experience. With Global-e, Etam was able to overcome their cross-border e-commerce challenges and achieve the superior shopping experience they sought for their shoppers. Etam engaged Global-e in September 2017, and in the period from December 2017 to April 2018, they realized the following results relative to the same period in the year before engaging Global-e:</w:t>
      </w:r>
    </w:p>
    <w:p>
      <w:pPr>
        <w:spacing w:after="0" w:line="112" w:lineRule="exact"/>
        <w:rPr>
          <w:rFonts w:ascii="Arial" w:cs="Arial" w:eastAsia="Arial" w:hAnsi="Arial"/>
          <w:sz w:val="18"/>
          <w:szCs w:val="18"/>
          <w:color w:val="auto"/>
        </w:rPr>
      </w:pPr>
    </w:p>
    <w:p>
      <w:pPr>
        <w:ind w:left="1460" w:hanging="209"/>
        <w:spacing w:after="0"/>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77% increase in the number of international orders;</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91% increase in e-commerce revenues; and</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49"/>
        </w:numPr>
        <w:rPr>
          <w:rFonts w:ascii="Arial" w:cs="Arial" w:eastAsia="Arial" w:hAnsi="Arial"/>
          <w:sz w:val="15"/>
          <w:szCs w:val="15"/>
          <w:color w:val="auto"/>
        </w:rPr>
      </w:pPr>
      <w:r>
        <w:rPr>
          <w:rFonts w:ascii="Arial" w:cs="Arial" w:eastAsia="Arial" w:hAnsi="Arial"/>
          <w:sz w:val="18"/>
          <w:szCs w:val="18"/>
          <w:color w:val="auto"/>
        </w:rPr>
        <w:t>conversion rates were doubled.</w:t>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Since partnering with Global-e, Etam has successfully sold products online to more than 65 countries worldwide.</w:t>
      </w:r>
    </w:p>
    <w:p>
      <w:pPr>
        <w:spacing w:after="0" w:line="92" w:lineRule="exact"/>
        <w:rPr>
          <w:sz w:val="20"/>
          <w:szCs w:val="20"/>
          <w:color w:val="auto"/>
        </w:rPr>
      </w:pPr>
    </w:p>
    <w:p>
      <w:pPr>
        <w:ind w:left="920" w:right="4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Iconic </w:t>
      </w:r>
      <w:r>
        <w:rPr>
          <w:rFonts w:ascii="Arial" w:cs="Arial" w:eastAsia="Arial" w:hAnsi="Arial"/>
          <w:sz w:val="18"/>
          <w:szCs w:val="18"/>
          <w:color w:val="auto"/>
        </w:rPr>
        <w:t>– a leading cosmetics brand based in the United Kingdom, had sold its products both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since its launch in 2015. However, the brand’s cross-border offering was limited, as it was only able to display prices in a few currencies, provide few payment options and offer expensive and lengthy shipping options. These limitations collectively resulted in low cross-border conversion rates. Iconic engaged Global-e in June 2017 in an effort to better capture their international opportunity. When comparing the eight months immediately prior to engaging Global-e to the same eight-month period in the second year following engagement with Global-e, Iconic realized the following results:</w:t>
      </w:r>
    </w:p>
    <w:p>
      <w:pPr>
        <w:spacing w:after="0" w:line="109" w:lineRule="exact"/>
        <w:rPr>
          <w:rFonts w:ascii="Arial" w:cs="Arial" w:eastAsia="Arial" w:hAnsi="Arial"/>
          <w:sz w:val="18"/>
          <w:szCs w:val="18"/>
          <w:color w:val="auto"/>
        </w:rPr>
      </w:pPr>
    </w:p>
    <w:p>
      <w:pPr>
        <w:ind w:left="1460" w:hanging="209"/>
        <w:spacing w:after="0"/>
        <w:tabs>
          <w:tab w:leader="none" w:pos="1460" w:val="left"/>
        </w:tabs>
        <w:numPr>
          <w:ilvl w:val="1"/>
          <w:numId w:val="50"/>
        </w:numPr>
        <w:rPr>
          <w:rFonts w:ascii="Arial" w:cs="Arial" w:eastAsia="Arial" w:hAnsi="Arial"/>
          <w:sz w:val="15"/>
          <w:szCs w:val="15"/>
          <w:color w:val="auto"/>
        </w:rPr>
      </w:pPr>
      <w:r>
        <w:rPr>
          <w:rFonts w:ascii="Arial" w:cs="Arial" w:eastAsia="Arial" w:hAnsi="Arial"/>
          <w:sz w:val="18"/>
          <w:szCs w:val="18"/>
          <w:color w:val="auto"/>
        </w:rPr>
        <w:t>143% increase in the number of international orders;</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50"/>
        </w:numPr>
        <w:rPr>
          <w:rFonts w:ascii="Arial" w:cs="Arial" w:eastAsia="Arial" w:hAnsi="Arial"/>
          <w:sz w:val="15"/>
          <w:szCs w:val="15"/>
          <w:color w:val="auto"/>
        </w:rPr>
      </w:pPr>
      <w:r>
        <w:rPr>
          <w:rFonts w:ascii="Arial" w:cs="Arial" w:eastAsia="Arial" w:hAnsi="Arial"/>
          <w:sz w:val="18"/>
          <w:szCs w:val="18"/>
          <w:color w:val="auto"/>
        </w:rPr>
        <w:t>138% increase in international conversion rates; and</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50"/>
        </w:numPr>
        <w:rPr>
          <w:rFonts w:ascii="Arial" w:cs="Arial" w:eastAsia="Arial" w:hAnsi="Arial"/>
          <w:sz w:val="15"/>
          <w:szCs w:val="15"/>
          <w:color w:val="auto"/>
        </w:rPr>
      </w:pPr>
      <w:r>
        <w:rPr>
          <w:rFonts w:ascii="Arial" w:cs="Arial" w:eastAsia="Arial" w:hAnsi="Arial"/>
          <w:sz w:val="18"/>
          <w:szCs w:val="18"/>
          <w:color w:val="auto"/>
        </w:rPr>
        <w:t>successfully completing sales to more than 120 countries.</w:t>
      </w:r>
    </w:p>
    <w:p>
      <w:pPr>
        <w:spacing w:after="0" w:line="91" w:lineRule="exact"/>
        <w:rPr>
          <w:rFonts w:ascii="Arial" w:cs="Arial" w:eastAsia="Arial" w:hAnsi="Arial"/>
          <w:sz w:val="15"/>
          <w:szCs w:val="15"/>
          <w:color w:val="auto"/>
        </w:rPr>
      </w:pPr>
    </w:p>
    <w:p>
      <w:pPr>
        <w:ind w:left="920" w:hanging="218"/>
        <w:spacing w:after="0" w:line="23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Vincero Watches – </w:t>
      </w:r>
      <w:r>
        <w:rPr>
          <w:rFonts w:ascii="Arial" w:cs="Arial" w:eastAsia="Arial" w:hAnsi="Arial"/>
          <w:sz w:val="18"/>
          <w:szCs w:val="18"/>
          <w:color w:val="auto"/>
        </w:rPr>
        <w:t>a luxury watch brand based in the U.S., had cross-border sales accounting for 30% to 40%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However, the brand was seeking to combat some of the obstacles presented by the COVID-19 pandemic, as well as increase global shopper satisfaction, capitalize on international traffic, increase conversion rates and grow sales in key markets, in each case, by offering a premium and localized e-commerce experience. Vincero Watches engaged Global-e in April 2020 and in the four month period from May 2020 to August 2020 following the implementation of Global-e’s cross-border e-commerce solution, realized the following results relative to the same period in the prior year:</w:t>
      </w:r>
    </w:p>
    <w:p>
      <w:pPr>
        <w:spacing w:after="0" w:line="109" w:lineRule="exact"/>
        <w:rPr>
          <w:rFonts w:ascii="Arial" w:cs="Arial" w:eastAsia="Arial" w:hAnsi="Arial"/>
          <w:sz w:val="18"/>
          <w:szCs w:val="18"/>
          <w:color w:val="auto"/>
        </w:rPr>
      </w:pPr>
    </w:p>
    <w:p>
      <w:pPr>
        <w:ind w:left="1460" w:hanging="209"/>
        <w:spacing w:after="0"/>
        <w:tabs>
          <w:tab w:leader="none" w:pos="1460" w:val="left"/>
        </w:tabs>
        <w:numPr>
          <w:ilvl w:val="1"/>
          <w:numId w:val="50"/>
        </w:numPr>
        <w:rPr>
          <w:rFonts w:ascii="Arial" w:cs="Arial" w:eastAsia="Arial" w:hAnsi="Arial"/>
          <w:sz w:val="15"/>
          <w:szCs w:val="15"/>
          <w:color w:val="auto"/>
        </w:rPr>
      </w:pPr>
      <w:r>
        <w:rPr>
          <w:rFonts w:ascii="Arial" w:cs="Arial" w:eastAsia="Arial" w:hAnsi="Arial"/>
          <w:sz w:val="18"/>
          <w:szCs w:val="18"/>
          <w:color w:val="auto"/>
        </w:rPr>
        <w:t>31% increase in international conversion rates as compared to the same period in the prior year; and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460" w:right="320" w:hanging="209"/>
        <w:spacing w:after="0" w:line="239" w:lineRule="auto"/>
        <w:tabs>
          <w:tab w:leader="none" w:pos="1460" w:val="left"/>
        </w:tabs>
        <w:numPr>
          <w:ilvl w:val="1"/>
          <w:numId w:val="51"/>
        </w:numPr>
        <w:rPr>
          <w:rFonts w:ascii="Arial" w:cs="Arial" w:eastAsia="Arial" w:hAnsi="Arial"/>
          <w:sz w:val="15"/>
          <w:szCs w:val="15"/>
          <w:color w:val="auto"/>
        </w:rPr>
      </w:pPr>
      <w:r>
        <w:rPr>
          <w:rFonts w:ascii="Arial" w:cs="Arial" w:eastAsia="Arial" w:hAnsi="Arial"/>
          <w:sz w:val="18"/>
          <w:szCs w:val="18"/>
          <w:color w:val="auto"/>
        </w:rPr>
        <w:t>significant revenue increase in key markets, including 159% increase in the United Kingdom and 183% increase in the UAE, where conversion rates also were doubled.</w:t>
      </w:r>
    </w:p>
    <w:p>
      <w:pPr>
        <w:spacing w:after="0" w:line="87" w:lineRule="exact"/>
        <w:rPr>
          <w:rFonts w:ascii="Arial" w:cs="Arial" w:eastAsia="Arial" w:hAnsi="Arial"/>
          <w:sz w:val="15"/>
          <w:szCs w:val="15"/>
          <w:color w:val="auto"/>
        </w:rPr>
      </w:pPr>
    </w:p>
    <w:p>
      <w:pPr>
        <w:ind w:left="920" w:right="60" w:hanging="218"/>
        <w:spacing w:after="0" w:line="239"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Hackett London </w:t>
      </w:r>
      <w:r>
        <w:rPr>
          <w:rFonts w:ascii="Arial" w:cs="Arial" w:eastAsia="Arial" w:hAnsi="Arial"/>
          <w:sz w:val="18"/>
          <w:szCs w:val="18"/>
          <w:color w:val="auto"/>
        </w:rPr>
        <w:t>– a luxury clothing brand based in the United Kingdom, was selling its products online internationally, but faced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barriers that impacted its ability to fully realize its cross-border e-commerce potential. These barriers included a lack of support for calculating and pre-paying duties and taxes at checkout, and limited payment options. Hackett London therefore sought an advanced cross-border e-commerce solution to enable it to optimize their online international sales and provide shoppers with an enhanced online shopping experience. Hackett London engaged Global-e in June 2019 and in the following three months realized the following results relative to the same period in the prior year:</w:t>
      </w:r>
    </w:p>
    <w:p>
      <w:pPr>
        <w:spacing w:after="0" w:line="109" w:lineRule="exact"/>
        <w:rPr>
          <w:rFonts w:ascii="Arial" w:cs="Arial" w:eastAsia="Arial" w:hAnsi="Arial"/>
          <w:sz w:val="18"/>
          <w:szCs w:val="18"/>
          <w:color w:val="auto"/>
        </w:rPr>
      </w:pPr>
    </w:p>
    <w:p>
      <w:pPr>
        <w:ind w:left="1460" w:hanging="209"/>
        <w:spacing w:after="0"/>
        <w:tabs>
          <w:tab w:leader="none" w:pos="1460" w:val="left"/>
        </w:tabs>
        <w:numPr>
          <w:ilvl w:val="1"/>
          <w:numId w:val="51"/>
        </w:numPr>
        <w:rPr>
          <w:rFonts w:ascii="Arial" w:cs="Arial" w:eastAsia="Arial" w:hAnsi="Arial"/>
          <w:sz w:val="15"/>
          <w:szCs w:val="15"/>
          <w:color w:val="auto"/>
        </w:rPr>
      </w:pPr>
      <w:r>
        <w:rPr>
          <w:rFonts w:ascii="Arial" w:cs="Arial" w:eastAsia="Arial" w:hAnsi="Arial"/>
          <w:sz w:val="18"/>
          <w:szCs w:val="18"/>
          <w:color w:val="auto"/>
        </w:rPr>
        <w:t>77% increase in conversion rates</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51"/>
        </w:numPr>
        <w:rPr>
          <w:rFonts w:ascii="Arial" w:cs="Arial" w:eastAsia="Arial" w:hAnsi="Arial"/>
          <w:sz w:val="15"/>
          <w:szCs w:val="15"/>
          <w:color w:val="auto"/>
        </w:rPr>
      </w:pPr>
      <w:r>
        <w:rPr>
          <w:rFonts w:ascii="Arial" w:cs="Arial" w:eastAsia="Arial" w:hAnsi="Arial"/>
          <w:sz w:val="18"/>
          <w:szCs w:val="18"/>
          <w:color w:val="auto"/>
        </w:rPr>
        <w:t>75% increase in online international orders; and</w:t>
      </w:r>
    </w:p>
    <w:p>
      <w:pPr>
        <w:spacing w:after="0" w:line="113" w:lineRule="exact"/>
        <w:rPr>
          <w:rFonts w:ascii="Arial" w:cs="Arial" w:eastAsia="Arial" w:hAnsi="Arial"/>
          <w:sz w:val="15"/>
          <w:szCs w:val="15"/>
          <w:color w:val="auto"/>
        </w:rPr>
      </w:pPr>
    </w:p>
    <w:p>
      <w:pPr>
        <w:ind w:left="1460" w:hanging="209"/>
        <w:spacing w:after="0"/>
        <w:tabs>
          <w:tab w:leader="none" w:pos="1460" w:val="left"/>
        </w:tabs>
        <w:numPr>
          <w:ilvl w:val="1"/>
          <w:numId w:val="51"/>
        </w:numPr>
        <w:rPr>
          <w:rFonts w:ascii="Arial" w:cs="Arial" w:eastAsia="Arial" w:hAnsi="Arial"/>
          <w:sz w:val="15"/>
          <w:szCs w:val="15"/>
          <w:color w:val="auto"/>
        </w:rPr>
      </w:pPr>
      <w:r>
        <w:rPr>
          <w:rFonts w:ascii="Arial" w:cs="Arial" w:eastAsia="Arial" w:hAnsi="Arial"/>
          <w:sz w:val="18"/>
          <w:szCs w:val="18"/>
          <w:color w:val="auto"/>
        </w:rPr>
        <w:t>97% increase in international revenues.</w:t>
      </w:r>
    </w:p>
    <w:p>
      <w:pPr>
        <w:spacing w:after="0" w:line="101" w:lineRule="exact"/>
        <w:rPr>
          <w:sz w:val="20"/>
          <w:szCs w:val="20"/>
          <w:color w:val="auto"/>
        </w:rPr>
      </w:pPr>
    </w:p>
    <w:p>
      <w:pPr>
        <w:ind w:left="940" w:right="660"/>
        <w:spacing w:after="0" w:line="239" w:lineRule="auto"/>
        <w:rPr>
          <w:sz w:val="20"/>
          <w:szCs w:val="20"/>
          <w:color w:val="auto"/>
        </w:rPr>
      </w:pPr>
      <w:r>
        <w:rPr>
          <w:rFonts w:ascii="Arial" w:cs="Arial" w:eastAsia="Arial" w:hAnsi="Arial"/>
          <w:sz w:val="18"/>
          <w:szCs w:val="18"/>
          <w:color w:val="auto"/>
        </w:rPr>
        <w:t>Since engaging Global-e, Hackett London has also increased its global reach and is now actively selling to more than 70 international destinations.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Competitive Advantages</w:t>
      </w:r>
    </w:p>
    <w:p>
      <w:pPr>
        <w:spacing w:after="0" w:line="12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We believe that we have built a leading platform to address merchants’ cross-border e-commerce needs, creating a competitive advantage for our business. We believe our combination of capabilities and expertise uniquely positions us to cater to shoppers globally, driving significant uplifts in international sales conversion rates and revenue growth for our merchants, while also removing much of the complexity and many of the costs inherent to cross-border e-commerce.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competitive advantage include the following:</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Purpose-built, end-to-end platform</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understand the challenges and the strategic objectives of our merchants engaging in cross-border e-commerce. We provide merchants with the capabilities required for effective cross-border D2C trade, using a potent combination of our proprietary technology and third-party providers. Our solution is easy to integrate, platform-agnostic, scalable and able to support merchants of all sizes from small, emerging brands to the world’s largest retailers. We aspire to be inclusive and far-reaching in scope. We thus enable our merchants to expand internationally effectively, and to do so much more efficiently than previously possible.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True global cross-border enabler at scale</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We believe we are uniquely positioned to capture the cross-border e-commerce opportunity as a stand-out global, cross-border e-commerce enabler.</w:t>
      </w:r>
    </w:p>
    <w:p>
      <w:pPr>
        <w:spacing w:after="0" w:line="20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believe we are the only player with truly global scale. We have an extensive footprint in North America, the United Kingdom and across the EU, and we are penetrating the Asia Pacific (“APAC”) region. We are diversified by vertical and end-market. Our wide-reaching scale enables us to provide a solution to merchants across the globe. This scale, coupled with strong brand recognition gained since inception, has allowed us to acquire some of the largest merchants in the world as customers.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Differentiated and growing data asset driving flywheel effects</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Global-e platform is based on more than a technical solution and associated capabilities. It is based on data-driven know-how. Data permeates every layer of the Global-e platform. Data drives how</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we make decisions, how we develop and improve our offering, and how we make the shopper experience efficient and intuitive. We refer to this as “Smart Insights”, which enjoy strong flywheel effects as we continue to grow at pace driven by:</w:t>
      </w:r>
    </w:p>
    <w:p>
      <w:pPr>
        <w:spacing w:after="0" w:line="87" w:lineRule="exact"/>
        <w:rPr>
          <w:sz w:val="20"/>
          <w:szCs w:val="20"/>
          <w:color w:val="auto"/>
        </w:rPr>
      </w:pPr>
    </w:p>
    <w:p>
      <w:pPr>
        <w:jc w:val="both"/>
        <w:ind w:left="920" w:hanging="218"/>
        <w:spacing w:after="0" w:line="24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 Our platform facilitates millions of international transactions each year across hundreds of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spread across multiple geographies, product verticals, price levels, and shopper demographics. We thus accumulate a vast and rich data set and are able to benefit from </w:t>
      </w:r>
      <w:r>
        <w:rPr>
          <w:rFonts w:ascii="Arial" w:cs="Arial" w:eastAsia="Arial" w:hAnsi="Arial"/>
          <w:sz w:val="18"/>
          <w:szCs w:val="18"/>
          <w:i w:val="1"/>
          <w:iCs w:val="1"/>
          <w:color w:val="auto"/>
        </w:rPr>
        <w:t>economies of scale.</w:t>
      </w:r>
    </w:p>
    <w:p>
      <w:pPr>
        <w:spacing w:after="0" w:line="77" w:lineRule="exact"/>
        <w:rPr>
          <w:rFonts w:ascii="Arial" w:cs="Arial" w:eastAsia="Arial" w:hAnsi="Arial"/>
          <w:sz w:val="18"/>
          <w:szCs w:val="18"/>
          <w:color w:val="auto"/>
        </w:rPr>
      </w:pPr>
    </w:p>
    <w:p>
      <w:pPr>
        <w:ind w:left="920" w:right="60" w:hanging="218"/>
        <w:spacing w:after="0" w:line="24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skill” </w:t>
      </w:r>
      <w:r>
        <w:rPr>
          <w:rFonts w:ascii="Arial" w:cs="Arial" w:eastAsia="Arial" w:hAnsi="Arial"/>
          <w:sz w:val="18"/>
          <w:szCs w:val="18"/>
          <w:color w:val="auto"/>
        </w:rPr>
        <w:t>– Our massive and fast-growing data is a key asset due to the “richness” of its content. Based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data, and coupled with our operational experience accumulated over years, we are able to generate what we call </w:t>
      </w:r>
      <w:r>
        <w:rPr>
          <w:rFonts w:ascii="Arial" w:cs="Arial" w:eastAsia="Arial" w:hAnsi="Arial"/>
          <w:sz w:val="18"/>
          <w:szCs w:val="18"/>
          <w:i w:val="1"/>
          <w:iCs w:val="1"/>
          <w:color w:val="auto"/>
        </w:rPr>
        <w:t>economies of</w:t>
      </w:r>
      <w:r>
        <w:rPr>
          <w:rFonts w:ascii="Arial" w:cs="Arial" w:eastAsia="Arial" w:hAnsi="Arial"/>
          <w:sz w:val="18"/>
          <w:szCs w:val="18"/>
          <w:color w:val="auto"/>
        </w:rPr>
        <w:t xml:space="preserve"> </w:t>
      </w:r>
      <w:r>
        <w:rPr>
          <w:rFonts w:ascii="Arial" w:cs="Arial" w:eastAsia="Arial" w:hAnsi="Arial"/>
          <w:sz w:val="18"/>
          <w:szCs w:val="18"/>
          <w:i w:val="1"/>
          <w:iCs w:val="1"/>
          <w:color w:val="auto"/>
        </w:rPr>
        <w:t>skill</w:t>
      </w:r>
      <w:r>
        <w:rPr>
          <w:rFonts w:ascii="Arial" w:cs="Arial" w:eastAsia="Arial" w:hAnsi="Arial"/>
          <w:sz w:val="18"/>
          <w:szCs w:val="18"/>
          <w:color w:val="auto"/>
        </w:rPr>
        <w:t>, which enable us to ensure that cross-border sales are optimized for the merchants on a market-by-market basis.</w:t>
      </w:r>
    </w:p>
    <w:p>
      <w:pPr>
        <w:spacing w:after="0" w:line="77" w:lineRule="exact"/>
        <w:rPr>
          <w:rFonts w:ascii="Arial" w:cs="Arial" w:eastAsia="Arial" w:hAnsi="Arial"/>
          <w:sz w:val="18"/>
          <w:szCs w:val="18"/>
          <w:color w:val="auto"/>
        </w:rPr>
      </w:pPr>
    </w:p>
    <w:p>
      <w:pPr>
        <w:ind w:left="920" w:right="14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Flywheel Effects</w:t>
      </w:r>
      <w:r>
        <w:rPr>
          <w:rFonts w:ascii="Arial" w:cs="Arial" w:eastAsia="Arial" w:hAnsi="Arial"/>
          <w:sz w:val="18"/>
          <w:szCs w:val="18"/>
          <w:color w:val="auto"/>
        </w:rPr>
        <w:t>. Our rich data serves as the basis for a powerful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flywheel effect</w:t>
      </w:r>
      <w:r>
        <w:rPr>
          <w:rFonts w:ascii="Arial" w:cs="Arial" w:eastAsia="Arial" w:hAnsi="Arial"/>
          <w:sz w:val="18"/>
          <w:szCs w:val="18"/>
          <w:color w:val="auto"/>
        </w:rPr>
        <w:t>: the uplift we generate for our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drives more sales and 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 Our data engine gets “smarter” with each new site visit, each merchant and each new shopper.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Partner network fueling our differentiated go-to-market strategy</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Our go-to-market strategy targets merchants that want to establish or expand their cross-border e-commerce business. The effectiveness, prominence and stickiness of our platform have enabled us to acquire many of our merchants organically, supplementing the efforts of our professional salesforce. Many of our new merchants are referrals from existing merchants, which serve as brand ambassadors for Global-e. In addition, our commerce enabler, marketing, payments, shipping and logistics and social media partners, which include global and regional players, act as a meaningful source of referrals and lead generation. Our ability to leverage these relationships is an important source of inbound interest. This is further complemented by our highly efficient sales and marketing efforts. Our salespeople and account managers build intimate relationships with our merchant partners and are crucial in further expanding our merchant network.</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Robust business model with sticky customers and a compelling financial profile</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Global-e is a cross-border e-commerce enabler covering the entire shopper journey. Our platform is deeply integrated within merchants’ existing technology stack providing the core tools to power their day-to-day cross-border operations. As a result, we retain significant “stickiness” within our customer base. Not only do we retain our merchants – our merchants also grow with our platform, and we grow with them. Merchants process large and growing order volumes through our platform as we become increasingly integral to their daily business operations and as they realize the benefits of using the Global-e platform. An important component of our growth is our existing merchant base, which grows organically each year. Due to our consistently high retention rates, we have strong visibility into the subsequent year’s revenue by looking to our current merchants, in a given period. Attracting new merchants is also critical to the scale of our platform. We have developed a highly efficient marketing model. For the year ended December 31, 2019, our payback period, or the amount of time required to recover merchant acquisition costs in a given year from the merchants acquired in that year, based on the gross profit realized from such merchants in the following year, was less than six months. We continue to build our capabilities to further strengthen our model.</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320" w:top="456" w:right="6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Founder-led management team</w:t>
      </w:r>
    </w:p>
    <w:p>
      <w:pPr>
        <w:spacing w:after="0" w:line="123" w:lineRule="exact"/>
        <w:rPr>
          <w:sz w:val="20"/>
          <w:szCs w:val="20"/>
          <w:color w:val="auto"/>
        </w:rPr>
      </w:pPr>
    </w:p>
    <w:p>
      <w:pPr>
        <w:ind w:left="160" w:right="740" w:firstLine="546"/>
        <w:spacing w:after="0" w:line="239" w:lineRule="auto"/>
        <w:rPr>
          <w:sz w:val="20"/>
          <w:szCs w:val="20"/>
          <w:color w:val="auto"/>
        </w:rPr>
      </w:pPr>
      <w:r>
        <w:rPr>
          <w:rFonts w:ascii="Arial" w:cs="Arial" w:eastAsia="Arial" w:hAnsi="Arial"/>
          <w:sz w:val="18"/>
          <w:szCs w:val="18"/>
          <w:color w:val="auto"/>
        </w:rPr>
        <w:t>We are a founder-led management team with a strong corporate culture. We are privileged to be led by our founders, Amir Schlachet, Nir Debbi, and Shahar Tamari, who set the tone for our people:</w:t>
      </w:r>
    </w:p>
    <w:p>
      <w:pPr>
        <w:spacing w:after="0" w:line="87" w:lineRule="exact"/>
        <w:rPr>
          <w:sz w:val="20"/>
          <w:szCs w:val="20"/>
          <w:color w:val="auto"/>
        </w:rPr>
      </w:pPr>
    </w:p>
    <w:p>
      <w:pPr>
        <w:ind w:left="920" w:right="240" w:hanging="218"/>
        <w:spacing w:after="0" w:line="243"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Customer-Obsessed: </w:t>
      </w:r>
      <w:r>
        <w:rPr>
          <w:rFonts w:ascii="Arial" w:cs="Arial" w:eastAsia="Arial" w:hAnsi="Arial"/>
          <w:sz w:val="18"/>
          <w:szCs w:val="18"/>
          <w:color w:val="auto"/>
        </w:rPr>
        <w:t>We are firm believers in putting our customers first in everything we do. This is a principal tenet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We view the merchants as long-term partners and hold their satisfaction as our guiding principle. Our customer success teams have invaluable tools and data to support the merchants’ ongoing needs, as well as direct access to the senior leadership team, including our founders, to leverage on behalf of our merchant partners.</w:t>
      </w:r>
    </w:p>
    <w:p>
      <w:pPr>
        <w:spacing w:after="0" w:line="84" w:lineRule="exact"/>
        <w:rPr>
          <w:rFonts w:ascii="Arial" w:cs="Arial" w:eastAsia="Arial" w:hAnsi="Arial"/>
          <w:sz w:val="18"/>
          <w:szCs w:val="18"/>
          <w:color w:val="auto"/>
        </w:rPr>
      </w:pPr>
    </w:p>
    <w:p>
      <w:pPr>
        <w:ind w:left="920" w:right="20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Initiative and innovation driven: </w:t>
      </w:r>
      <w:r>
        <w:rPr>
          <w:rFonts w:ascii="Arial" w:cs="Arial" w:eastAsia="Arial" w:hAnsi="Arial"/>
          <w:sz w:val="18"/>
          <w:szCs w:val="18"/>
          <w:color w:val="auto"/>
        </w:rPr>
        <w:t>Our goal is to enable merchants to break geographic boundaries and become globally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businesses. As such, we invest millions in research and development each year, track trends in the e-commerce world across geographies and constantly improve our product offering. Similarly, we encourage our employees to expand the scope of their defined roles, to take initiative, and to elevate Global-e to the next level – every employee can, and does make a difference.</w:t>
      </w:r>
    </w:p>
    <w:p>
      <w:pPr>
        <w:spacing w:after="0" w:line="88" w:lineRule="exact"/>
        <w:rPr>
          <w:rFonts w:ascii="Arial" w:cs="Arial" w:eastAsia="Arial" w:hAnsi="Arial"/>
          <w:sz w:val="18"/>
          <w:szCs w:val="18"/>
          <w:color w:val="auto"/>
        </w:rPr>
      </w:pPr>
    </w:p>
    <w:p>
      <w:pPr>
        <w:jc w:val="both"/>
        <w:ind w:left="920" w:right="200" w:hanging="218"/>
        <w:spacing w:after="0" w:line="24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Team-Focused: </w:t>
      </w:r>
      <w:r>
        <w:rPr>
          <w:rFonts w:ascii="Arial" w:cs="Arial" w:eastAsia="Arial" w:hAnsi="Arial"/>
          <w:sz w:val="18"/>
          <w:szCs w:val="18"/>
          <w:color w:val="auto"/>
        </w:rPr>
        <w:t>We are a team. We believe in collaboration, from our founding team that has been working together since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inception to our employees across all our offices worldwide. Our hiring decisions are based on attracting people whose values align with ours: creating real, meaningful and sustainable value for our merchants.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Strategy</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Grow within our existing portfolio of merchants</w:t>
      </w:r>
    </w:p>
    <w:p>
      <w:pPr>
        <w:spacing w:after="0" w:line="123" w:lineRule="exact"/>
        <w:rPr>
          <w:sz w:val="20"/>
          <w:szCs w:val="20"/>
          <w:color w:val="auto"/>
        </w:rPr>
      </w:pPr>
    </w:p>
    <w:p>
      <w:pPr>
        <w:ind w:left="160" w:right="60" w:firstLine="546"/>
        <w:spacing w:after="0" w:line="249" w:lineRule="auto"/>
        <w:rPr>
          <w:sz w:val="20"/>
          <w:szCs w:val="20"/>
          <w:color w:val="auto"/>
        </w:rPr>
      </w:pPr>
      <w:r>
        <w:rPr>
          <w:rFonts w:ascii="Arial" w:cs="Arial" w:eastAsia="Arial" w:hAnsi="Arial"/>
          <w:sz w:val="17"/>
          <w:szCs w:val="17"/>
          <w:color w:val="auto"/>
        </w:rPr>
        <w:t>The merchants’ success is our success. We help merchants both grow revenues in their existing markets as well as expand into additional ones. As our merchants’ cross-border sales generated through our platform grow, attributed either to improved conversion or by expanding their offering into additional geographies, our revenues grow in tandem. Thus, we increase the “stickiness” of our solutions and become increasingly integral to our merchants’ daily businesses as they realize the benefits of using the Global-e platform. We also have a strong track record of merchants acting as ambassadors for Global-e, referring us to other portfolio brands, as applicable, and more generally, to other potential merchants. We intend to continue deepening our relationships with existing merchants through service and performance of the highest quality, allowing them to continue to serve as our brand ambassadors within and outside their organizations.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Acquire new merchants within existing geographies and verticals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have a significant opportunity to continue acquiring new merchants over time. Our strong revenue growth, coupled with our lean sales team, underscores the efficiency with which we are able to attract and retain merchants. Our merchant acquisition is highly efficient, leading to very attractive returns on marketing expense of less than six months. Further, we have proven the ability to rapidly integrate potential merchants with implementation cycles of 12 to 16 weeks on average, and as short as three weeks. We will continue to invest in our marketing and sales teams to enhance awareness of our solutions and to drive lead generation with our strategic partners. We see significant opportunities across multiple existing geographies and brand segments that we believe we are well-positioned to capture.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into additional geographies, verticals and brand segments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We will seek to further expand our geographic footprint and boost our presence across merchant verticals, as well as brand segments. We believe that markets in the vicinity of regions where we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already have a strong presence, in particular Europe and North America, and newer markets, such as APAC, are highly relevant for our business. While historically we have held a strong position in the mass market beauty and fashion segments, we have also achieved significant success with merchants in other segments, in particular, within the luxury segment, that we believe we can continue to capitalize on. As we continue to grow and expand into new geographies, through both new merchant acquisition and our existing portfolio of merchants expanding their offerings into additional geographies, we have the ability to reach new audiences in terms of sizes and verticals. Our growing brand recognition and know-how across our trading markets, enables us to acquire additional merchants more efficiently within current markets as well as new geographies.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Drive continuous innovation on our platform</w:t>
      </w:r>
    </w:p>
    <w:p>
      <w:pPr>
        <w:spacing w:after="0" w:line="123" w:lineRule="exact"/>
        <w:rPr>
          <w:sz w:val="20"/>
          <w:szCs w:val="20"/>
          <w:color w:val="auto"/>
        </w:rPr>
      </w:pPr>
    </w:p>
    <w:p>
      <w:pPr>
        <w:ind w:left="160" w:right="340" w:firstLine="546"/>
        <w:spacing w:after="0" w:line="249" w:lineRule="auto"/>
        <w:rPr>
          <w:sz w:val="20"/>
          <w:szCs w:val="20"/>
          <w:color w:val="auto"/>
        </w:rPr>
      </w:pPr>
      <w:r>
        <w:rPr>
          <w:rFonts w:ascii="Arial" w:cs="Arial" w:eastAsia="Arial" w:hAnsi="Arial"/>
          <w:sz w:val="17"/>
          <w:szCs w:val="17"/>
          <w:color w:val="auto"/>
        </w:rPr>
        <w:t>We will continue to invest in research and development and operate with an agile approach to address our merchants’ and shoppers’ constantly-evolving needs. We will strive to continue developing new capabilities and add-on offerings, as well as opportunistically look to complement our existing platform and offering through M&amp;A opportunities, to maintain Global-e’s position as a leading holistic platform for cross-border e-commerce, enabling efficient selling and purchasing processes for our stakeholders. For example, Global-e recently introduced to shoppers the ability to pay with cash upon delivery of the ordered goods or to collect shipped items at the merchant’s local store. Our ability to provide preferred payment and delivery methods in select geographies, such as Cash-on-Delivery-based payments and in-store pickup, contributes to higher conversion rates of shoppers from these geographies.</w:t>
      </w:r>
    </w:p>
    <w:p>
      <w:pPr>
        <w:spacing w:after="0" w:line="199"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also believe that our differentiated data capabilities and constantly-improving data models will allow us to stay at the forefront of e-commerce solutions. We believe our unique, big data-driven Smart Insights enable us to help our merchants deliver more precise, targeted, localized shopper experiences driving conversion and revenues and also manage their operations more efficiently through our superior ability to forecast and predict trends. We believe that data will be a key driver of future optimization and shopper monetization.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 to develop and expand our strategic partnerships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established mutually beneficial strategic partnerships with a range of key players in the broader e-commerce ecosystem, including global technology groups, e-commerce platforms, shipping providers, third-party logistics providers, payment providers and system integrators. Our channel partners have been a very important lead generation engine providing our sales team with a strong pipeline of prospective merchants. We intend to further strengthen our existing relationships, such as the recently-signed Services and Partnership Agreement with Shopify, and build new strategic partnerships with other key players across the value chain and in the different markets in which we operate.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Products and Technology</w:t>
      </w:r>
    </w:p>
    <w:p>
      <w:pPr>
        <w:spacing w:after="0" w:line="12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Our end-to-end platform helps merchants remove cross-border e-commerce complexity by empowering merchants with powerful and extensive localization capabilities embedded directly within their websites. Our technology creates a highly-localized shopper experience, which in turn drives increased sales conversion and revenue growth.</w:t>
      </w:r>
    </w:p>
    <w:p>
      <w:pPr>
        <w:spacing w:after="0" w:line="203" w:lineRule="exact"/>
        <w:rPr>
          <w:sz w:val="20"/>
          <w:szCs w:val="20"/>
          <w:color w:val="auto"/>
        </w:rPr>
      </w:pPr>
    </w:p>
    <w:p>
      <w:pPr>
        <w:ind w:left="160" w:right="100" w:firstLine="546"/>
        <w:spacing w:after="0" w:line="268" w:lineRule="auto"/>
        <w:rPr>
          <w:sz w:val="20"/>
          <w:szCs w:val="20"/>
          <w:color w:val="auto"/>
        </w:rPr>
      </w:pPr>
      <w:r>
        <w:rPr>
          <w:rFonts w:ascii="Arial" w:cs="Arial" w:eastAsia="Arial" w:hAnsi="Arial"/>
          <w:sz w:val="17"/>
          <w:szCs w:val="17"/>
          <w:color w:val="auto"/>
        </w:rPr>
        <w:t>The platform is built on a highly scalable tech stack which is powered by a robust layer of application programming interfaces (“APIs”) and data models, powering the shopper journey and allowing us to support a fast-growing and rapidly expanding merchant base.</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6"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Through a single, frictionless integration, the merchants’ websites can leverage the power of our platform. The integration technology, either through pre-fabricated e-commerce platform plug-ins, through the implementation of our API’s or through our generic script-based integration, which we refer to as Global-e Module, is based on a simple lightweight integration effort. Such integration effort ranges from a code snippet that is placed into a merchant’s existing online platform enabling us to deploy and integrate with minimal friction, to installation of our plug-ins and/or the implementation of a few of our API’s. After integration, shoppers continue to face the merchant’s existing storefront, and Global-e remains as a “white label” in the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145415</wp:posOffset>
            </wp:positionV>
            <wp:extent cx="5137785" cy="20974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37785" cy="209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Shopping experience features</w:t>
      </w:r>
    </w:p>
    <w:p>
      <w:pPr>
        <w:spacing w:after="0" w:line="114" w:lineRule="exact"/>
        <w:rPr>
          <w:sz w:val="20"/>
          <w:szCs w:val="20"/>
          <w:color w:val="auto"/>
        </w:rPr>
      </w:pPr>
    </w:p>
    <w:p>
      <w:pPr>
        <w:ind w:left="920" w:right="220" w:hanging="218"/>
        <w:spacing w:after="0" w:line="24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Localized browsing </w:t>
      </w:r>
      <w:r>
        <w:rPr>
          <w:rFonts w:ascii="Arial" w:cs="Arial" w:eastAsia="Arial" w:hAnsi="Arial"/>
          <w:sz w:val="18"/>
          <w:szCs w:val="18"/>
          <w:color w:val="auto"/>
        </w:rPr>
        <w:t>– We offer localized browsing features, such as a configurable welcome message or a top-line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banner that can be customized by market and presented in the local language. Customization breeds familiarity, reducing bounce rates, increasing conversion and improving shopper confidence through a local shopping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140335</wp:posOffset>
            </wp:positionV>
            <wp:extent cx="2675255" cy="1791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7525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hanging="218"/>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Local market pricing </w:t>
      </w:r>
      <w:r>
        <w:rPr>
          <w:rFonts w:ascii="Arial" w:cs="Arial" w:eastAsia="Arial" w:hAnsi="Arial"/>
          <w:sz w:val="18"/>
          <w:szCs w:val="18"/>
          <w:color w:val="auto"/>
        </w:rPr>
        <w:t>– We offer dynamic price translation to the shopper’s local currency based on market-specific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goals and in accordance with local pricing conventions (e.g. presenting prices in “dollar-ninety-nine” terms, such as $4.99 instead of $5.00, in relevant markets). Global-e offers support for payment in 100 global currencies, and we have found that more than 95% of shoppers choose to pay in their local currency when given the option. The below image shows examples of localized pricing in markets across the globe.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137785" cy="1537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37785"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0" w:hanging="218"/>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Localized checkout </w:t>
      </w:r>
      <w:r>
        <w:rPr>
          <w:rFonts w:ascii="Arial" w:cs="Arial" w:eastAsia="Arial" w:hAnsi="Arial"/>
          <w:sz w:val="18"/>
          <w:szCs w:val="18"/>
          <w:color w:val="auto"/>
        </w:rPr>
        <w:t>– Embedded within the brand’s e-commerce store, the Global-e checkout system supports over 25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languages, enabling shoppers to switch the checkout language to their own native tongue for a more customized and local experience. We have found that in some markets, approximately 20% of shoppers choose to switch to their local language at checkout, even if their native language wasn’t supported during browsing. Further, shoppers checkout within the merchant website without being redirected to a third-party site. The below image shows an example of a language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223520</wp:posOffset>
            </wp:positionV>
            <wp:extent cx="5137785" cy="21488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37785"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right="20" w:hanging="218"/>
        <w:spacing w:after="0" w:line="238"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Guaranteed landed cost </w:t>
      </w:r>
      <w:r>
        <w:rPr>
          <w:rFonts w:ascii="Arial" w:cs="Arial" w:eastAsia="Arial" w:hAnsi="Arial"/>
          <w:sz w:val="18"/>
          <w:szCs w:val="18"/>
          <w:color w:val="auto"/>
        </w:rPr>
        <w:t>– We provide shoppers with a “no-surprises” and guaranteed fully-landed cost. We offer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configurable by market, for handling import duties and taxes. For example, shoppers may select the option to prepay duties and/or taxes at checkout. We have found that on average more than 80% of shoppers from developed markets choose to pre-pay when given such option, despite the fact that it requires payment of a higher price at checkout. Alternatively, our platform has the capability to already embed this cost into the product price within the browsing journey (in full or partially), in order to facilitate an intuitive and frictionless smooth and user-friendly shopper journey. We believe this feature and options are critical in achieving high conversion rates across markets and promoting repeat shoppers.</w:t>
      </w:r>
    </w:p>
    <w:p>
      <w:pPr>
        <w:spacing w:after="0" w:line="96" w:lineRule="exact"/>
        <w:rPr>
          <w:rFonts w:ascii="Arial" w:cs="Arial" w:eastAsia="Arial" w:hAnsi="Arial"/>
          <w:sz w:val="18"/>
          <w:szCs w:val="18"/>
          <w:color w:val="auto"/>
        </w:rPr>
      </w:pPr>
    </w:p>
    <w:p>
      <w:pPr>
        <w:ind w:left="940" w:right="520"/>
        <w:spacing w:after="0" w:line="236" w:lineRule="auto"/>
        <w:rPr>
          <w:rFonts w:ascii="Arial" w:cs="Arial" w:eastAsia="Arial" w:hAnsi="Arial"/>
          <w:sz w:val="18"/>
          <w:szCs w:val="18"/>
          <w:color w:val="auto"/>
        </w:rPr>
      </w:pPr>
      <w:r>
        <w:rPr>
          <w:rFonts w:ascii="Arial" w:cs="Arial" w:eastAsia="Arial" w:hAnsi="Arial"/>
          <w:sz w:val="18"/>
          <w:szCs w:val="18"/>
          <w:color w:val="auto"/>
        </w:rPr>
        <w:t>In addition to achieving shopper confidence, pre-collection of import duties and taxes enables orders to be dispatched to shoppers under a “Delivery Duties Paid” scheme through relevant shipping carriers. This serves to greatly simplify and streamline the process of releasing the goods from customs at the destination market, in turn contributing to a quicker and simpler delivery experience for the shopper.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202565</wp:posOffset>
            </wp:positionV>
            <wp:extent cx="4373880" cy="25984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7388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hanging="218"/>
        <w:spacing w:after="0" w:line="262"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Multiple shipping options </w:t>
      </w:r>
      <w:r>
        <w:rPr>
          <w:rFonts w:ascii="Arial" w:cs="Arial" w:eastAsia="Arial" w:hAnsi="Arial"/>
          <w:sz w:val="17"/>
          <w:szCs w:val="17"/>
          <w:color w:val="auto"/>
        </w:rPr>
        <w:t>– Global-e’s platform allows merchants to choose from a menu of shipping options, offering shoppers</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 delivery alternatives, depending on the destination market: mail, express courier, Cash-on-Delivery, store delivery, drop point delivery and more. As part of its market-specific value proposition, merchants can decide which shipping methods to offer and how to price them, based on Global-e’s competitive shipping rates or through their own contracted shipping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211455</wp:posOffset>
            </wp:positionV>
            <wp:extent cx="3813175" cy="2352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13175"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right="10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Localized alternative payment methods </w:t>
      </w:r>
      <w:r>
        <w:rPr>
          <w:rFonts w:ascii="Arial" w:cs="Arial" w:eastAsia="Arial" w:hAnsi="Arial"/>
          <w:sz w:val="18"/>
          <w:szCs w:val="18"/>
          <w:color w:val="auto"/>
        </w:rPr>
        <w:t>– Preferred payment methods of shoppers differ from market to market. In some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such as the United States and United Kingdom, the use of global cards (Visa, MasterCard, etc.) is the most common payment method used. In others, local card, or universal alternative payment methods, such as PayPal, prevail. There are markets, both in developed and developing countries, where alternative payment methods are used more frequently than cards. For example, iDeal has the largest market share in the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spacing w:after="0" w:line="239" w:lineRule="auto"/>
        <w:rPr>
          <w:sz w:val="20"/>
          <w:szCs w:val="20"/>
          <w:color w:val="auto"/>
        </w:rPr>
      </w:pPr>
      <w:r>
        <w:rPr>
          <w:rFonts w:ascii="Arial" w:cs="Arial" w:eastAsia="Arial" w:hAnsi="Arial"/>
          <w:sz w:val="18"/>
          <w:szCs w:val="18"/>
          <w:color w:val="auto"/>
        </w:rPr>
        <w:t>Netherlands; while the majority of online payments in China are carried out through AliPay, WeChatPay, and the UnionPay card scheme. In other countries, payment options such as Cash-On-Delivery are popular.</w:t>
      </w:r>
    </w:p>
    <w:p>
      <w:pPr>
        <w:spacing w:after="0" w:line="96" w:lineRule="exact"/>
        <w:rPr>
          <w:sz w:val="20"/>
          <w:szCs w:val="20"/>
          <w:color w:val="auto"/>
        </w:rPr>
      </w:pPr>
    </w:p>
    <w:p>
      <w:pPr>
        <w:ind w:left="940" w:right="320"/>
        <w:spacing w:after="0" w:line="239" w:lineRule="auto"/>
        <w:rPr>
          <w:sz w:val="20"/>
          <w:szCs w:val="20"/>
          <w:color w:val="auto"/>
        </w:rPr>
      </w:pPr>
      <w:r>
        <w:rPr>
          <w:rFonts w:ascii="Arial" w:cs="Arial" w:eastAsia="Arial" w:hAnsi="Arial"/>
          <w:sz w:val="18"/>
          <w:szCs w:val="18"/>
          <w:color w:val="auto"/>
        </w:rPr>
        <w:t>In order to remove payment friction and ensure higher conversion rates, Global-e supports the use of a network of over 150 payment providers globally, granting shoppers in each market the ability to pay with their preferred local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222885</wp:posOffset>
            </wp:positionV>
            <wp:extent cx="1316355" cy="2394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16355"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20" w:right="200" w:hanging="218"/>
        <w:spacing w:after="0" w:line="258"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Real-time anti-fraud screening </w:t>
      </w:r>
      <w:r>
        <w:rPr>
          <w:rFonts w:ascii="Arial" w:cs="Arial" w:eastAsia="Arial" w:hAnsi="Arial"/>
          <w:sz w:val="17"/>
          <w:szCs w:val="17"/>
          <w:color w:val="auto"/>
        </w:rPr>
        <w:t>– Each order is scanned in real-time for potential payment fraud. Global-e utilizes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third-party screening services, coupled with proprietary algorithms and processes – all managed by a team of anti-fraud specialists. These capabilities enable Global-e to achieve high payment acceptance rates and low chargeback rates across international markets. The authorization/rejection decision is made in real time without the delays and costs associated with manual or semi-automatic transaction screening. This further contributes to a streamlined and satisfying shopper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213360</wp:posOffset>
            </wp:positionV>
            <wp:extent cx="3269615" cy="21316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6961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320" w:top="456" w:right="6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40" w:hanging="218"/>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customer services </w:t>
      </w:r>
      <w:r>
        <w:rPr>
          <w:rFonts w:ascii="Arial" w:cs="Arial" w:eastAsia="Arial" w:hAnsi="Arial"/>
          <w:sz w:val="18"/>
          <w:szCs w:val="18"/>
          <w:color w:val="auto"/>
        </w:rPr>
        <w:t>– Global-e operates a branded self-service and multi-lingual online customer service portal,</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contains answers to many frequently-asked questions that are typically raised post-sale by international shoppers regarding their orders. In addition, Global-e operates a manned contact center that serves to augment the brand’s own customer services team. Global-e’s contact center can provide either “behind the scenes” support for the merchant’s customer services team, or it can be in touch directly with the brand’s shoppers to handle their queries.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223520</wp:posOffset>
            </wp:positionV>
            <wp:extent cx="3286760" cy="20974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86760" cy="209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hanging="218"/>
        <w:spacing w:after="0" w:line="258" w:lineRule="auto"/>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Returns process </w:t>
      </w:r>
      <w:r>
        <w:rPr>
          <w:rFonts w:ascii="Arial" w:cs="Arial" w:eastAsia="Arial" w:hAnsi="Arial"/>
          <w:sz w:val="17"/>
          <w:szCs w:val="17"/>
          <w:color w:val="auto"/>
        </w:rPr>
        <w:t>– Global-e offers a comprehensive and efficient solution for product return management. Through Global-e’s</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branded and multi-lingual returns portal, shoppers are presented with multiple return options, according to the various returns services that the merchant enables for a given market. Returns options include self-postage, local return addresses, pre-paid postal labels and courier pick-ups. In addition, merchants set for each option an associated cost. Global-e deducts the return cost from the amount refunded to the shopper once merchants confirm successful receipt of the returned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Packaging and pricing</w:t>
      </w:r>
    </w:p>
    <w:p>
      <w:pPr>
        <w:spacing w:after="0" w:line="123" w:lineRule="exact"/>
        <w:rPr>
          <w:sz w:val="20"/>
          <w:szCs w:val="20"/>
          <w:color w:val="auto"/>
        </w:rPr>
      </w:pPr>
    </w:p>
    <w:p>
      <w:pPr>
        <w:jc w:val="both"/>
        <w:ind w:left="160" w:right="620" w:firstLine="546"/>
        <w:spacing w:after="0" w:line="237" w:lineRule="auto"/>
        <w:rPr>
          <w:sz w:val="20"/>
          <w:szCs w:val="20"/>
          <w:color w:val="auto"/>
        </w:rPr>
      </w:pPr>
      <w:r>
        <w:rPr>
          <w:rFonts w:ascii="Arial" w:cs="Arial" w:eastAsia="Arial" w:hAnsi="Arial"/>
          <w:sz w:val="18"/>
          <w:szCs w:val="18"/>
          <w:color w:val="auto"/>
        </w:rPr>
        <w:t>We support merchants of all sizes, and at various lifecycles, from small, emerging brands to the world’s globally-recognized retailers and high-end brands. Our platform offers a range of differentiated service levels, enabling us to cater to the different – and constantly evolving – needs of the merchants we serve.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Technology, infrastructure and operations</w:t>
      </w:r>
    </w:p>
    <w:p>
      <w:pPr>
        <w:spacing w:after="0" w:line="123"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We have designed our platform with enterprise-grade security, reliability, and scalability as top priorities. Core contributors to our strengths in these areas include:</w:t>
      </w:r>
    </w:p>
    <w:p>
      <w:pPr>
        <w:spacing w:after="0" w:line="87" w:lineRule="exact"/>
        <w:rPr>
          <w:sz w:val="20"/>
          <w:szCs w:val="20"/>
          <w:color w:val="auto"/>
        </w:rPr>
      </w:pPr>
    </w:p>
    <w:p>
      <w:pPr>
        <w:ind w:left="920" w:right="200" w:hanging="218"/>
        <w:spacing w:after="0" w:line="265"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Application architecture</w:t>
      </w:r>
      <w:r>
        <w:rPr>
          <w:rFonts w:ascii="Arial" w:cs="Arial" w:eastAsia="Arial" w:hAnsi="Arial"/>
          <w:sz w:val="18"/>
          <w:szCs w:val="18"/>
          <w:color w:val="auto"/>
        </w:rPr>
        <w:t>. We operate a proprietary and modern technology platform, organically developed by our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R&amp;D teams over a period of seven years, leveraging leading third-party software where applicable.</w:t>
      </w:r>
    </w:p>
    <w:p>
      <w:pPr>
        <w:spacing w:after="0" w:line="64" w:lineRule="exact"/>
        <w:rPr>
          <w:rFonts w:ascii="Arial" w:cs="Arial" w:eastAsia="Arial" w:hAnsi="Arial"/>
          <w:sz w:val="18"/>
          <w:szCs w:val="18"/>
          <w:color w:val="auto"/>
        </w:rPr>
      </w:pPr>
    </w:p>
    <w:p>
      <w:pPr>
        <w:ind w:left="920" w:right="300" w:hanging="218"/>
        <w:spacing w:after="0" w:line="265"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Infrastructure</w:t>
      </w:r>
      <w:r>
        <w:rPr>
          <w:rFonts w:ascii="Arial" w:cs="Arial" w:eastAsia="Arial" w:hAnsi="Arial"/>
          <w:sz w:val="18"/>
          <w:szCs w:val="18"/>
          <w:color w:val="auto"/>
        </w:rPr>
        <w:t>. Our platform is deployed via market standard cloud computing infrastructure, allowing us to easily scale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globally while maintaining optimal performance.</w:t>
      </w:r>
    </w:p>
    <w:p>
      <w:pPr>
        <w:spacing w:after="0" w:line="64" w:lineRule="exact"/>
        <w:rPr>
          <w:rFonts w:ascii="Arial" w:cs="Arial" w:eastAsia="Arial" w:hAnsi="Arial"/>
          <w:sz w:val="18"/>
          <w:szCs w:val="18"/>
          <w:color w:val="auto"/>
        </w:rPr>
      </w:pPr>
    </w:p>
    <w:p>
      <w:pPr>
        <w:ind w:left="920" w:right="220" w:hanging="218"/>
        <w:spacing w:after="0" w:line="265"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Disaster Recovery</w:t>
      </w:r>
      <w:r>
        <w:rPr>
          <w:rFonts w:ascii="Arial" w:cs="Arial" w:eastAsia="Arial" w:hAnsi="Arial"/>
          <w:sz w:val="18"/>
          <w:szCs w:val="18"/>
          <w:color w:val="auto"/>
        </w:rPr>
        <w:t>. We maintain a secondary cloud-based data center, holding a full stack of updated applications,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fully tested at least once a year, with the aim of ensuring the highest reliability for our shoppers.</w:t>
      </w:r>
    </w:p>
    <w:p>
      <w:pPr>
        <w:spacing w:after="0" w:line="64" w:lineRule="exact"/>
        <w:rPr>
          <w:rFonts w:ascii="Arial" w:cs="Arial" w:eastAsia="Arial" w:hAnsi="Arial"/>
          <w:sz w:val="18"/>
          <w:szCs w:val="18"/>
          <w:color w:val="auto"/>
        </w:rPr>
      </w:pPr>
    </w:p>
    <w:p>
      <w:pPr>
        <w:ind w:left="920" w:right="40" w:hanging="218"/>
        <w:spacing w:after="0" w:line="249"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We employ a multi-layer security approach utilizing both cloud infrastructure security and endpoint protection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the highest degree of security. We adhere with all major security standards, including: PCI/DSS, and GDPR. We perform penetration tests continuously throughout the year by external vendors to identify any vulnerabilities.</w:t>
      </w:r>
    </w:p>
    <w:p>
      <w:pPr>
        <w:spacing w:after="0" w:line="77" w:lineRule="exact"/>
        <w:rPr>
          <w:rFonts w:ascii="Arial" w:cs="Arial" w:eastAsia="Arial" w:hAnsi="Arial"/>
          <w:sz w:val="18"/>
          <w:szCs w:val="18"/>
          <w:color w:val="auto"/>
        </w:rPr>
      </w:pPr>
    </w:p>
    <w:p>
      <w:pPr>
        <w:ind w:left="920" w:right="40" w:hanging="218"/>
        <w:spacing w:after="0" w:line="265"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Uptime</w:t>
      </w:r>
      <w:r>
        <w:rPr>
          <w:rFonts w:ascii="Arial" w:cs="Arial" w:eastAsia="Arial" w:hAnsi="Arial"/>
          <w:sz w:val="18"/>
          <w:szCs w:val="18"/>
          <w:color w:val="auto"/>
        </w:rPr>
        <w:t>. Our platform maintains excellent service levels. Across all sites, our platform achieved over 99.9% average uptime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2020.</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2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The market for cross-border e-commerce enablement solutions is competitive, rapidly-evolving, highly fragmented, and subject to changing regulation, technology, merchant preferences and shopper demands. Our solution and platform compete with other online and offline services, and other solutions. While among them exist several direct competing solutions, many of these solutions and services only handle a specific section of the cross-border e-commerce value chain.</w:t>
      </w:r>
    </w:p>
    <w:p>
      <w:pPr>
        <w:spacing w:after="0" w:line="202"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As such, we believe that our existing direct competition fails to offer the same holistic solution based on our combination of global reach, end-to-end advanced feature set, number of merchant partners, accumulated data and insights, quality-of-service and local expertise as embedded in our platform. We are the chosen partner of some globally-recognized retailers and brands as well as some rapidly-growing emerging brands.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consider the following categories of services and solutions to be our primary and direct competition:</w:t>
      </w:r>
    </w:p>
    <w:p>
      <w:pPr>
        <w:spacing w:after="0" w:line="92" w:lineRule="exact"/>
        <w:rPr>
          <w:sz w:val="20"/>
          <w:szCs w:val="20"/>
          <w:color w:val="auto"/>
        </w:rPr>
      </w:pPr>
    </w:p>
    <w:p>
      <w:pPr>
        <w:ind w:left="920" w:hanging="218"/>
        <w:spacing w:after="0" w:line="239" w:lineRule="auto"/>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In-House D2C. </w:t>
      </w:r>
      <w:r>
        <w:rPr>
          <w:rFonts w:ascii="Arial" w:cs="Arial" w:eastAsia="Arial" w:hAnsi="Arial"/>
          <w:sz w:val="18"/>
          <w:szCs w:val="18"/>
          <w:color w:val="auto"/>
        </w:rPr>
        <w:t>Some merchants have built and managed international stores and prefer to maintain these operations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supported by third-party cross-border components. This DIY approach is expensive and complex to maintain, while also lacking the flexibility and know-how of local preferences that a specialized cross-border provider, such as Global-e, can provide. We believe that with the growing importance to merchants of cross-border D2C, coupled with market awareness of the advantages of using reputable and experienced cross border third parties, such as Global-e, the trend of shifting towards a third-party cross-border enabler will accelerate – with Global-e as the distinguished front runner.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2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Alternative, Cross-Border End-to-End Platforms. </w:t>
      </w:r>
      <w:r>
        <w:rPr>
          <w:rFonts w:ascii="Arial" w:cs="Arial" w:eastAsia="Arial" w:hAnsi="Arial"/>
          <w:sz w:val="18"/>
          <w:szCs w:val="18"/>
          <w:color w:val="auto"/>
        </w:rPr>
        <w:t>There are a limited number of cross-border platforms offering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in nature and breadth to those offered by Global-e. However, we believe that none of these providers have the combination of track record, variety of merchants, scale, feature set and data, to match Global-e’s overall offering. The level of sophistication embedded in our platform and solutions stemming from executing millions of transactions annually, across merchants in over 200 destination markets, is what makes us a leader in the world of cross-border ecommerce.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Though to a lesser extent, we believe our platform also indirectly competes with two primary categories of services and providers:</w:t>
      </w:r>
    </w:p>
    <w:p>
      <w:pPr>
        <w:spacing w:after="0" w:line="92" w:lineRule="exact"/>
        <w:rPr>
          <w:sz w:val="20"/>
          <w:szCs w:val="20"/>
          <w:color w:val="auto"/>
        </w:rPr>
      </w:pPr>
    </w:p>
    <w:p>
      <w:pPr>
        <w:ind w:left="920" w:right="100" w:hanging="218"/>
        <w:spacing w:after="0" w:line="237"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Legacy Players and Local Distributors. </w:t>
      </w:r>
      <w:r>
        <w:rPr>
          <w:rFonts w:ascii="Arial" w:cs="Arial" w:eastAsia="Arial" w:hAnsi="Arial"/>
          <w:sz w:val="18"/>
          <w:szCs w:val="18"/>
          <w:color w:val="auto"/>
        </w:rPr>
        <w:t>Merchants expanding abroad may partner with local distributors, granting them</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to operate in a given market. Licenses typically include an arrangement to sell goods through bricks-and-mortar locations as well as digital rights to the brand, effectively allowing the local licensee to manage the full client-facing relationship with international shoppers. This may cause frustration among shoppers, as local selection may be limited to best-selling products, and interactions with the merchant are routed through a middle-man. As merchants increasingly understand the value of their digital channels and leverage social media to interact directly with shoppers, we believe wide-ranging agreements with local distributors will continue to become less common, especially for digital D2C e-commerce. Nevertheless, some merchants are constrained by long-term, legacy agreements with distributors, preventing the merchant from directly selling to and interacting with shoppers in select (or all) foreign markets, at least for a certain period of time.</w:t>
      </w:r>
    </w:p>
    <w:p>
      <w:pPr>
        <w:spacing w:after="0" w:line="86" w:lineRule="exact"/>
        <w:rPr>
          <w:rFonts w:ascii="Arial" w:cs="Arial" w:eastAsia="Arial" w:hAnsi="Arial"/>
          <w:sz w:val="18"/>
          <w:szCs w:val="18"/>
          <w:color w:val="auto"/>
        </w:rPr>
      </w:pPr>
    </w:p>
    <w:p>
      <w:pPr>
        <w:ind w:left="920" w:right="120" w:hanging="218"/>
        <w:spacing w:after="0" w:line="237"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Non-D2C Online Channels. </w:t>
      </w:r>
      <w:r>
        <w:rPr>
          <w:rFonts w:ascii="Arial" w:cs="Arial" w:eastAsia="Arial" w:hAnsi="Arial"/>
          <w:sz w:val="18"/>
          <w:szCs w:val="18"/>
          <w:color w:val="auto"/>
        </w:rPr>
        <w:t>Non-D2C online channels, such as marketplaces, represent digital alternatives to the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distributor model. Such online channels are varied, ranging from local, multi-local, regional and global platforms. They generate online traffic from shoppers by marketing </w:t>
      </w:r>
      <w:r>
        <w:rPr>
          <w:rFonts w:ascii="Arial" w:cs="Arial" w:eastAsia="Arial" w:hAnsi="Arial"/>
          <w:sz w:val="18"/>
          <w:szCs w:val="18"/>
          <w:i w:val="1"/>
          <w:iCs w:val="1"/>
          <w:color w:val="auto"/>
        </w:rPr>
        <w:t>under the marketplace’s own brand</w:t>
      </w:r>
      <w:r>
        <w:rPr>
          <w:rFonts w:ascii="Arial" w:cs="Arial" w:eastAsia="Arial" w:hAnsi="Arial"/>
          <w:sz w:val="18"/>
          <w:szCs w:val="18"/>
          <w:color w:val="auto"/>
        </w:rPr>
        <w:t xml:space="preserve"> and command a fee, or “take rate” that may represent a meaningful percentage of the merchant’s revenue. To facilitate the transaction between shopper and seller, online channels may provide complimentary services such as payment acquiring, fraud protection, order management, and access to shipping providers. Merchants do not have direct access to shoppers; rather, they must list their products through the intermediary – i.e., the marketplace – to gain exposure. As such, by selling through non-D2C online channels, merchants often expose their brand to direct competition from other brands sold in parallel through such online channels (e.g. a common feature of marketplaces is “people who bought this also bought this” lists which may include different brands).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Employees</w:t>
      </w:r>
    </w:p>
    <w:p>
      <w:pPr>
        <w:spacing w:after="0" w:line="123" w:lineRule="exact"/>
        <w:rPr>
          <w:sz w:val="20"/>
          <w:szCs w:val="20"/>
          <w:color w:val="auto"/>
        </w:rPr>
      </w:pPr>
    </w:p>
    <w:p>
      <w:pPr>
        <w:jc w:val="both"/>
        <w:ind w:left="160" w:right="80" w:firstLine="546"/>
        <w:spacing w:after="0" w:line="237" w:lineRule="auto"/>
        <w:rPr>
          <w:sz w:val="20"/>
          <w:szCs w:val="20"/>
          <w:color w:val="auto"/>
        </w:rPr>
      </w:pPr>
      <w:r>
        <w:rPr>
          <w:rFonts w:ascii="Arial" w:cs="Arial" w:eastAsia="Arial" w:hAnsi="Arial"/>
          <w:sz w:val="18"/>
          <w:szCs w:val="18"/>
          <w:color w:val="auto"/>
        </w:rPr>
        <w:t>As of June 30, 2021, we had 365 employees worldwide, including 193 in research and development. Of these employees, 230 are in Israel and 135 are in our international locations. As of June 30, 2021, our single employee located in Spain was covered by a collective bargaining agreement.</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In regards to our Israeli employees, Israeli labor laws govern the length of the workday, minimum wages for employees, procedures for hiring and dismissing employees, determination of severance pay, annual leave, sick days, convalescence, advance notice of termination of employment, equal opportunity and anti-discrimination laws and other conditions of employment.</w:t>
      </w:r>
    </w:p>
    <w:p>
      <w:pPr>
        <w:spacing w:after="0" w:line="203" w:lineRule="exact"/>
        <w:rPr>
          <w:sz w:val="20"/>
          <w:szCs w:val="20"/>
          <w:color w:val="auto"/>
        </w:rPr>
      </w:pPr>
    </w:p>
    <w:p>
      <w:pPr>
        <w:ind w:left="160" w:right="60" w:firstLine="546"/>
        <w:spacing w:after="0" w:line="257" w:lineRule="auto"/>
        <w:rPr>
          <w:sz w:val="20"/>
          <w:szCs w:val="20"/>
          <w:color w:val="auto"/>
        </w:rPr>
      </w:pPr>
      <w:r>
        <w:rPr>
          <w:rFonts w:ascii="Arial" w:cs="Arial" w:eastAsia="Arial" w:hAnsi="Arial"/>
          <w:sz w:val="17"/>
          <w:szCs w:val="17"/>
          <w:color w:val="auto"/>
        </w:rPr>
        <w:t>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(“Section 14”), our executive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officers and key employees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202" w:lineRule="exact"/>
        <w:rPr>
          <w:sz w:val="20"/>
          <w:szCs w:val="20"/>
          <w:color w:val="auto"/>
        </w:rPr>
      </w:pPr>
    </w:p>
    <w:p>
      <w:pPr>
        <w:ind w:left="160" w:right="640" w:firstLine="546"/>
        <w:spacing w:after="0" w:line="239" w:lineRule="auto"/>
        <w:rPr>
          <w:sz w:val="20"/>
          <w:szCs w:val="20"/>
          <w:color w:val="auto"/>
        </w:rPr>
      </w:pPr>
      <w:r>
        <w:rPr>
          <w:rFonts w:ascii="Arial" w:cs="Arial" w:eastAsia="Arial" w:hAnsi="Arial"/>
          <w:sz w:val="18"/>
          <w:szCs w:val="18"/>
          <w:color w:val="auto"/>
        </w:rPr>
        <w:t>Extension orders issued by the Israeli Ministry of Economy and Industry apply to us and affect matters such as cost of living adjustments to salaries, length of working hours and week, recuperation pay, travel expenses and pension rights.</w:t>
      </w:r>
    </w:p>
    <w:p>
      <w:pPr>
        <w:spacing w:after="0" w:line="203" w:lineRule="exact"/>
        <w:rPr>
          <w:sz w:val="20"/>
          <w:szCs w:val="20"/>
          <w:color w:val="auto"/>
        </w:rPr>
      </w:pPr>
    </w:p>
    <w:p>
      <w:pPr>
        <w:ind w:left="160" w:right="800" w:firstLine="546"/>
        <w:spacing w:after="0" w:line="239" w:lineRule="auto"/>
        <w:rPr>
          <w:sz w:val="20"/>
          <w:szCs w:val="20"/>
          <w:color w:val="auto"/>
        </w:rPr>
      </w:pPr>
      <w:r>
        <w:rPr>
          <w:rFonts w:ascii="Arial" w:cs="Arial" w:eastAsia="Arial" w:hAnsi="Arial"/>
          <w:sz w:val="18"/>
          <w:szCs w:val="18"/>
          <w:color w:val="auto"/>
        </w:rPr>
        <w:t>We have never experienced labor-related work stoppages or strikes and believe that our relations with our employees are satisfactory.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consider our intellectual property rights, including those in our know-how and the software code of our proprietary technology, to be, in the aggregate, material to our business. We rely on a combination of contractual commitments and statutory and common law rights to protect our intellectual property rights in our technology and know-how. We seek to control access to our trade secrets and other confidential information related to our proprietary technology by entering into confidentiality agreements with our employees, consultants, merchants, vendors and business partners who have access to our confidential information, and we maintain policies and procedures designed to control access to and distribution of our confidential information.</w:t>
      </w:r>
    </w:p>
    <w:p>
      <w:pPr>
        <w:spacing w:after="0" w:line="202"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Our know-how is an important element of our business. The development and management of our platform requires sophisticated coordination among many skilled and specialized employees. Despite our efforts to protect our intellectual property rights in our technology and know-how, unauthorized parties may attempt to copy or obtain and use our technology to develop products and services with the same functionality as our platform. Policing unauthorized access to and use of our technology is difficult. Our competition could also independently develop technologies like ours, and our intellectual property rights may not be broad enough for us to prevent our competition from selling products and services incorporating those technologies. For more information, see “Risk Factors—Risks Relating to our Business and Industry—If we fail to adequately maintain, protect or enforce our intellectual property rights, our competitive position could be impaired and we may lose valuable assets, generate reduced revenue, and incur costly litigation to protect our rights.”</w:t>
      </w:r>
    </w:p>
    <w:p>
      <w:pPr>
        <w:spacing w:after="0" w:line="196"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own and use unregistered common law marks and service marks on or in connection with our proprietary technology and related services. While most of the intellectual property we use is owned by us, we have obtained rights to use intellectual property of third parties through licenses and services agreements. Although we believe these licenses are sufficient for the operation of our business, these licenses typically limit our use of the third parties’ intellectual property to specific uses and for specific time periods.</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From time to time, we may become involved in legal proceedings relating to intellectual property arising in the ordinary course of our business, including challenges to the validity of our intellectual property rights and claims of intellectual property infringement. For more information, see “Risk Factors—Risks Relating to our Business and Industry—We may incur costs to defend against, face liability for or be vulnerable to intellectual property infringement claims brought against us by others.” We are not presently and have never been a party to any such legal proceedings that, in the opinion of our management, would individually or taken together have a material adverse effect on our business, financial condition, results of operations or cash flows.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w:t>
      </w:r>
    </w:p>
    <w:p>
      <w:pPr>
        <w:spacing w:after="0" w:line="12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As with any company operating on the internet,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content regulation, intellectual property ownership and infringement, anti-money laundering, anti-corruption, product liability, consumer protection and export control. Changes to such laws and regulations could cause us or third-party partners on which we rely to incur additional costs and change our or their respective business practices in order to comply.</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Data Protection and Privacy</w:t>
      </w:r>
    </w:p>
    <w:p>
      <w:pPr>
        <w:spacing w:after="0" w:line="119"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We are subject to laws across several jurisdictions regarding privacy and protection of data. Data protection, privacy, cybersecurity, consumer protection, content regulation,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202"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For example, we are subject to Israel’s Privacy Protection Act, 5741-1981 (the “Privacy Protection Act”), and the more recent Privacy Protection Regulations (Data Security) 2017,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20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also subject to the General Data Protection Regulation (“GDPR”), as well as its implementing legislation in the EU member states. The GDPR implements stringent operational requirements regarding, among others, data use, sharing and processing, data breach notifications, data subject rights, and cross-border data transfers for entities collecting and/or processing personal data of EU residents and imposes significant penalties for non-compliance (up to EUR 20 million or up to 4% of the total worldwide annual turnover of the preceding financial year, whichever is higher). We are subject to a similar legal regime in the United Kingdom under the UK GDPR, which, together with the amended UK Data Protection Act 2018, retains the GDPR in UK national law. The UK GDPR mirrors the fines under the GDPR. The United Kingdom may also implement new or amended data protection legislation. We are also subject to Directive 2002/58 of the European Parliament on Privacy and Electronic Communications (the “ePrivacy Directive”), which requires entities to obtain informed and freely given consent for the placement of cookies and similar technologies on a user’s device and imposes restrictions on electronic marketing. We are also subject to Lei Geral de Proteção de Dados, which imposes similar requirements to the GDPR on the collection and processing of data of Brazilian residents. We are also subject to the California Consumer Privacy Act (“CCPA”), which imposes heightened transparency obligations, creates new data privacy rights for California residents, and carries significant enforcement penalties for non-compliance (up to $7,500 per intentional violation and $2,500 per other violation) as well as a private right of action for certain data breaches ($750 per incident, per consumer or actual damages, whichever is greater). We will also be subject to the California Privacy Rights Act (“CPRA”), which was passed into law on November 3, 2020 but which will</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not take substantial effect until January 1, 2023. Similar laws that have come into effect and are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 See “Risk Factors— Risks Related to our Business and Industry—We are subject to stringent and changing laws, regulations, standards and contractual obligations related to privacy, data protection, and data security. Our actual or perceived failure to comply with such obligations could harm our business.”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While it is generally the laws of the jurisdiction in which a business is located that apply, there is a risk that data protection regulators of other countries may seek jurisdiction over our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are subject to laws and regulations related to payments which are complex and vary across different jurisdictions. We are also subject to payment card association operating rules, certification requirements, and rules governing electronic funds transfers, including the PCI DSS, which could change or be reinterpreted to make it more difficult for us to comply. Any failure to comply with these rules or requirements may subject us to higher transaction fees, fines, penalties, damages, and civil liability, and may result in the loss of our ability to accept credit and debit card payments. Depending on how our platform evolves, we may be subject to additional laws in other jurisdictions across the world.</w:t>
      </w:r>
    </w:p>
    <w:p>
      <w:pPr>
        <w:spacing w:after="0" w:line="29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Anti-Corruption and Sanctions</w:t>
      </w:r>
    </w:p>
    <w:p>
      <w:pPr>
        <w:spacing w:after="0" w:line="11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We are subject to laws and regulations of the jurisdictions in which we operate, including the United States, United Kingdom, EU and Israel, that govern or restrict our business and activities in certain countries and with certain persons, including the economic sanctions regulations administered by the U.S. Treasury Department’s Office of Foreign Assets Control, and the export control laws administered by the U.S. Commerce Department’s Bureau of Industry and Security and the U.S. State Department’s Directorate of Defense Trade Controls. See “Risk Factors—Risks Related to our Business and Industry—We are subject to governmental export controls that may subject us to liability if we are not in full compliance with applicable economic sanctions and export control laws.”</w:t>
      </w:r>
    </w:p>
    <w:p>
      <w:pPr>
        <w:spacing w:after="0" w:line="202"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Additionally, we are subject to anti-corruption, anti-bribery, anti-money laundering and similar laws, such as the FCPA, U.S. domestic bribery statute contained in 18 U.S.C. 201, U.S. Travel Act, the USA PATRIOT Act, the U.K. Bribery Act 2010, Chapter 9 (sub-chapter 5) of the Israeli Penal Law, 1977, the Israeli Prohibition on Money Laundering Law–2000 and other applicable laws in the jurisdictions in which we operate. Historically, technology companies have been the target of FCPA and other anti-corruption investigations and penalties. See “Risk Factors—Risks Related to our Business and Industry—We are subject to anti-corruption, anti-bribery, anti-money laundering and similar laws, and non-compliance with such laws can subject us to criminal penalties or significant fines and harm our business and reputation.”</w:t>
      </w:r>
    </w:p>
    <w:p>
      <w:pPr>
        <w:spacing w:after="0" w:line="206"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Further, we are currently subject to a variety of laws and regulations related specifically to payment processing, including those governing cross-border and domestic money transmission, gift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cards and other prepaid access instruments, electronic funds transfers, foreign exchange, counter-terrorist financing, banking and import and export restrictions.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Concern about the use of e-commerce platforms for illegal conduct, such as money laundering or to support terrorist activities, may in the future result in legislation or other governmental action that could require changes to our platform or impose additional compliance burdens and costs on us. See “Risk Factors—Risks Related to our Business and Industry—Changes in laws and regulations related to the internet or changes in the internet infrastructure itself may diminish the demand for our platform and services, and could harm our business.”</w:t>
      </w:r>
    </w:p>
    <w:p>
      <w:pPr>
        <w:spacing w:after="0" w:line="204"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Depending on how our platform evolves, we may become subject to additional laws in the United States, the United Kingdom, the EU, Israel and elsewhere.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are headquartered in Petah-Tikva, Israel, where we occupy approximately 17,425 square feet of office space pursuant to a lease that expires on September 30, 2023. On August 1, 2021, we entered into a new lease for office space in Petah-Tikva, Israel, for a total of 73,948 square feet, which office space will replace our existing office in Petah-Tikva. We currently lease additional office space in Israel, the UK and the US, and we are party to agreements whereby we have access to and the right to use certain office space in the US, France and Japan. We do not own any real property. We intend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 and Directors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the name and position of each of our executive officers and directors as of the date of this prospectus:</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5400" w:type="dxa"/>
            <w:vAlign w:val="bottom"/>
          </w:tcPr>
          <w:p>
            <w:pPr>
              <w:spacing w:after="0"/>
              <w:rPr>
                <w:sz w:val="16"/>
                <w:szCs w:val="16"/>
                <w:color w:val="auto"/>
              </w:rPr>
            </w:pPr>
          </w:p>
        </w:tc>
        <w:tc>
          <w:tcPr>
            <w:tcW w:w="512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Position</w:t>
            </w:r>
          </w:p>
        </w:tc>
      </w:tr>
      <w:tr>
        <w:trPr>
          <w:trHeight w:val="173"/>
        </w:trPr>
        <w:tc>
          <w:tcPr>
            <w:tcW w:w="580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5120" w:type="dxa"/>
            <w:vAlign w:val="bottom"/>
          </w:tcPr>
          <w:p>
            <w:pPr>
              <w:spacing w:after="0"/>
              <w:rPr>
                <w:sz w:val="15"/>
                <w:szCs w:val="15"/>
                <w:color w:val="auto"/>
              </w:rPr>
            </w:pP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Amir Schlachet</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Co-Founder, Chief Executive Officer, 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Shahar Tamari</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Co-Founder, Chief Operations Officer, 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Nir Debbi</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Co-Founder, President, 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Ofer Koren</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Eden Zaharoni</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Chief Technology Officer</w:t>
            </w:r>
          </w:p>
        </w:tc>
      </w:tr>
      <w:tr>
        <w:trPr>
          <w:trHeight w:val="213"/>
        </w:trPr>
        <w:tc>
          <w:tcPr>
            <w:tcW w:w="5800" w:type="dxa"/>
            <w:vAlign w:val="bottom"/>
            <w:gridSpan w:val="2"/>
          </w:tcPr>
          <w:p>
            <w:pPr>
              <w:spacing w:after="0"/>
              <w:rPr>
                <w:sz w:val="20"/>
                <w:szCs w:val="20"/>
                <w:color w:val="auto"/>
              </w:rPr>
            </w:pPr>
            <w:r>
              <w:rPr>
                <w:rFonts w:ascii="Arial" w:cs="Arial" w:eastAsia="Arial" w:hAnsi="Arial"/>
                <w:sz w:val="18"/>
                <w:szCs w:val="18"/>
                <w:color w:val="auto"/>
              </w:rPr>
              <w:t>Ran Fridman</w:t>
            </w:r>
          </w:p>
        </w:tc>
        <w:tc>
          <w:tcPr>
            <w:tcW w:w="5120" w:type="dxa"/>
            <w:vAlign w:val="bottom"/>
          </w:tcPr>
          <w:p>
            <w:pPr>
              <w:spacing w:after="0"/>
              <w:rPr>
                <w:sz w:val="20"/>
                <w:szCs w:val="20"/>
                <w:color w:val="auto"/>
              </w:rPr>
            </w:pPr>
            <w:r>
              <w:rPr>
                <w:rFonts w:ascii="Arial" w:cs="Arial" w:eastAsia="Arial" w:hAnsi="Arial"/>
                <w:sz w:val="18"/>
                <w:szCs w:val="18"/>
                <w:color w:val="auto"/>
              </w:rPr>
              <w:t>Chief Revenue Officer</w:t>
            </w:r>
          </w:p>
        </w:tc>
      </w:tr>
      <w:tr>
        <w:trPr>
          <w:trHeight w:val="295"/>
        </w:trPr>
        <w:tc>
          <w:tcPr>
            <w:tcW w:w="580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5120" w:type="dxa"/>
            <w:vAlign w:val="bottom"/>
          </w:tcPr>
          <w:p>
            <w:pPr>
              <w:spacing w:after="0"/>
              <w:rPr>
                <w:sz w:val="24"/>
                <w:szCs w:val="24"/>
                <w:color w:val="auto"/>
              </w:rPr>
            </w:pP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Thomas Studd</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Miguel Angel Parra</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Tzvia Broida</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Anna Bakst</w:t>
            </w: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13"/>
        </w:trPr>
        <w:tc>
          <w:tcPr>
            <w:tcW w:w="5800" w:type="dxa"/>
            <w:vAlign w:val="bottom"/>
            <w:gridSpan w:val="2"/>
          </w:tcPr>
          <w:p>
            <w:pPr>
              <w:spacing w:after="0"/>
              <w:rPr>
                <w:sz w:val="20"/>
                <w:szCs w:val="20"/>
                <w:color w:val="auto"/>
              </w:rPr>
            </w:pPr>
            <w:r>
              <w:rPr>
                <w:rFonts w:ascii="Arial" w:cs="Arial" w:eastAsia="Arial" w:hAnsi="Arial"/>
                <w:sz w:val="18"/>
                <w:szCs w:val="18"/>
                <w:color w:val="auto"/>
              </w:rPr>
              <w:t>Iris Epple-Righi</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5"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i w:val="1"/>
          <w:iCs w:val="1"/>
          <w:color w:val="auto"/>
        </w:rPr>
        <w:t xml:space="preserve">Amir Schlachet </w:t>
      </w:r>
      <w:r>
        <w:rPr>
          <w:rFonts w:ascii="Arial" w:cs="Arial" w:eastAsia="Arial" w:hAnsi="Arial"/>
          <w:sz w:val="18"/>
          <w:szCs w:val="18"/>
          <w:color w:val="auto"/>
        </w:rPr>
        <w:t>is our Co-Founder and has served as our Chief Executive Officer since May 1, 2013. Mr. Schlachet has also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a member of our board of directors since February 20, 2013. Prior to co-founding Global-e, Mr. Schlachet served as SVP and strategic advisor to the chief executive officer of Bank Hapoalim, after serving several years as a management consultant with McKinsey &amp; Company. Mr. Schlachet holds an M.B.A. from INSEAD, an M.Sc. in Electrical Engineering from Tel-Aviv University and a B.Sc. in Mathematics, Physics and Computer Science from the Hebrew University of Jerusalem.</w:t>
      </w:r>
    </w:p>
    <w:p>
      <w:pPr>
        <w:spacing w:after="0" w:line="186"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i w:val="1"/>
          <w:iCs w:val="1"/>
          <w:color w:val="auto"/>
        </w:rPr>
        <w:t xml:space="preserve">Shahar Tamari </w:t>
      </w:r>
      <w:r>
        <w:rPr>
          <w:rFonts w:ascii="Arial" w:cs="Arial" w:eastAsia="Arial" w:hAnsi="Arial"/>
          <w:sz w:val="18"/>
          <w:szCs w:val="18"/>
          <w:color w:val="auto"/>
        </w:rPr>
        <w:t>is our Co-Founder and has served as our Chief Operations Officer since May 1, 2013. Mr. Tamari has also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a member of our board of directors since February 21, 2013. Mr. Tamari previously served as the VP and Head of e-payments for 888 Holdings from February 2009 until May 2013. Prior to that, he served as Head of e-Banking Business Development with Bank Hapoalim for seven years, from October 2001 until January 2009. Mr. Tamari received an M.Sc. in Technology Management and Information Systems, and a B.A. in Business Administration, both from Tel Aviv University.</w:t>
      </w:r>
    </w:p>
    <w:p>
      <w:pPr>
        <w:spacing w:after="0" w:line="186" w:lineRule="exact"/>
        <w:rPr>
          <w:sz w:val="20"/>
          <w:szCs w:val="20"/>
          <w:color w:val="auto"/>
        </w:rPr>
      </w:pPr>
    </w:p>
    <w:p>
      <w:pPr>
        <w:ind w:left="160" w:right="60" w:firstLine="546"/>
        <w:spacing w:after="0" w:line="242" w:lineRule="auto"/>
        <w:rPr>
          <w:sz w:val="20"/>
          <w:szCs w:val="20"/>
          <w:color w:val="auto"/>
        </w:rPr>
      </w:pPr>
      <w:r>
        <w:rPr>
          <w:rFonts w:ascii="Arial" w:cs="Arial" w:eastAsia="Arial" w:hAnsi="Arial"/>
          <w:sz w:val="18"/>
          <w:szCs w:val="18"/>
          <w:i w:val="1"/>
          <w:iCs w:val="1"/>
          <w:color w:val="auto"/>
        </w:rPr>
        <w:t xml:space="preserve">Nir Debbi </w:t>
      </w:r>
      <w:r>
        <w:rPr>
          <w:rFonts w:ascii="Arial" w:cs="Arial" w:eastAsia="Arial" w:hAnsi="Arial"/>
          <w:sz w:val="18"/>
          <w:szCs w:val="18"/>
          <w:color w:val="auto"/>
        </w:rPr>
        <w:t>is our Co-Founder and has served as our President since July 1, 2021 and previously served as our Chief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May 1, 2013 to July 1, 2021. Mr. Debbi has also served as member of our board of directors since February 20, 2013. Prior to co-founding Global-e, Mr. Debbi served as SVP and Head of Strategy and Business Development at Bank Hapoalim, following a term as Head of Retail Strategy. Mr. Debbi holds an M.B.A and a B.Sc. in Economics, both from Tel-Aviv University.</w:t>
      </w:r>
    </w:p>
    <w:p>
      <w:pPr>
        <w:spacing w:after="0" w:line="182" w:lineRule="exact"/>
        <w:rPr>
          <w:sz w:val="20"/>
          <w:szCs w:val="20"/>
          <w:color w:val="auto"/>
        </w:rPr>
      </w:pPr>
    </w:p>
    <w:p>
      <w:pPr>
        <w:ind w:left="160" w:right="220" w:firstLine="546"/>
        <w:spacing w:after="0" w:line="242" w:lineRule="auto"/>
        <w:rPr>
          <w:sz w:val="20"/>
          <w:szCs w:val="20"/>
          <w:color w:val="auto"/>
        </w:rPr>
      </w:pPr>
      <w:r>
        <w:rPr>
          <w:rFonts w:ascii="Arial" w:cs="Arial" w:eastAsia="Arial" w:hAnsi="Arial"/>
          <w:sz w:val="18"/>
          <w:szCs w:val="18"/>
          <w:i w:val="1"/>
          <w:iCs w:val="1"/>
          <w:color w:val="auto"/>
        </w:rPr>
        <w:t xml:space="preserve">Ofer Koren </w:t>
      </w:r>
      <w:r>
        <w:rPr>
          <w:rFonts w:ascii="Arial" w:cs="Arial" w:eastAsia="Arial" w:hAnsi="Arial"/>
          <w:sz w:val="18"/>
          <w:szCs w:val="18"/>
          <w:color w:val="auto"/>
        </w:rPr>
        <w:t>has served as our Chief Financial Officer since August 1, 2020. Prior to joining us, Mr. Koren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deputy chief executive officer at Bank Hapoalim as well as in various strategy and business development roles. Prior to that, Mr. Koren was a partner with Deloitte-Monitor Management Consulting (previously Trigger-Foresight). Mr. Koren holds an M.B.A. from Tel-Aviv University and a B.Sc. in Economics from Haifa University.</w:t>
      </w:r>
    </w:p>
    <w:p>
      <w:pPr>
        <w:spacing w:after="0" w:line="182" w:lineRule="exact"/>
        <w:rPr>
          <w:sz w:val="20"/>
          <w:szCs w:val="20"/>
          <w:color w:val="auto"/>
        </w:rPr>
      </w:pPr>
    </w:p>
    <w:p>
      <w:pPr>
        <w:ind w:left="160" w:right="820" w:firstLine="546"/>
        <w:spacing w:after="0" w:line="260" w:lineRule="auto"/>
        <w:rPr>
          <w:sz w:val="20"/>
          <w:szCs w:val="20"/>
          <w:color w:val="auto"/>
        </w:rPr>
      </w:pPr>
      <w:r>
        <w:rPr>
          <w:rFonts w:ascii="Arial" w:cs="Arial" w:eastAsia="Arial" w:hAnsi="Arial"/>
          <w:sz w:val="18"/>
          <w:szCs w:val="18"/>
          <w:i w:val="1"/>
          <w:iCs w:val="1"/>
          <w:color w:val="auto"/>
        </w:rPr>
        <w:t xml:space="preserve">Eden Zaharoni </w:t>
      </w:r>
      <w:r>
        <w:rPr>
          <w:rFonts w:ascii="Arial" w:cs="Arial" w:eastAsia="Arial" w:hAnsi="Arial"/>
          <w:sz w:val="18"/>
          <w:szCs w:val="18"/>
          <w:color w:val="auto"/>
        </w:rPr>
        <w:t>has served as our Chief Technology Officer since August 11, 2013 and as our Vice President, Research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August 2013. Mr. Zaharoni served as the Chief</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40"/>
        <w:spacing w:after="0" w:line="237" w:lineRule="auto"/>
        <w:rPr>
          <w:sz w:val="20"/>
          <w:szCs w:val="20"/>
          <w:color w:val="auto"/>
        </w:rPr>
      </w:pPr>
      <w:r>
        <w:rPr>
          <w:rFonts w:ascii="Arial" w:cs="Arial" w:eastAsia="Arial" w:hAnsi="Arial"/>
          <w:sz w:val="18"/>
          <w:szCs w:val="18"/>
          <w:color w:val="auto"/>
        </w:rPr>
        <w:t>Technology Officer of Snoox, a platform that was founded by BBDO group, from March 2012 until August 2013. Prior to that, he served as the Vice President, Research &amp; Development of Cent2Cent from January 2011 to February 2012 and held several management positions at 888 Holdings.</w:t>
      </w:r>
    </w:p>
    <w:p>
      <w:pPr>
        <w:spacing w:after="0" w:line="185" w:lineRule="exact"/>
        <w:rPr>
          <w:sz w:val="20"/>
          <w:szCs w:val="20"/>
          <w:color w:val="auto"/>
        </w:rPr>
      </w:pPr>
    </w:p>
    <w:p>
      <w:pPr>
        <w:ind w:left="160" w:right="100" w:firstLine="546"/>
        <w:spacing w:after="0" w:line="246" w:lineRule="auto"/>
        <w:rPr>
          <w:sz w:val="20"/>
          <w:szCs w:val="20"/>
          <w:color w:val="auto"/>
        </w:rPr>
      </w:pPr>
      <w:r>
        <w:rPr>
          <w:rFonts w:ascii="Arial" w:cs="Arial" w:eastAsia="Arial" w:hAnsi="Arial"/>
          <w:sz w:val="18"/>
          <w:szCs w:val="18"/>
          <w:i w:val="1"/>
          <w:iCs w:val="1"/>
          <w:color w:val="auto"/>
        </w:rPr>
        <w:t xml:space="preserve">Ran Fridman </w:t>
      </w:r>
      <w:r>
        <w:rPr>
          <w:rFonts w:ascii="Arial" w:cs="Arial" w:eastAsia="Arial" w:hAnsi="Arial"/>
          <w:sz w:val="18"/>
          <w:szCs w:val="18"/>
          <w:color w:val="auto"/>
        </w:rPr>
        <w:t>has served as our Chief Revenue Officer since July 1, 2021. Prior to joining us, Mr. Fridman served as the global VP</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Allot. Prior to that, he served in multiple global sales positions, including at Nokia, where he held numerous roles within senior global management, sales, and sales support.</w:t>
      </w:r>
    </w:p>
    <w:p>
      <w:pPr>
        <w:spacing w:after="0" w:line="175"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i w:val="1"/>
          <w:iCs w:val="1"/>
          <w:color w:val="auto"/>
        </w:rPr>
        <w:t xml:space="preserve">Non-Executive Directors </w:t>
      </w:r>
      <w:r>
        <w:rPr>
          <w:rFonts w:ascii="Arial" w:cs="Arial" w:eastAsia="Arial" w:hAnsi="Arial"/>
          <w:sz w:val="18"/>
          <w:szCs w:val="18"/>
          <w:i w:val="1"/>
          <w:iCs w:val="1"/>
          <w:color w:val="auto"/>
        </w:rPr>
        <w:t>Thomas Studd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the representative of Vitruvian Directors I Limited on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April 30, 2020. Mr. Studd has been a Partner at Vitruvian Partners LLP since 2016, prior to which he served as Principal from 2013 to 2016 and Vice President from 2009 to 2013. Mr. Studd has served as a director of Carwow Ltd. since 2017, and previously served as the representative of Vitruvian Directors I Limited on the Vestiaire Collective SA from 2016 to 2017, JacTravel Group from 2014 to 2017 and Lausanne Toa Co Ltd. from 2011 to 2016. Mr. Studd holds a MPhys in Physics from the University of Oxford and an M.B.A. from INSEAD.</w:t>
      </w:r>
    </w:p>
    <w:p>
      <w:pPr>
        <w:spacing w:after="0" w:line="185"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i w:val="1"/>
          <w:iCs w:val="1"/>
          <w:color w:val="auto"/>
        </w:rPr>
        <w:t xml:space="preserve">Miguel Angel Parra </w:t>
      </w:r>
      <w:r>
        <w:rPr>
          <w:rFonts w:ascii="Arial" w:cs="Arial" w:eastAsia="Arial" w:hAnsi="Arial"/>
          <w:sz w:val="18"/>
          <w:szCs w:val="18"/>
          <w:color w:val="auto"/>
        </w:rPr>
        <w:t>has served as a member of our board of directors since January 1, 2020. Mr. Parra currently serves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DHL Express since 2014, prior to which he served in numerous management positions, since 1997. Prior to that, from 1986 to 1997, Mr. Parra served as a general manager of TNT Express Worldwide. Mr. Parra holds an associate’s degree in Business from Miami-Dade Community College and is a graduate of the Advanced Management Program of Fuqua School of Business Duke University.</w:t>
      </w:r>
    </w:p>
    <w:p>
      <w:pPr>
        <w:spacing w:after="0" w:line="186"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i w:val="1"/>
          <w:iCs w:val="1"/>
          <w:color w:val="auto"/>
        </w:rPr>
        <w:t xml:space="preserve">Tzvia Broida </w:t>
      </w:r>
      <w:r>
        <w:rPr>
          <w:rFonts w:ascii="Arial" w:cs="Arial" w:eastAsia="Arial" w:hAnsi="Arial"/>
          <w:sz w:val="18"/>
          <w:szCs w:val="18"/>
          <w:color w:val="auto"/>
        </w:rPr>
        <w:t>has served as a member of our board of directors since May 14, 2021. Since December 2013, Ms. Broida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board of directors and as chairperson of the audit committee of Jacada Ltd. (JCDAF). Since 2021, Ms. Broida has also served as the Chief Financial Officer of NeuroBlade Ltd. Before joining NeuroBlade, Ms. Broida served as the Chief Financial Officer of Sensible Medical Innovations Ltd from 2011 to 2021. Prior to that, Ms. Broida served in various positions at Jacada Ltd, including as Chief Financial Officer from 2005 to 2009, and before that she worked as an accountant at Yehuda Ehrlich &amp; Partners and Vexler, Kodenzick &amp; Partners. Ms. Broida received a B.A. in Accounting &amp; Economics from the Hebrew University of Jerusalem.</w:t>
      </w:r>
    </w:p>
    <w:p>
      <w:pPr>
        <w:spacing w:after="0" w:line="186"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i w:val="1"/>
          <w:iCs w:val="1"/>
          <w:color w:val="auto"/>
        </w:rPr>
        <w:t xml:space="preserve">Anna Bakst </w:t>
      </w:r>
      <w:r>
        <w:rPr>
          <w:rFonts w:ascii="Arial" w:cs="Arial" w:eastAsia="Arial" w:hAnsi="Arial"/>
          <w:sz w:val="18"/>
          <w:szCs w:val="18"/>
          <w:color w:val="auto"/>
        </w:rPr>
        <w:t>has served as a member of our board of directors since May 14, 2021. From 2018 to 2019, Ms. Bakst served as Brand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Kate Spade. Before that, Ms. Bakst served as Group President at Michael Kors from 2003 to 2017. Prior to Michael Kors, Ms. Bakst served in various positions at Donna Karan International from 1990 to 2001. Ms. Bakst received an M.B.A from Stanford University and a B.S. in Industrial Engineering from Purdue University. Ms. Bakst is also a Visiting Associate Professor at Pratt Institute’s Design Management Program.</w:t>
      </w:r>
    </w:p>
    <w:p>
      <w:pPr>
        <w:spacing w:after="0" w:line="186" w:lineRule="exact"/>
        <w:rPr>
          <w:sz w:val="20"/>
          <w:szCs w:val="20"/>
          <w:color w:val="auto"/>
        </w:rPr>
      </w:pPr>
    </w:p>
    <w:p>
      <w:pPr>
        <w:ind w:left="160" w:right="40" w:firstLine="546"/>
        <w:spacing w:after="0" w:line="242" w:lineRule="auto"/>
        <w:rPr>
          <w:sz w:val="20"/>
          <w:szCs w:val="20"/>
          <w:color w:val="auto"/>
        </w:rPr>
      </w:pPr>
      <w:r>
        <w:rPr>
          <w:rFonts w:ascii="Arial" w:cs="Arial" w:eastAsia="Arial" w:hAnsi="Arial"/>
          <w:sz w:val="18"/>
          <w:szCs w:val="18"/>
          <w:i w:val="1"/>
          <w:iCs w:val="1"/>
          <w:color w:val="auto"/>
        </w:rPr>
        <w:t xml:space="preserve">Iris Epple -Righi </w:t>
      </w:r>
      <w:r>
        <w:rPr>
          <w:rFonts w:ascii="Arial" w:cs="Arial" w:eastAsia="Arial" w:hAnsi="Arial"/>
          <w:sz w:val="18"/>
          <w:szCs w:val="18"/>
          <w:color w:val="auto"/>
        </w:rPr>
        <w:t>has served as a member of our board of directors since May 14, 2021. Ms. Epple-Righi has served on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as a member of the working committee of Hugo Boss since 2020. From 2016 to 2019, Ms. Epple-Righi served as Chief Executive Officer of Escada SE. Before that, Ms. Epple-Righi served in various positions in Calvin Klein from 2013 to 2016 and Tommy Hilfiger from 2003 to 2013. Ms. Epple-Righi received an M.B.A from the University of Tübingen.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Corporate Governance Practices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As an Israeli company, we are subject to various corporate governance requirements under the Companies Law. However, pursuant to regulations promulgated under the Companies Law, companies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6"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203"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We are a “foreign private issuer” (as such term is defined in Rule 405 under the Securities Act). As a foreign private issuer we are permitted to comply with Israeli corporate governance practices instead of the corporate governance rules of Nasdaq, provided that we disclose which requirements we are not following and the equivalent Israeli requirement.</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rely on this “foreign private issuer exemption” with respect to the quorum requirement for shareholder meetings. Whereas under the corporate governance rules of Nasdaq, a quorum requires the presence, in person or by proxy, of holders of at least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total issued outstanding voting power of our shares at each general meeting of shareholders, pursuant to our amended and restated articles of association, and as permitted under the Companies Law, the quorum required for a general meeting of shareholders consists of at least two shareholders present in person or by proxy in accordance with the Companies Law, who hold or represent at least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total voting power of our shares, except if (i) any such general meeting of shareholders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(and if the meeting is adjourned for a lack of quorum, the quorum for such adjourned meeting will be, subject to certain exceptions, any number of shareholders). We otherwise comply with and intend to continue to comply with the rules generally applicable to U.S. domestic companies listed on Nasdaq. We may, however, in the future decide to use the “foreign private issuer exemption” and opt out of some or all of the other corporate governance rules.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of Directors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206" w:lineRule="exact"/>
        <w:rPr>
          <w:sz w:val="20"/>
          <w:szCs w:val="20"/>
          <w:color w:val="auto"/>
        </w:rPr>
      </w:pPr>
    </w:p>
    <w:p>
      <w:pPr>
        <w:ind w:left="160" w:right="300" w:firstLine="546"/>
        <w:spacing w:after="0" w:line="257" w:lineRule="auto"/>
        <w:rPr>
          <w:sz w:val="20"/>
          <w:szCs w:val="20"/>
          <w:color w:val="auto"/>
        </w:rPr>
      </w:pPr>
      <w:r>
        <w:rPr>
          <w:rFonts w:ascii="Arial" w:cs="Arial" w:eastAsia="Arial" w:hAnsi="Arial"/>
          <w:sz w:val="17"/>
          <w:szCs w:val="17"/>
          <w:color w:val="auto"/>
        </w:rPr>
        <w:t>Under our amended and restated articles of association, the number of directors on our board of directors is determined by our board of directors and will be no less than three and no more than eleven directors divided into three classes with staggered three-year terms. Each class of directors consists, as nearly as possible, of one-third of the total number of directors constituting the entire board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after, each year the term of office of only one class of directors will expire.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114" w:lineRule="exact"/>
        <w:rPr>
          <w:sz w:val="20"/>
          <w:szCs w:val="20"/>
          <w:color w:val="auto"/>
        </w:rPr>
      </w:pPr>
    </w:p>
    <w:p>
      <w:pPr>
        <w:ind w:left="920" w:right="580" w:hanging="218"/>
        <w:spacing w:after="0" w:line="23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 directors are Amir Schlachet, Miguel Angel Parra and Iris Epple-Righi, and their terms will expire at our annual general meeting of shareholders to be held in 2022;</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are Nir Debbi and Anna Jain Bakst, and their terms will expire at our annual meeting of shareholders to be held in 2023; and</w:t>
      </w:r>
    </w:p>
    <w:p>
      <w:pPr>
        <w:spacing w:after="0" w:line="109"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III directors are Shahar Tamari, Thomas Studd and Tzvia Broida, and their terms will expire at our annual meeting of shareholders to be held in 2024.</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Under our amended and restated articles of association, the approval of the holders of at least 70% of the total voting power of our shareholders is generally required to remove any of our directors from office or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In addition,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Chairperson of the Board</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spacing w:after="0" w:line="108" w:lineRule="exact"/>
        <w:rPr>
          <w:sz w:val="20"/>
          <w:szCs w:val="20"/>
          <w:color w:val="auto"/>
        </w:rPr>
      </w:pPr>
    </w:p>
    <w:p>
      <w:pPr>
        <w:ind w:left="920" w:right="420" w:hanging="218"/>
        <w:spacing w:after="0" w:line="239"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a majority of the shares of non-controlling shareholders and shareholders that do not have a personal interest in the approval voted at the meeting are voted in favor (disregarding abstentions); 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6"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440" w:hanging="218"/>
        <w:spacing w:after="0" w:line="237" w:lineRule="auto"/>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appointment that re voted against such appointment does not exceed two percent (2%) of the aggregate voting rights in the company.</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202" w:lineRule="exact"/>
        <w:rPr>
          <w:sz w:val="20"/>
          <w:szCs w:val="20"/>
          <w:color w:val="auto"/>
        </w:rPr>
      </w:pPr>
    </w:p>
    <w:p>
      <w:pPr>
        <w:ind w:left="160" w:right="100" w:firstLine="546"/>
        <w:spacing w:after="0" w:line="251" w:lineRule="auto"/>
        <w:rPr>
          <w:sz w:val="20"/>
          <w:szCs w:val="20"/>
          <w:color w:val="auto"/>
        </w:rPr>
      </w:pPr>
      <w:r>
        <w:rPr>
          <w:rFonts w:ascii="Arial" w:cs="Arial" w:eastAsia="Arial" w:hAnsi="Arial"/>
          <w:sz w:val="17"/>
          <w:szCs w:val="17"/>
          <w:color w:val="auto"/>
        </w:rPr>
        <w:t>During a special and annual general meeting of our shareholders held on March 21, 2021, our shareholders approved the appointment of Amir Schlachet as Chairperson of our board of directors in addition to his role as our Chief Executive Officer. According to the Companies Law and the regulations promulgated thereunder, such appointment is valid for an initial term of five years following the closing of our initial public offering. Following such initial term, each renewal of the appointment of our Chief Executive Officer as Chairperson of the board of directors will be subject to the shareholder approval described above and will be limited to a three-year term.</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1"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i w:val="1"/>
          <w:iCs w:val="1"/>
          <w:color w:val="auto"/>
        </w:rPr>
        <w:t xml:space="preserve">Companies Law Requirements. </w:t>
      </w:r>
      <w:r>
        <w:rPr>
          <w:rFonts w:ascii="Arial" w:cs="Arial" w:eastAsia="Arial" w:hAnsi="Arial"/>
          <w:sz w:val="18"/>
          <w:szCs w:val="18"/>
          <w:color w:val="auto"/>
        </w:rPr>
        <w:t>Under the Companies Law, the board of directors of a public company must appoint an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audit committee must be comprised of at least three directors.</w:t>
      </w:r>
    </w:p>
    <w:p>
      <w:pPr>
        <w:spacing w:after="0" w:line="15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i w:val="1"/>
          <w:iCs w:val="1"/>
          <w:color w:val="auto"/>
        </w:rPr>
        <w:t>Listing Requirements</w:t>
      </w:r>
      <w:r>
        <w:rPr>
          <w:rFonts w:ascii="Arial" w:cs="Arial" w:eastAsia="Arial" w:hAnsi="Arial"/>
          <w:sz w:val="18"/>
          <w:szCs w:val="18"/>
          <w:color w:val="auto"/>
        </w:rPr>
        <w:t>. Under the corporate governance rules of Nasdaq, we are required to maintain an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consisting of at least three independent directors, each of whom is financially literate and one of whom has accounting or related financial management expertise.</w:t>
      </w:r>
    </w:p>
    <w:p>
      <w:pPr>
        <w:spacing w:after="0" w:line="19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audit committee consists of Tzvia Broida, Anna Bakst and Iris Epple-Righi. Tzvia Broida serves as the chairperson of the audit committee. All members of our audit committee meet the requirements for financial literacy under the applicable rules and regulations of the SEC and the corporate governance rules of Nasdaq. Our board of directors has determined that Tzvia Broida is an audit committee financial expert as defined by the SEC rules and has the requisite financial experience as defined by the corporate governance rules of Nasdaq.</w:t>
      </w:r>
    </w:p>
    <w:p>
      <w:pPr>
        <w:spacing w:after="0" w:line="204" w:lineRule="exact"/>
        <w:rPr>
          <w:sz w:val="20"/>
          <w:szCs w:val="20"/>
          <w:color w:val="auto"/>
        </w:rPr>
      </w:pPr>
    </w:p>
    <w:p>
      <w:pPr>
        <w:ind w:left="160" w:right="220" w:firstLine="546"/>
        <w:spacing w:after="0" w:line="268" w:lineRule="auto"/>
        <w:rPr>
          <w:sz w:val="20"/>
          <w:szCs w:val="20"/>
          <w:color w:val="auto"/>
        </w:rPr>
      </w:pPr>
      <w:r>
        <w:rPr>
          <w:rFonts w:ascii="Arial" w:cs="Arial" w:eastAsia="Arial" w:hAnsi="Arial"/>
          <w:sz w:val="17"/>
          <w:szCs w:val="17"/>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firstLine="546"/>
        <w:spacing w:after="0" w:line="295" w:lineRule="auto"/>
        <w:rPr>
          <w:sz w:val="20"/>
          <w:szCs w:val="20"/>
          <w:color w:val="auto"/>
        </w:rPr>
      </w:pPr>
      <w:r>
        <w:rPr>
          <w:rFonts w:ascii="Arial" w:cs="Arial" w:eastAsia="Arial" w:hAnsi="Arial"/>
          <w:sz w:val="17"/>
          <w:szCs w:val="17"/>
          <w:b w:val="1"/>
          <w:bCs w:val="1"/>
          <w:i w:val="1"/>
          <w:iCs w:val="1"/>
          <w:color w:val="auto"/>
        </w:rPr>
        <w:t xml:space="preserve">Audit Committee Role. </w:t>
      </w:r>
      <w:r>
        <w:rPr>
          <w:rFonts w:ascii="Arial" w:cs="Arial" w:eastAsia="Arial" w:hAnsi="Arial"/>
          <w:sz w:val="17"/>
          <w:szCs w:val="17"/>
          <w:color w:val="auto"/>
        </w:rPr>
        <w:t>Our board of directors has adopted an audit committee charter setting forth the responsibilities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which are consistent with the Companies Law, the SEC rules and the corporate governance rules of Nasdaq and include:</w:t>
      </w:r>
    </w:p>
    <w:p>
      <w:pPr>
        <w:spacing w:after="0" w:line="63" w:lineRule="exact"/>
        <w:rPr>
          <w:sz w:val="20"/>
          <w:szCs w:val="20"/>
          <w:color w:val="auto"/>
        </w:rPr>
      </w:pPr>
    </w:p>
    <w:p>
      <w:pPr>
        <w:ind w:left="920" w:right="16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127" w:lineRule="exact"/>
        <w:rPr>
          <w:rFonts w:ascii="Arial" w:cs="Arial" w:eastAsia="Arial" w:hAnsi="Arial"/>
          <w:sz w:val="18"/>
          <w:szCs w:val="18"/>
          <w:color w:val="auto"/>
        </w:rPr>
      </w:pPr>
    </w:p>
    <w:p>
      <w:pPr>
        <w:ind w:left="920" w:right="200" w:hanging="218"/>
        <w:spacing w:after="0" w:line="237"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08" w:lineRule="exact"/>
        <w:rPr>
          <w:rFonts w:ascii="Arial" w:cs="Arial" w:eastAsia="Arial" w:hAnsi="Arial"/>
          <w:sz w:val="18"/>
          <w:szCs w:val="18"/>
          <w:color w:val="auto"/>
        </w:rPr>
      </w:pPr>
    </w:p>
    <w:p>
      <w:pPr>
        <w:ind w:left="920" w:right="34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 to the SEC;</w:t>
      </w:r>
    </w:p>
    <w:p>
      <w:pPr>
        <w:spacing w:after="0" w:line="109" w:lineRule="exact"/>
        <w:rPr>
          <w:rFonts w:ascii="Arial" w:cs="Arial" w:eastAsia="Arial" w:hAnsi="Arial"/>
          <w:sz w:val="18"/>
          <w:szCs w:val="18"/>
          <w:color w:val="auto"/>
        </w:rPr>
      </w:pPr>
    </w:p>
    <w:p>
      <w:pPr>
        <w:ind w:left="920" w:right="540" w:hanging="218"/>
        <w:spacing w:after="0" w:line="237"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08" w:lineRule="exact"/>
        <w:rPr>
          <w:rFonts w:ascii="Arial" w:cs="Arial" w:eastAsia="Arial" w:hAnsi="Arial"/>
          <w:sz w:val="18"/>
          <w:szCs w:val="18"/>
          <w:color w:val="auto"/>
        </w:rPr>
      </w:pPr>
    </w:p>
    <w:p>
      <w:pPr>
        <w:ind w:left="920" w:right="10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109"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inter alia, by consulting with the internal auditor or with the independent auditor, and suggesting corrective measures to the board of directors;</w:t>
      </w:r>
    </w:p>
    <w:p>
      <w:pPr>
        <w:spacing w:after="0" w:line="109" w:lineRule="exact"/>
        <w:rPr>
          <w:rFonts w:ascii="Arial" w:cs="Arial" w:eastAsia="Arial" w:hAnsi="Arial"/>
          <w:sz w:val="18"/>
          <w:szCs w:val="18"/>
          <w:color w:val="auto"/>
        </w:rPr>
      </w:pPr>
    </w:p>
    <w:p>
      <w:pPr>
        <w:ind w:left="920" w:right="60" w:hanging="218"/>
        <w:spacing w:after="0" w:line="236"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08"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w:t>
      </w:r>
    </w:p>
    <w:p>
      <w:pPr>
        <w:spacing w:after="0" w:line="101" w:lineRule="exact"/>
        <w:rPr>
          <w:sz w:val="20"/>
          <w:szCs w:val="20"/>
          <w:color w:val="auto"/>
        </w:rPr>
      </w:pPr>
    </w:p>
    <w:p>
      <w:pPr>
        <w:ind w:left="160" w:right="760" w:firstLine="546"/>
        <w:spacing w:after="0" w:line="265" w:lineRule="auto"/>
        <w:rPr>
          <w:sz w:val="20"/>
          <w:szCs w:val="20"/>
          <w:color w:val="auto"/>
        </w:rPr>
      </w:pPr>
      <w:r>
        <w:rPr>
          <w:rFonts w:ascii="Arial" w:cs="Arial" w:eastAsia="Arial" w:hAnsi="Arial"/>
          <w:sz w:val="18"/>
          <w:szCs w:val="18"/>
          <w:b w:val="1"/>
          <w:bCs w:val="1"/>
          <w:i w:val="1"/>
          <w:iCs w:val="1"/>
          <w:color w:val="auto"/>
        </w:rPr>
        <w:t>Companies Law Requirements</w:t>
      </w:r>
      <w:r>
        <w:rPr>
          <w:rFonts w:ascii="Arial" w:cs="Arial" w:eastAsia="Arial" w:hAnsi="Arial"/>
          <w:sz w:val="18"/>
          <w:szCs w:val="18"/>
          <w:color w:val="auto"/>
        </w:rPr>
        <w:t>. Under the Companies Law, the board of directors of a public company must appoint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which must be comprised of at least three directors.</w:t>
      </w:r>
    </w:p>
    <w:p>
      <w:pPr>
        <w:spacing w:after="0" w:line="158" w:lineRule="exact"/>
        <w:rPr>
          <w:sz w:val="20"/>
          <w:szCs w:val="20"/>
          <w:color w:val="auto"/>
        </w:rPr>
      </w:pPr>
    </w:p>
    <w:p>
      <w:pPr>
        <w:ind w:left="160" w:right="840" w:firstLine="546"/>
        <w:spacing w:after="0" w:line="265" w:lineRule="auto"/>
        <w:rPr>
          <w:sz w:val="20"/>
          <w:szCs w:val="20"/>
          <w:color w:val="auto"/>
        </w:rPr>
      </w:pPr>
      <w:r>
        <w:rPr>
          <w:rFonts w:ascii="Arial" w:cs="Arial" w:eastAsia="Arial" w:hAnsi="Arial"/>
          <w:sz w:val="18"/>
          <w:szCs w:val="18"/>
          <w:b w:val="1"/>
          <w:bCs w:val="1"/>
          <w:i w:val="1"/>
          <w:iCs w:val="1"/>
          <w:color w:val="auto"/>
        </w:rPr>
        <w:t xml:space="preserve">Listing Requirements. </w:t>
      </w:r>
      <w:r>
        <w:rPr>
          <w:rFonts w:ascii="Arial" w:cs="Arial" w:eastAsia="Arial" w:hAnsi="Arial"/>
          <w:sz w:val="18"/>
          <w:szCs w:val="18"/>
          <w:color w:val="auto"/>
        </w:rPr>
        <w:t>Under the corporate governance rules of Nasdaq, we are required to maintain a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consisting of at least two independent directors.</w:t>
      </w:r>
    </w:p>
    <w:p>
      <w:pPr>
        <w:spacing w:after="0" w:line="18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compensation committee consists of Anna Bakst, Iris Epple-Righi and Thomas Studd. Anna Bakst serves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6"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14" w:lineRule="exact"/>
        <w:rPr>
          <w:sz w:val="20"/>
          <w:szCs w:val="20"/>
          <w:color w:val="auto"/>
        </w:rPr>
      </w:pPr>
    </w:p>
    <w:p>
      <w:pPr>
        <w:ind w:left="920" w:right="20" w:hanging="218"/>
        <w:spacing w:after="0" w:line="237"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making recommendations to the board of directors with respect to the approval of the compensation policy for office holders and, once every three years, regarding any extensions to a compensation policy that was adopted for a period of more than three years;</w:t>
      </w:r>
    </w:p>
    <w:p>
      <w:pPr>
        <w:spacing w:after="0" w:line="10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exempting, under certain circumstances, a transaction with our Chief Executive Officer from the approval of our shareholders.</w:t>
      </w:r>
    </w:p>
    <w:p>
      <w:pPr>
        <w:spacing w:after="0" w:line="221"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Nasdaq and include among others:</w:t>
      </w:r>
    </w:p>
    <w:p>
      <w:pPr>
        <w:spacing w:after="0" w:line="109" w:lineRule="exact"/>
        <w:rPr>
          <w:sz w:val="20"/>
          <w:szCs w:val="20"/>
          <w:color w:val="auto"/>
        </w:rPr>
      </w:pPr>
    </w:p>
    <w:p>
      <w:pPr>
        <w:ind w:left="920" w:right="220" w:hanging="218"/>
        <w:spacing w:after="0" w:line="235"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to such policies the committee deems appropriate, including as required under the Companies Law;</w:t>
      </w:r>
    </w:p>
    <w:p>
      <w:pPr>
        <w:spacing w:after="0" w:line="110" w:lineRule="exact"/>
        <w:rPr>
          <w:rFonts w:ascii="Arial" w:cs="Arial" w:eastAsia="Arial" w:hAnsi="Arial"/>
          <w:sz w:val="18"/>
          <w:szCs w:val="18"/>
          <w:color w:val="auto"/>
        </w:rPr>
      </w:pPr>
    </w:p>
    <w:p>
      <w:pPr>
        <w:jc w:val="both"/>
        <w:ind w:left="920" w:right="180" w:hanging="218"/>
        <w:spacing w:after="0" w:line="237"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27" w:lineRule="exact"/>
        <w:rPr>
          <w:rFonts w:ascii="Arial" w:cs="Arial" w:eastAsia="Arial" w:hAnsi="Arial"/>
          <w:sz w:val="18"/>
          <w:szCs w:val="18"/>
          <w:color w:val="auto"/>
        </w:rPr>
      </w:pPr>
    </w:p>
    <w:p>
      <w:pPr>
        <w:ind w:left="920" w:hanging="218"/>
        <w:spacing w:after="0" w:line="237"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w:t>
      </w:r>
    </w:p>
    <w:p>
      <w:pPr>
        <w:spacing w:after="0" w:line="110" w:lineRule="exact"/>
        <w:rPr>
          <w:sz w:val="20"/>
          <w:szCs w:val="20"/>
          <w:color w:val="auto"/>
        </w:rPr>
      </w:pPr>
    </w:p>
    <w:p>
      <w:pPr>
        <w:ind w:left="920" w:right="880" w:hanging="218"/>
        <w:spacing w:after="0" w:line="239"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shareholders who are not controlling shareholders and shareholders who do not have a personal interest in such compensation policy; or</w:t>
      </w:r>
    </w:p>
    <w:p>
      <w:pPr>
        <w:spacing w:after="0" w:line="109" w:lineRule="exact"/>
        <w:rPr>
          <w:rFonts w:ascii="Arial" w:cs="Arial" w:eastAsia="Arial" w:hAnsi="Arial"/>
          <w:sz w:val="18"/>
          <w:szCs w:val="18"/>
          <w:color w:val="auto"/>
        </w:rPr>
      </w:pPr>
    </w:p>
    <w:p>
      <w:pPr>
        <w:ind w:left="920" w:right="400" w:hanging="218"/>
        <w:spacing w:after="0" w:line="237"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202"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If a company that initially offers its securities to the public, like us, adopts a compensation policy in advance of its initial public offering, and describes it in its prospectus for such offering, as we did,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10" w:lineRule="exact"/>
        <w:rPr>
          <w:sz w:val="20"/>
          <w:szCs w:val="20"/>
          <w:color w:val="auto"/>
        </w:rPr>
      </w:pPr>
    </w:p>
    <w:p>
      <w:pPr>
        <w:ind w:left="920" w:hanging="218"/>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27" w:lineRule="exact"/>
        <w:rPr>
          <w:rFonts w:ascii="Arial" w:cs="Arial" w:eastAsia="Arial" w:hAnsi="Arial"/>
          <w:sz w:val="18"/>
          <w:szCs w:val="18"/>
          <w:color w:val="auto"/>
        </w:rPr>
      </w:pPr>
    </w:p>
    <w:p>
      <w:pPr>
        <w:ind w:left="920" w:right="140" w:hanging="218"/>
        <w:spacing w:after="0" w:line="236" w:lineRule="auto"/>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08" w:lineRule="exact"/>
        <w:rPr>
          <w:rFonts w:ascii="Arial" w:cs="Arial" w:eastAsia="Arial" w:hAnsi="Arial"/>
          <w:sz w:val="18"/>
          <w:szCs w:val="18"/>
          <w:color w:val="auto"/>
        </w:rPr>
      </w:pPr>
    </w:p>
    <w:p>
      <w:pPr>
        <w:ind w:left="920" w:right="280" w:hanging="218"/>
        <w:spacing w:after="0" w:line="268" w:lineRule="auto"/>
        <w:tabs>
          <w:tab w:leader="none" w:pos="9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85" w:lineRule="exact"/>
        <w:rPr>
          <w:rFonts w:ascii="Arial" w:cs="Arial" w:eastAsia="Arial" w:hAnsi="Arial"/>
          <w:sz w:val="17"/>
          <w:szCs w:val="17"/>
          <w:color w:val="auto"/>
        </w:rPr>
      </w:pPr>
    </w:p>
    <w:p>
      <w:pPr>
        <w:ind w:left="920" w:right="40" w:hanging="218"/>
        <w:spacing w:after="0" w:line="236" w:lineRule="auto"/>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14" w:lineRule="exact"/>
        <w:rPr>
          <w:sz w:val="20"/>
          <w:szCs w:val="20"/>
          <w:color w:val="auto"/>
        </w:rPr>
      </w:pPr>
    </w:p>
    <w:p>
      <w:pPr>
        <w:ind w:left="920" w:hanging="218"/>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27" w:lineRule="exact"/>
        <w:rPr>
          <w:sz w:val="20"/>
          <w:szCs w:val="20"/>
          <w:color w:val="auto"/>
        </w:rPr>
      </w:pPr>
    </w:p>
    <w:p>
      <w:pPr>
        <w:ind w:left="1900" w:right="120" w:hanging="542"/>
        <w:spacing w:after="0" w:line="236" w:lineRule="auto"/>
        <w:tabs>
          <w:tab w:leader="none" w:pos="1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900" w:right="260"/>
        <w:spacing w:after="0" w:line="239" w:lineRule="auto"/>
        <w:rPr>
          <w:sz w:val="20"/>
          <w:szCs w:val="20"/>
          <w:color w:val="auto"/>
        </w:rPr>
      </w:pPr>
      <w:r>
        <w:rPr>
          <w:rFonts w:ascii="Arial" w:cs="Arial" w:eastAsia="Arial" w:hAnsi="Arial"/>
          <w:sz w:val="18"/>
          <w:szCs w:val="18"/>
          <w:color w:val="auto"/>
        </w:rPr>
        <w:t>awarded based on non-measurable criteria, or if such amount is not higher than three months’ salary per annum, taking into account such office holder’s contribution to the company;</w:t>
      </w:r>
    </w:p>
    <w:p>
      <w:pPr>
        <w:spacing w:after="0" w:line="109" w:lineRule="exact"/>
        <w:rPr>
          <w:sz w:val="20"/>
          <w:szCs w:val="20"/>
          <w:color w:val="auto"/>
        </w:rPr>
      </w:pPr>
    </w:p>
    <w:p>
      <w:pPr>
        <w:ind w:left="1900" w:right="320" w:hanging="542"/>
        <w:spacing w:after="0" w:line="239" w:lineRule="auto"/>
        <w:tabs>
          <w:tab w:leader="none" w:pos="1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09" w:lineRule="exact"/>
        <w:rPr>
          <w:rFonts w:ascii="Arial" w:cs="Arial" w:eastAsia="Arial" w:hAnsi="Arial"/>
          <w:sz w:val="18"/>
          <w:szCs w:val="18"/>
          <w:color w:val="auto"/>
        </w:rPr>
      </w:pPr>
    </w:p>
    <w:p>
      <w:pPr>
        <w:ind w:left="920" w:right="160" w:hanging="218"/>
        <w:spacing w:after="0" w:line="237" w:lineRule="auto"/>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08"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21"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206" w:lineRule="exact"/>
        <w:rPr>
          <w:sz w:val="20"/>
          <w:szCs w:val="20"/>
          <w:color w:val="auto"/>
        </w:rPr>
      </w:pPr>
    </w:p>
    <w:p>
      <w:pPr>
        <w:ind w:left="160" w:right="260" w:firstLine="546"/>
        <w:spacing w:after="0" w:line="234" w:lineRule="auto"/>
        <w:rPr>
          <w:sz w:val="20"/>
          <w:szCs w:val="20"/>
          <w:color w:val="auto"/>
        </w:rPr>
      </w:pPr>
      <w:r>
        <w:rPr>
          <w:rFonts w:ascii="Arial" w:cs="Arial" w:eastAsia="Arial" w:hAnsi="Arial"/>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204"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6"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204"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20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Our compensation policy was approved by our board of directors and shareholders and became effective immediately prior to the closing of our initial public offering and is filed as an exhibit to the registration statement of which this prospectus forms a part.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Nominating, Governance and Sustainability Committee</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Our nominating, governance and sustainability committee consists of Iris Epple-Righi, Anna Bakst and Thomas Studd. Iris Epple-Righi serves as chairperson of the committee. Our board of directors has adopted a nominating, governance and sustainability committee charter setting forth the responsibilities of the committee, which include:</w:t>
      </w:r>
    </w:p>
    <w:p>
      <w:pPr>
        <w:spacing w:after="0" w:line="109" w:lineRule="exact"/>
        <w:rPr>
          <w:sz w:val="20"/>
          <w:szCs w:val="20"/>
          <w:color w:val="auto"/>
        </w:rPr>
      </w:pPr>
    </w:p>
    <w:p>
      <w:pPr>
        <w:ind w:left="920" w:hanging="218"/>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assisting our board in its oversight relating to corporate responsibility and environmental, social and governance matters;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27" w:lineRule="exact"/>
        <w:rPr>
          <w:rFonts w:ascii="Arial" w:cs="Arial" w:eastAsia="Arial" w:hAnsi="Arial"/>
          <w:sz w:val="18"/>
          <w:szCs w:val="18"/>
          <w:color w:val="auto"/>
        </w:rPr>
      </w:pPr>
    </w:p>
    <w:p>
      <w:pPr>
        <w:ind w:left="920" w:right="120" w:hanging="218"/>
        <w:spacing w:after="0" w:line="239" w:lineRule="auto"/>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Conduct</w:t>
      </w:r>
    </w:p>
    <w:p>
      <w:pPr>
        <w:spacing w:after="0" w:line="123" w:lineRule="exact"/>
        <w:rPr>
          <w:sz w:val="20"/>
          <w:szCs w:val="20"/>
          <w:color w:val="auto"/>
        </w:rPr>
      </w:pPr>
    </w:p>
    <w:p>
      <w:pPr>
        <w:jc w:val="both"/>
        <w:ind w:left="160" w:right="320" w:firstLine="546"/>
        <w:spacing w:after="0" w:line="237" w:lineRule="auto"/>
        <w:rPr>
          <w:sz w:val="20"/>
          <w:szCs w:val="20"/>
          <w:color w:val="auto"/>
        </w:rPr>
      </w:pPr>
      <w:r>
        <w:rPr>
          <w:rFonts w:ascii="Arial" w:cs="Arial" w:eastAsia="Arial" w:hAnsi="Arial"/>
          <w:sz w:val="18"/>
          <w:szCs w:val="18"/>
          <w:color w:val="auto"/>
        </w:rPr>
        <w:t>Our board of directors has adopted a written code of conduct that applies to our directors, officers and employees, including our principal executive officer, principal financial officer, principal accounting officer or controller, or persons performing similar functions. A current copy of the code is posted on the investor section of our website.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Directors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10" w:lineRule="exact"/>
        <w:rPr>
          <w:sz w:val="20"/>
          <w:szCs w:val="20"/>
          <w:color w:val="auto"/>
        </w:rPr>
      </w:pPr>
    </w:p>
    <w:p>
      <w:pPr>
        <w:ind w:left="920" w:right="620" w:hanging="218"/>
        <w:spacing w:after="0" w:line="237"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08" w:lineRule="exact"/>
        <w:rPr>
          <w:rFonts w:ascii="Arial" w:cs="Arial" w:eastAsia="Arial" w:hAnsi="Arial"/>
          <w:sz w:val="18"/>
          <w:szCs w:val="18"/>
          <w:color w:val="auto"/>
        </w:rPr>
      </w:pPr>
    </w:p>
    <w:p>
      <w:pPr>
        <w:ind w:left="920" w:right="120" w:hanging="218"/>
        <w:spacing w:after="0" w:line="268" w:lineRule="auto"/>
        <w:tabs>
          <w:tab w:leader="none" w:pos="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206"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23"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The aggregate compensation, including share-based compensation, paid by us and our subsidiaries to our executive officers and directors for the year ended December 31, 2020 was approximately $2.4 million. This amount includes approximately $0.4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204" w:lineRule="exact"/>
        <w:rPr>
          <w:sz w:val="20"/>
          <w:szCs w:val="20"/>
          <w:color w:val="auto"/>
        </w:rPr>
      </w:pPr>
    </w:p>
    <w:p>
      <w:pPr>
        <w:ind w:left="160" w:right="480" w:firstLine="546"/>
        <w:spacing w:after="0" w:line="239" w:lineRule="auto"/>
        <w:rPr>
          <w:sz w:val="20"/>
          <w:szCs w:val="20"/>
          <w:color w:val="auto"/>
        </w:rPr>
      </w:pPr>
      <w:r>
        <w:rPr>
          <w:rFonts w:ascii="Arial" w:cs="Arial" w:eastAsia="Arial" w:hAnsi="Arial"/>
          <w:sz w:val="18"/>
          <w:szCs w:val="18"/>
          <w:color w:val="auto"/>
        </w:rPr>
        <w:t>As of December 31, 2020, options to purchase 6,260,400 ordinary shares granted to our executive officers and directors were outstanding under our equity incentive plans at a weighted average exercise price of $2.69 per ordinary share.</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pay each of our non-employee directors, other than individuals who served on our board of directors immediately prior to the consummation of our initial public offering, who serves on a board committee an annual retainer of $35,000, with additional annual payment for service on board committees as follows: $10,000 (or $20,000 for the chairperson) per membership of the audit committee, or $7,500 (or $15,000 for the chairperson) per membership of the compensation committee and $4,250 (or $8,500 for the chairperson) per membership of the nominating and governance committee. In addition, upon election, nonemployee directors, other than individuals who served on our board of directors immediately prior to the consummation of our initial public offering, shall be granted with restricted share unit awards under our incentive plan at a value of $250,000 which shall vest on an annual basis over a period of three years. In addition, each nonemployee director, other than individuals who served on our board of directors immediately prior to the consummation of our initial public offering, shall be granted with annual restricted share unit awards under our incentive plan (provided the director is still in office) at a value of $150,000 which shall vest on the first anniversary of the grant date.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Internal Auditor</w:t>
      </w:r>
    </w:p>
    <w:p>
      <w:pPr>
        <w:spacing w:after="0" w:line="123"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executive officer of the company or (iii) any person who serves as a director or as chief executive officer of the company. As of July 27, 2021, Ms. Sharon Cohen, CPA from Brightman Almagor Zohar &amp; Co., a firm in the Deloitte Global Network, is acting as our internal auditor.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01" w:lineRule="exact"/>
        <w:rPr>
          <w:sz w:val="20"/>
          <w:szCs w:val="20"/>
          <w:color w:val="auto"/>
        </w:rPr>
      </w:pPr>
    </w:p>
    <w:p>
      <w:pPr>
        <w:ind w:left="160" w:right="60" w:firstLine="546"/>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r>
        <w:rPr>
          <w:rFonts w:ascii="Arial" w:cs="Arial" w:eastAsia="Arial" w:hAnsi="Arial"/>
          <w:sz w:val="18"/>
          <w:szCs w:val="18"/>
          <w:color w:val="auto"/>
        </w:rPr>
        <w:t>. The Companies Law codifies the fiduciary duties that office holders owe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“Management—Executive Officers and Directors” is an office holder under the Companies Law.</w:t>
      </w:r>
    </w:p>
    <w:p>
      <w:pPr>
        <w:spacing w:after="0" w:line="204"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09" w:lineRule="exact"/>
        <w:rPr>
          <w:sz w:val="20"/>
          <w:szCs w:val="20"/>
          <w:color w:val="auto"/>
        </w:rPr>
      </w:pPr>
    </w:p>
    <w:p>
      <w:pPr>
        <w:ind w:left="920" w:right="160" w:hanging="218"/>
        <w:spacing w:after="0" w:line="239"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21"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109" w:lineRule="exact"/>
        <w:rPr>
          <w:sz w:val="20"/>
          <w:szCs w:val="20"/>
          <w:color w:val="auto"/>
        </w:rPr>
      </w:pPr>
    </w:p>
    <w:p>
      <w:pPr>
        <w:ind w:left="920" w:right="200" w:hanging="218"/>
        <w:spacing w:after="0" w:line="23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27" w:lineRule="exact"/>
        <w:rPr>
          <w:rFonts w:ascii="Arial" w:cs="Arial" w:eastAsia="Arial" w:hAnsi="Arial"/>
          <w:sz w:val="18"/>
          <w:szCs w:val="18"/>
          <w:color w:val="auto"/>
        </w:rPr>
      </w:pPr>
    </w:p>
    <w:p>
      <w:pPr>
        <w:ind w:left="920" w:right="400" w:hanging="218"/>
        <w:spacing w:after="0" w:line="23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109" w:lineRule="exact"/>
        <w:rPr>
          <w:rFonts w:ascii="Arial" w:cs="Arial" w:eastAsia="Arial" w:hAnsi="Arial"/>
          <w:sz w:val="18"/>
          <w:szCs w:val="18"/>
          <w:color w:val="auto"/>
        </w:rPr>
      </w:pPr>
    </w:p>
    <w:p>
      <w:pPr>
        <w:ind w:left="920" w:right="360" w:hanging="218"/>
        <w:spacing w:after="0" w:line="23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203" w:lineRule="exact"/>
        <w:rPr>
          <w:sz w:val="20"/>
          <w:szCs w:val="20"/>
          <w:color w:val="auto"/>
        </w:rPr>
      </w:pPr>
    </w:p>
    <w:p>
      <w:pPr>
        <w:jc w:val="both"/>
        <w:ind w:left="160" w:right="20" w:firstLine="546"/>
        <w:spacing w:after="0" w:line="235" w:lineRule="auto"/>
        <w:rPr>
          <w:sz w:val="20"/>
          <w:szCs w:val="20"/>
          <w:color w:val="auto"/>
        </w:rPr>
      </w:pPr>
      <w:r>
        <w:rPr>
          <w:rFonts w:ascii="Arial" w:cs="Arial" w:eastAsia="Arial" w:hAnsi="Arial"/>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82" w:lineRule="exact"/>
        <w:rPr>
          <w:sz w:val="20"/>
          <w:szCs w:val="20"/>
          <w:color w:val="auto"/>
        </w:rPr>
      </w:pPr>
    </w:p>
    <w:p>
      <w:pPr>
        <w:ind w:left="160" w:right="120" w:firstLine="546"/>
        <w:spacing w:after="0" w:line="238" w:lineRule="auto"/>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r>
        <w:rPr>
          <w:rFonts w:ascii="Arial" w:cs="Arial" w:eastAsia="Arial" w:hAnsi="Arial"/>
          <w:sz w:val="18"/>
          <w:szCs w:val="18"/>
          <w:color w:val="auto"/>
        </w:rPr>
        <w:t>. The Companies Law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6"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204"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202"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 Compensation of Directors and Executive Officers.”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23"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09" w:lineRule="exact"/>
        <w:rPr>
          <w:sz w:val="20"/>
          <w:szCs w:val="20"/>
          <w:color w:val="auto"/>
        </w:rPr>
      </w:pPr>
    </w:p>
    <w:p>
      <w:pPr>
        <w:ind w:left="920" w:hanging="21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6"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in whole or in part, for damages caused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204"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09" w:lineRule="exact"/>
        <w:rPr>
          <w:sz w:val="20"/>
          <w:szCs w:val="20"/>
          <w:color w:val="auto"/>
        </w:rPr>
      </w:pPr>
    </w:p>
    <w:p>
      <w:pPr>
        <w:ind w:left="920" w:right="60" w:hanging="218"/>
        <w:spacing w:after="0" w:line="235"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07"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07" w:lineRule="exact"/>
        <w:rPr>
          <w:rFonts w:ascii="Arial" w:cs="Arial" w:eastAsia="Arial" w:hAnsi="Arial"/>
          <w:sz w:val="18"/>
          <w:szCs w:val="18"/>
          <w:color w:val="auto"/>
        </w:rPr>
      </w:pPr>
    </w:p>
    <w:p>
      <w:pPr>
        <w:jc w:val="both"/>
        <w:ind w:left="920" w:right="100" w:hanging="218"/>
        <w:spacing w:after="0" w:line="257"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94" w:lineRule="exact"/>
        <w:rPr>
          <w:rFonts w:ascii="Arial" w:cs="Arial" w:eastAsia="Arial" w:hAnsi="Arial"/>
          <w:sz w:val="17"/>
          <w:szCs w:val="17"/>
          <w:color w:val="auto"/>
        </w:rPr>
      </w:pPr>
    </w:p>
    <w:p>
      <w:pPr>
        <w:ind w:left="920" w:right="300" w:hanging="218"/>
        <w:spacing w:after="0" w:line="236"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09" w:lineRule="exact"/>
        <w:rPr>
          <w:sz w:val="20"/>
          <w:szCs w:val="20"/>
          <w:color w:val="auto"/>
        </w:rPr>
      </w:pPr>
    </w:p>
    <w:p>
      <w:pPr>
        <w:ind w:left="920" w:right="80" w:hanging="218"/>
        <w:spacing w:after="0" w:line="239" w:lineRule="auto"/>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line="239" w:lineRule="auto"/>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third-party, including a breach arising out of the negligent conduct of the office holder;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 harmed by a breach in an administrative proceeding; and</w:t>
      </w:r>
    </w:p>
    <w:p>
      <w:pPr>
        <w:spacing w:after="0" w:line="127"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14" w:lineRule="exact"/>
        <w:rPr>
          <w:sz w:val="20"/>
          <w:szCs w:val="20"/>
          <w:color w:val="auto"/>
        </w:rPr>
      </w:pPr>
    </w:p>
    <w:p>
      <w:pPr>
        <w:ind w:left="920" w:right="580" w:hanging="218"/>
        <w:spacing w:after="0" w:line="239"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09"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21"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06"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20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23"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 Incentive Plans</w:t>
      </w:r>
    </w:p>
    <w:p>
      <w:pPr>
        <w:spacing w:after="0" w:line="101" w:lineRule="exact"/>
        <w:rPr>
          <w:sz w:val="20"/>
          <w:szCs w:val="20"/>
          <w:color w:val="auto"/>
        </w:rPr>
      </w:pPr>
    </w:p>
    <w:p>
      <w:pPr>
        <w:ind w:left="160" w:right="200" w:firstLine="546"/>
        <w:spacing w:after="0" w:line="243" w:lineRule="auto"/>
        <w:rPr>
          <w:sz w:val="20"/>
          <w:szCs w:val="20"/>
          <w:color w:val="auto"/>
        </w:rPr>
      </w:pPr>
      <w:r>
        <w:rPr>
          <w:rFonts w:ascii="Arial" w:cs="Arial" w:eastAsia="Arial" w:hAnsi="Arial"/>
          <w:sz w:val="18"/>
          <w:szCs w:val="18"/>
          <w:b w:val="1"/>
          <w:bCs w:val="1"/>
          <w:i w:val="1"/>
          <w:iCs w:val="1"/>
          <w:color w:val="auto"/>
        </w:rPr>
        <w:t>2013 Share Option Plan</w:t>
      </w:r>
      <w:r>
        <w:rPr>
          <w:rFonts w:ascii="Arial" w:cs="Arial" w:eastAsia="Arial" w:hAnsi="Arial"/>
          <w:sz w:val="18"/>
          <w:szCs w:val="18"/>
          <w:color w:val="auto"/>
        </w:rPr>
        <w:t>. The 2013 Share Incentive Plan, or the 2013 Plan, was adopted by our board of directors on May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and amended on April 2, 2019. The 2013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20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no longer grant any awards under the 2013 Plan as it was superseded by the 2021 Plan, although previously granted awards remain outstanding. Ordinary shares subject to outstanding options granted under the 2021 Plan that expire or become unexercisable without having been exercised in full will become available again for future grant under the 2021 Plan. As of December 31, 2020, a total of 12,522,600 options to purchase ordinary shares were outstanding under the 2013 Plan, with a weighted average exercise price of $2.04 per share.</w:t>
      </w:r>
    </w:p>
    <w:p>
      <w:pPr>
        <w:spacing w:after="0" w:line="186"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Plan. Under the 2013 Plan, the administrator has the authority, subject to applicable law, to interpret the terms of the 2013 Plan and any option agreements or awards granted thereunder, amend the terms of awards, including, but not limited to, accelerate or amend the vesting schedule applicable to an award, and take all other actions and make all other determinations necessary for the administration of the 2013 Plan. The administrator also has the authority to approve the conversion, substitution, cancellation or suspension under and in accordance with the 2013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2013 Plan but without amending the 2013 Plan.</w:t>
      </w:r>
    </w:p>
    <w:p>
      <w:pPr>
        <w:spacing w:after="0" w:line="202"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2013 Plan or terminate the 2013 Plan at any time before the date of expiration of its ten year term.</w:t>
      </w:r>
    </w:p>
    <w:p>
      <w:pPr>
        <w:spacing w:after="0" w:line="185" w:lineRule="exact"/>
        <w:rPr>
          <w:sz w:val="20"/>
          <w:szCs w:val="20"/>
          <w:color w:val="auto"/>
        </w:rPr>
      </w:pPr>
    </w:p>
    <w:p>
      <w:pPr>
        <w:ind w:left="160" w:right="160" w:firstLine="546"/>
        <w:spacing w:after="0" w:line="242" w:lineRule="auto"/>
        <w:rPr>
          <w:sz w:val="20"/>
          <w:szCs w:val="20"/>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All awards granted pursuant to the 2013 Plan are evidenced by an option agreement, in a form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option agreement sets forth the terms and conditions of the award, including the type of option, number of shares subject to such option, vesting schedule and conditions (including performance goals or measures), manner of exercise and the exercise price, if</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applicable and other terms and conditions not inconsistent with the 2013 Plan as the administrator may have determined. Certain awards under the 2013 Plan may constitute or provide for a deferral of compensation, subject to Section 409A of the United States Internal Revenue Code of 1986 (the “Code”), which may impose additional requirements on the terms and conditions of such awards.</w:t>
      </w:r>
    </w:p>
    <w:p>
      <w:pPr>
        <w:spacing w:after="0" w:line="185"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An award under the 2013 Plan may be exercised by providing the Company with a written notice of exercise, specifying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with respect to which the option is being exercised and full payment of the exercise price for such shares,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2013 Plan, the administrator may, in its discretion, accept cash, provide for net withholding of shares in a cashless exercise mechanism or direct a securities broker to sell shares and deliver all or a part of the proceeds to the Company or the trustee, or direct to pledge shares to a securities broker or lender, as security for a loan, and to deliver all or part of the loan proceeds to the Company or the trustee.</w:t>
      </w:r>
    </w:p>
    <w:p>
      <w:pPr>
        <w:spacing w:after="0" w:line="184" w:lineRule="exact"/>
        <w:rPr>
          <w:sz w:val="20"/>
          <w:szCs w:val="20"/>
          <w:color w:val="auto"/>
        </w:rPr>
      </w:pPr>
    </w:p>
    <w:p>
      <w:pPr>
        <w:ind w:left="160" w:right="100" w:firstLine="546"/>
        <w:spacing w:after="0" w:line="260"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2013 Plan or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neither the options nor any right in connection with such options are assignable or transferable.</w:t>
      </w:r>
    </w:p>
    <w:p>
      <w:pPr>
        <w:spacing w:after="0" w:line="167"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Unless otherwise determined by the administrator and subject to the conditions of the 2013 Plan,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only be exercised for as long as the grantee is an employee or provides services to the Company. In the event of termination of a grantee’s employment or service with the Company or any of its affiliates, all vested and exercisable options held by such grantee as of the date of termination may be exercised within ninety (90) days after such date of termination, unless otherwise determined by the administrator and subject to the conditions of the 2013 Plan. After such ninety (90) day period, all such unexercised options will terminate and the shares covered by such options shall again be available for issuance under the 2021 Plan.</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event of termination of a grantee’s employment or service with the Company or any of its affiliates due to such grantee’s death, permanent disability all vested and exercisable options held by such grantee as of the date of termination may be exercised by the grantee or the grantee’s legal guardian, estate, or by a person who acquired the right to exercise the option by bequest or inheritance, as applicable, within one (1) year after such date of termination, unless otherwise provided by the administrator and in the event of termination due to such grantee’s retirement, within three (3) months of such termination. Any awards which are unvested as of the date of such termination or which are vested but not then exercised within the one (1) year period following such date, will terminate and the shares covered by such options shall again be available for issuance under the 2021 Plan.</w:t>
      </w:r>
    </w:p>
    <w:p>
      <w:pPr>
        <w:spacing w:after="0" w:line="206"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Notwithstanding any of the foregoing, if a grantee’s employment or services with the Company or any of its affiliates is terminated for “cause” (as defined in the 2013 Plan), all outstanding options held by such grantee (whether vested or unvested) will terminate on the date of such termination and the shares covered by such options shall again be available for issuance under the 2021 Plan,) unless otherwise determined by the administrator.</w:t>
      </w:r>
    </w:p>
    <w:p>
      <w:pPr>
        <w:spacing w:after="0" w:line="18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reverse share split, share dividend, recapitalization, combination or reclassification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merger, consolidation, a reorganization or other similar occurrences, the administrator in its sole discretion shall make an appropriate adjustment in the number and class of shares related to each outstanding award, to the class and kind of shares subject to the 2013 Plan, as well as the exercise price per share of each outstanding award, as applicable, the terms and conditions concerning vesting and exercisability and the term and duration of outstanding</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20"/>
        <w:spacing w:after="0" w:line="239" w:lineRule="auto"/>
        <w:rPr>
          <w:sz w:val="20"/>
          <w:szCs w:val="20"/>
          <w:color w:val="auto"/>
        </w:rPr>
      </w:pPr>
      <w:r>
        <w:rPr>
          <w:rFonts w:ascii="Arial" w:cs="Arial" w:eastAsia="Arial" w:hAnsi="Arial"/>
          <w:sz w:val="18"/>
          <w:szCs w:val="18"/>
          <w:color w:val="auto"/>
        </w:rPr>
        <w:t>awards, or any other terms that the administrator adjusts in its discretion; provided that any fractional shares resulting from such adjustment shall be rounded to the nearest whole share unless otherwise determined by the administrator.</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 the event of a merger or consolidation of our Company, or a sale of all, or substantially all, of the Company’s shares or assets or other transaction having a similar effect on the Company, or liquidation or dissolution, or such other transaction or circumstances that the board of directors determines to be a relevant transaction, then without the consent of the grantee, the administrator may but is not required to (i) cause any outstanding award to be assumed or substituted by such successor corporation or any parent or affiliate thereof and (ii) in the event that the awards are not assumed or substituted by an equivalent award (a) provide the grantee with the option to exercise the award as to all or part of the shares, and may provide for an acceleration of vesting of unvested awards, or (b) cancel the award and pay in cash, shares of the Company, the acquirer or other corporation which is a party to such transaction or other property as determined by the administrator as fair in the circumstances.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2021 Employee Share Purchase Plan</w:t>
      </w:r>
    </w:p>
    <w:p>
      <w:pPr>
        <w:spacing w:after="0" w:line="119"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2021 Employee Share Purchase Plan (the “ESPP”) was adopted by our board of directors on March 1, 2021.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86" w:lineRule="exact"/>
        <w:rPr>
          <w:sz w:val="20"/>
          <w:szCs w:val="20"/>
          <w:color w:val="auto"/>
        </w:rPr>
      </w:pPr>
    </w:p>
    <w:p>
      <w:pPr>
        <w:jc w:val="both"/>
        <w:ind w:left="160" w:right="180" w:firstLine="546"/>
        <w:spacing w:after="0" w:line="268"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2,500,000 of our ordinary shares will be available for sale under our ESPP, subject to adjustment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in the ESPP. In addition, on the first day of each fiscal year beginning with our 2022 fiscal year and ending on and including the fiscal year of 2029, such pool of ordinary shares shall be increased by that number of our ordinary shares equal to the lesser of:</w:t>
      </w:r>
    </w:p>
    <w:p>
      <w:pPr>
        <w:spacing w:after="0" w:line="85" w:lineRule="exact"/>
        <w:rPr>
          <w:sz w:val="20"/>
          <w:szCs w:val="20"/>
          <w:color w:val="auto"/>
        </w:rPr>
      </w:pPr>
    </w:p>
    <w:p>
      <w:pPr>
        <w:ind w:left="920" w:right="100" w:hanging="218"/>
        <w:spacing w:after="0" w:line="239" w:lineRule="auto"/>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0.5% of the outstanding ordinary shares as of the last day of the immediately preceding fiscal year, determined on a fully diluted basis;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no event will more than 2,750,000 ordinary shares be available for issuance under the Section 423 Component.</w:t>
      </w:r>
    </w:p>
    <w:p>
      <w:pPr>
        <w:spacing w:after="0" w:line="19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i w:val="1"/>
          <w:iCs w:val="1"/>
          <w:color w:val="auto"/>
        </w:rPr>
        <w:t xml:space="preserve">ESPP Administration. </w:t>
      </w:r>
      <w:r>
        <w:rPr>
          <w:rFonts w:ascii="Arial" w:cs="Arial" w:eastAsia="Arial" w:hAnsi="Arial"/>
          <w:sz w:val="18"/>
          <w:szCs w:val="18"/>
          <w:color w:val="auto"/>
        </w:rPr>
        <w:t>Unless otherwise determined by our board of directors, the compensation committee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the administrator, will 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administrator deems necessary or expedient to promote the best interests of the Company and its subsidiaries and to carry out the intent that the ESPP be treated as an “employee stock purchase plan” within the meaning of Section 423 of the Code for the Section 423 Component.</w:t>
      </w:r>
    </w:p>
    <w:p>
      <w:pPr>
        <w:spacing w:after="0" w:line="187" w:lineRule="exact"/>
        <w:rPr>
          <w:sz w:val="20"/>
          <w:szCs w:val="20"/>
          <w:color w:val="auto"/>
        </w:rPr>
      </w:pPr>
    </w:p>
    <w:p>
      <w:pPr>
        <w:jc w:val="both"/>
        <w:ind w:left="160" w:firstLine="546"/>
        <w:spacing w:after="0" w:line="24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Participation in the Section 423 Component may be limited in the terms of any offering to employees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designated subsidiaries (a) who customarily work 20 hours or more per week, (b) whose customary employment is for more than five months per calendar year, and (c) who satisfy the procedural enrollment and other requirements set forth in the ESPP.</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456"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48" w:lineRule="auto"/>
        <w:rPr>
          <w:sz w:val="20"/>
          <w:szCs w:val="20"/>
          <w:color w:val="auto"/>
        </w:rPr>
      </w:pPr>
      <w:r>
        <w:rPr>
          <w:rFonts w:ascii="Arial" w:cs="Arial" w:eastAsia="Arial" w:hAnsi="Arial"/>
          <w:sz w:val="17"/>
          <w:szCs w:val="17"/>
          <w:color w:val="auto"/>
        </w:rPr>
        <w:t>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178" w:lineRule="exact"/>
        <w:rPr>
          <w:sz w:val="20"/>
          <w:szCs w:val="20"/>
          <w:color w:val="auto"/>
        </w:rPr>
      </w:pPr>
    </w:p>
    <w:p>
      <w:pPr>
        <w:ind w:left="160" w:firstLine="546"/>
        <w:spacing w:after="0" w:line="242"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The ESPP provides for offering periods, not to exceed 27 months each, during which we will grant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our ordinary shares to our employees. The timing of the offering periods will be determined by the administrator. The terms and conditions applicable to each offering period will be set forth in an offering document adopted by the administrator for the particular offering period. The provisions of offerings during separate offering periods under the ESPP need not be identical.</w:t>
      </w:r>
    </w:p>
    <w:p>
      <w:pPr>
        <w:spacing w:after="0" w:line="182"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Our ESPP will permit participants to purchase our ordinary shares through contributions (in the form of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or otherwise, to the extent permitted by the administrator). The percentage of compensation designated by an eligible employee as payroll deductions for participation in an offering may not be less than 1% and may not be more than the maximum percentage specified by the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administrator may limit the number of changes a participant may make in the applicable offering document. In the absence of any specific designation by the administrator, a participant may decrease (but not increase) his or her payroll deduction elections one time during each offering period.</w:t>
      </w:r>
    </w:p>
    <w:p>
      <w:pPr>
        <w:spacing w:after="0" w:line="188"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i w:val="1"/>
          <w:iCs w:val="1"/>
          <w:color w:val="auto"/>
        </w:rPr>
        <w:t xml:space="preserve">Exercise of Purchase Right. </w:t>
      </w:r>
      <w:r>
        <w:rPr>
          <w:rFonts w:ascii="Arial" w:cs="Arial" w:eastAsia="Arial" w:hAnsi="Arial"/>
          <w:sz w:val="18"/>
          <w:szCs w:val="18"/>
          <w:color w:val="auto"/>
        </w:rPr>
        <w:t>Amounts contributed and accumulated by the participant will be used to purchase our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each offering period. Unless otherwise determined by the administrator, the purchase price of the shares will be 85% of the lower of the fair market value of our ordinary shares on (i) the first trading day of the offering period or (ii) the last trading day of the offering period (and may not be lower than such amount with respect to the Section 423 Component). Participants may end their participation at any time during an offering period and will be paid their accrued contributions that have not yet been used to purchase our ordinary shares. Participation ends automatically upon termination of employment with us.</w:t>
      </w:r>
    </w:p>
    <w:p>
      <w:pPr>
        <w:spacing w:after="0" w:line="186" w:lineRule="exact"/>
        <w:rPr>
          <w:sz w:val="20"/>
          <w:szCs w:val="20"/>
          <w:color w:val="auto"/>
        </w:rPr>
      </w:pPr>
    </w:p>
    <w:p>
      <w:pPr>
        <w:ind w:left="160" w:right="460" w:firstLine="546"/>
        <w:spacing w:after="0" w:line="260"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contributions credited to his or her account nor any rights granted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ESPP other than by will, the laws of descent and distribution or as otherwise provided under our ESPP.</w:t>
      </w:r>
    </w:p>
    <w:p>
      <w:pPr>
        <w:spacing w:after="0" w:line="167" w:lineRule="exact"/>
        <w:rPr>
          <w:sz w:val="20"/>
          <w:szCs w:val="20"/>
          <w:color w:val="auto"/>
        </w:rPr>
      </w:pPr>
    </w:p>
    <w:p>
      <w:pPr>
        <w:ind w:left="160" w:right="80" w:firstLine="546"/>
        <w:spacing w:after="0" w:line="260"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transactions or events such as a consolidation, merger or similar transaction, a sale</w:t>
      </w:r>
      <w:r>
        <w:rPr>
          <w:rFonts w:ascii="Arial" w:cs="Arial" w:eastAsia="Arial" w:hAnsi="Arial"/>
          <w:sz w:val="18"/>
          <w:szCs w:val="18"/>
          <w:i w:val="1"/>
          <w:iCs w:val="1"/>
          <w:color w:val="auto"/>
        </w:rPr>
        <w:t xml:space="preserve"> </w:t>
      </w:r>
      <w:r>
        <w:rPr>
          <w:rFonts w:ascii="Arial" w:cs="Arial" w:eastAsia="Arial" w:hAnsi="Arial"/>
          <w:sz w:val="18"/>
          <w:szCs w:val="18"/>
          <w:color w:val="auto"/>
        </w:rPr>
        <w:t>or transfer of all or substantially all of the Company’s assets, or a</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dissolution or liquidation of the Company, the administrator may, in its discretion, provide that (i) each outstanding purchase right will be</w:t>
      </w:r>
    </w:p>
    <w:p>
      <w:pPr>
        <w:ind w:left="440" w:hanging="273"/>
        <w:spacing w:after="0" w:line="232"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assumed or substituted for a right granted by the acquiror or successor corporation or by a parent or subsidiary of such entity,</w:t>
      </w:r>
    </w:p>
    <w:p>
      <w:pPr>
        <w:ind w:left="160" w:right="240" w:firstLine="7"/>
        <w:spacing w:after="0" w:line="237" w:lineRule="auto"/>
        <w:tabs>
          <w:tab w:leader="none" w:pos="4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terminated in exchange for cash or other property as determined by the administrator, or (c) cancelled with accumulated payroll deductions returned to each participant, or (ii) the participant’s accumulated payroll deductions may be used to purchase shares prior to the end of the offering period and before the date of the proposed sale, merger or similar transaction.</w:t>
      </w:r>
    </w:p>
    <w:p>
      <w:pPr>
        <w:spacing w:after="0" w:line="185" w:lineRule="exact"/>
        <w:rPr>
          <w:sz w:val="20"/>
          <w:szCs w:val="20"/>
          <w:color w:val="auto"/>
        </w:rPr>
      </w:pPr>
    </w:p>
    <w:p>
      <w:pPr>
        <w:ind w:left="160" w:right="360" w:firstLine="546"/>
        <w:spacing w:after="0" w:line="260"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administrator will have the authority to amend, suspend or terminate our ESPP. Our ESPP is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 specific termination date.</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Share Incentive Plan</w:t>
      </w:r>
    </w:p>
    <w:p>
      <w:pPr>
        <w:spacing w:after="0" w:line="12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2021 Share Incentive Plan, or the 2021 Plan, was adopted by our board of directors on March 1,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20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Shares Available for Grants. The maximum number ordinary shares available for issuance under the 2021 Plan is equal to the sum of (i) 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ordinary shares reserved and available for issuance under the 2021 Plan in its discretion.</w:t>
      </w:r>
    </w:p>
    <w:p>
      <w:pPr>
        <w:spacing w:after="0" w:line="185"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will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205"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The administrator also has the authority to approve the conversion, substitution, cancellation or suspension under and in accordance with the 2021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2021 Plan but without amending the 2021 Plan.</w:t>
      </w:r>
    </w:p>
    <w:p>
      <w:pPr>
        <w:spacing w:after="0" w:line="202"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2021 Plan or terminate the 2021 Plan at any time before the date of expiration of its ten year term.</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60" w:right="20" w:firstLine="546"/>
        <w:spacing w:after="0" w:line="24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2021 Plan provides for granting awards under various tax regimes, including, without limitation, 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102 of the Israeli Income Tax Ordinance (New Version), 5721-1961 (the “Ordinance”), and Section 3(9) of the Ordinance and for awards granted to our United States employees or service providers, including those who are deemed to be residents of the United States for tax purposes, Section 422 of the Code and Section 409A of the Code.</w:t>
      </w:r>
    </w:p>
    <w:p>
      <w:pPr>
        <w:spacing w:after="0" w:line="200"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Section 102 of the Ordinance allows employees, directors and officers who are not controlling shareholders and are considered Israeli residents to receive favorable tax treatment for compensation in the form of shares or options. Our non-employee service providers may only be granted options under section 3(</w:t>
      </w:r>
      <w:r>
        <w:rPr>
          <w:rFonts w:ascii="Arial" w:cs="Arial" w:eastAsia="Arial" w:hAnsi="Arial"/>
          <w:sz w:val="18"/>
          <w:szCs w:val="18"/>
          <w:i w:val="1"/>
          <w:iCs w:val="1"/>
          <w:color w:val="auto"/>
        </w:rPr>
        <w:t>9</w:t>
      </w:r>
      <w:r>
        <w:rPr>
          <w:rFonts w:ascii="Arial" w:cs="Arial" w:eastAsia="Arial" w:hAnsi="Arial"/>
          <w:sz w:val="18"/>
          <w:szCs w:val="18"/>
          <w:color w:val="auto"/>
        </w:rPr>
        <w:t>) of the Ordinance, which does not provide for similar tax benefits.</w:t>
      </w:r>
    </w:p>
    <w:p>
      <w:pPr>
        <w:spacing w:after="0" w:line="185"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All awards granted pursuant to the 2021 Plan will be evidenced by an award agreement, in a form approved,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spacing w:after="0" w:line="18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202"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Each award will expire ten years from the date of the grant thereof, unless such shorter term of expiration is otherwise designated by the administrator.</w:t>
      </w:r>
    </w:p>
    <w:p>
      <w:pPr>
        <w:spacing w:after="0" w:line="185" w:lineRule="exact"/>
        <w:rPr>
          <w:sz w:val="20"/>
          <w:szCs w:val="20"/>
          <w:color w:val="auto"/>
        </w:rPr>
      </w:pPr>
    </w:p>
    <w:p>
      <w:pPr>
        <w:ind w:left="160" w:right="260" w:firstLine="546"/>
        <w:spacing w:after="0" w:line="260"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2021 Plan provides for the grant of stock options (including incentive stock options and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restricted shares, restricted share units, stock appreciation rights and other share-based awards.</w:t>
      </w:r>
    </w:p>
    <w:p>
      <w:pPr>
        <w:spacing w:after="0" w:line="185"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shareholders, not less than 110%.</w:t>
      </w:r>
    </w:p>
    <w:p>
      <w:pPr>
        <w:spacing w:after="0" w:line="177" w:lineRule="exact"/>
        <w:rPr>
          <w:sz w:val="20"/>
          <w:szCs w:val="20"/>
          <w:color w:val="auto"/>
        </w:rPr>
      </w:pPr>
    </w:p>
    <w:p>
      <w:pPr>
        <w:ind w:left="160" w:right="40" w:firstLine="546"/>
        <w:spacing w:after="0" w:line="238"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An award under the 2021 Plan may be exercised by providing the Company with a written or electronic notice of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the Company or the trustee.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60" w:right="320" w:firstLine="546"/>
        <w:spacing w:after="0" w:line="260"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2021 Plan,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nor any right in connection with such options are assignable or transferable.</w:t>
      </w:r>
    </w:p>
    <w:p>
      <w:pPr>
        <w:spacing w:after="0" w:line="167" w:lineRule="exact"/>
        <w:rPr>
          <w:sz w:val="20"/>
          <w:szCs w:val="20"/>
          <w:color w:val="auto"/>
        </w:rPr>
      </w:pPr>
    </w:p>
    <w:p>
      <w:pPr>
        <w:ind w:left="160" w:right="80" w:firstLine="546"/>
        <w:spacing w:after="0" w:line="242"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event of termination of a grantee’s employment or service with the Company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all vested and exercisable awards held by such grantee as of the date of termination may be exercised within three months after such date of termination, unless otherwise determined by the administrator. After such three month period, all such unexercised awards will terminate and the shares covered by such awards shall again be available for issuance under the 2021 Plan.</w:t>
      </w:r>
    </w:p>
    <w:p>
      <w:pPr>
        <w:spacing w:after="0" w:line="200"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In the event of termination of a grantee’s employment or service with the Company or any of its affiliates due to such grantee’s death or permanent disability, or in the event of the grantee’s death within the three month period (or such longer period as determined by the administrator) following his or her termination of service, all vested and exercisable awards held by such grantee as of the date of termination may be exercised by the grantee or the grantee’s legal guardian, estate, or by a person who acquired the right to exercise the award by bequest or inheritance, as applicable, within one year after such date of termination, unless otherwise provided by the administrator. Any awards which are unvested as of the date of such termination or which are vested but not then exercised within the one year period following such date, will terminate and the shares covered by such awards shall again be available for issuance under the 2021 Plan.</w:t>
      </w:r>
    </w:p>
    <w:p>
      <w:pPr>
        <w:spacing w:after="0" w:line="204" w:lineRule="exact"/>
        <w:rPr>
          <w:sz w:val="20"/>
          <w:szCs w:val="20"/>
          <w:color w:val="auto"/>
        </w:rPr>
      </w:pPr>
    </w:p>
    <w:p>
      <w:pPr>
        <w:jc w:val="both"/>
        <w:ind w:left="160" w:right="160" w:firstLine="546"/>
        <w:spacing w:after="0" w:line="257" w:lineRule="auto"/>
        <w:rPr>
          <w:sz w:val="20"/>
          <w:szCs w:val="20"/>
          <w:color w:val="auto"/>
        </w:rPr>
      </w:pPr>
      <w:r>
        <w:rPr>
          <w:rFonts w:ascii="Arial" w:cs="Arial" w:eastAsia="Arial" w:hAnsi="Arial"/>
          <w:sz w:val="17"/>
          <w:szCs w:val="17"/>
          <w:color w:val="auto"/>
        </w:rPr>
        <w:t>Notwithstanding any of the foregoing, if a grantee’s employment or services with the Company or any of its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spacing w:after="0" w:line="170" w:lineRule="exact"/>
        <w:rPr>
          <w:sz w:val="20"/>
          <w:szCs w:val="20"/>
          <w:color w:val="auto"/>
        </w:rPr>
      </w:pPr>
    </w:p>
    <w:p>
      <w:pPr>
        <w:ind w:left="160" w:right="20" w:firstLine="546"/>
        <w:spacing w:after="0" w:line="242"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with respect to restricted share awards, grantees will not have the rights as a shareholder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shares covered by an award until the award has vested and/or the grantee has exercised such award, paid any exercise price for such award and becomes the record holder of the shares. With respect to restricted share awards, grantees will possess all incidents of ownership of the restricted shares, including the right to vote and receive dividends on such shares.</w:t>
      </w:r>
    </w:p>
    <w:p>
      <w:pPr>
        <w:spacing w:after="0" w:line="182" w:lineRule="exact"/>
        <w:rPr>
          <w:sz w:val="20"/>
          <w:szCs w:val="20"/>
          <w:color w:val="auto"/>
        </w:rPr>
      </w:pPr>
    </w:p>
    <w:p>
      <w:pPr>
        <w:ind w:left="160" w:right="40" w:firstLine="546"/>
        <w:spacing w:after="0" w:line="242"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Grantees holding restricted share awards will be entitled to receive dividends and other distributions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restricted share award. Any stock split, stock dividend, combination of shares or similar transaction will be subject to the restrictions of the original restricted share award. Grantees holding restricted share units will not be eligible to receive dividend but may be eligible to receive dividend equivalents.</w:t>
      </w:r>
    </w:p>
    <w:p>
      <w:pPr>
        <w:spacing w:after="0" w:line="18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reverse share split, share dividend, recapitalization, combination or reclassification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shares, the administrator in its sole discretion may, and where required by applicable law shall, without the need for a consent of any holder, make an appropriate adjustment in order to adjust (i) the number and class of shares reserved and available for the outstanding awards, (ii) the number and class of shares covered by outstanding awards, (iii) the exercise price per share covered by any award, (iv) the terms and conditions concerning vesting and exercisability and the term and duration of the outstanding awards, and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administrator should be adjusted; provided that any fractional shares resulting from such adjustment shall be rounded to the nearest whole share unless otherwise determined by the administrator. In the event of a distribution of</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a cash dividend to all shareholders, the administrator may determine, without the consent of any holder of an award, that the exercise price of an outstanding and unexercised award shall be reduced by an amount equal to the per share gross dividend amount distributed by the Company, subject to applicable law.</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event of a merger or consolidation of the Company, or a sale of all, or substantially all, of the Company’s shares or assets or other transaction having a similar effect on the Company, or change in the composition of the board of directors, or liquidation or dissolution, or such other transaction or circumstances that the board of directors determines to be a relevant transaction, then without the consent of the grantee, (i) unless otherwise determined by the administrator, any outstanding award will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shares of the Company, the acquirer or other corporation which is a party to such transaction or other property as determined by the administrator as fair in the circumstances, or (c) provide that the terms of any award shall be otherwise amended, modified or terminated, as determined by the administrator to be fair in the circumstances.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6" w:right="5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AND SELLING SHAREHOLDERS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June 30, 2021 both before and as adjusted to give effect to this offering by:</w:t>
      </w:r>
    </w:p>
    <w:p>
      <w:pPr>
        <w:spacing w:after="0" w:line="109" w:lineRule="exact"/>
        <w:rPr>
          <w:sz w:val="20"/>
          <w:szCs w:val="20"/>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more than 5% of our outstanding ordinary shares;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the selling shareholders individually;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The beneficial ownership of ordinary shares is determined in accordance with the SEC rules and generally includes any ordinary shares over which a person exercises sole or shared voting or investment power.</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For purposes of the table below, we deem ordinary shares subject to options or warrants that are exercisable within 60 days of June 30, 2021 to be outstanding and to be beneficially owned by the person holding the options or warrants for the purposes of computing the ownership and percentage ownership of that person but we do not treat them as outstanding for the purpose of computing the ownership or percentage ownership of any other person, except with respect to the ownership and percentage ownership of all executive officers and directors as a group.</w:t>
      </w:r>
    </w:p>
    <w:p>
      <w:pPr>
        <w:spacing w:after="0" w:line="204"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See “Description of Share Capital and Articles of Association—Amended and Restated Articles of Association—Voting.” Unless otherwise noted below, the address of each shareholder listed below is 25 Basel Street, Petah Tikva, 4951038, Israel.</w:t>
      </w:r>
    </w:p>
    <w:p>
      <w:pPr>
        <w:spacing w:after="0" w:line="203"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“Certain Relationships and Related Party Transactions.”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10"/>
          </w:tcPr>
          <w:p>
            <w:pPr>
              <w:ind w:left="280"/>
              <w:spacing w:after="0"/>
              <w:rPr>
                <w:sz w:val="20"/>
                <w:szCs w:val="20"/>
                <w:color w:val="auto"/>
              </w:rPr>
            </w:pPr>
            <w:r>
              <w:rPr>
                <w:rFonts w:ascii="Arial" w:cs="Arial" w:eastAsia="Arial" w:hAnsi="Arial"/>
                <w:sz w:val="14"/>
                <w:szCs w:val="14"/>
                <w:b w:val="1"/>
                <w:bCs w:val="1"/>
                <w:color w:val="auto"/>
              </w:rPr>
              <w:t>Shares Beneficially Owned After Offering</w:t>
            </w: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Borders>
              <w:top w:val="single" w:sz="8" w:color="auto"/>
            </w:tcBorders>
            <w:gridSpan w:val="3"/>
          </w:tcPr>
          <w:p>
            <w:pPr>
              <w:jc w:val="center"/>
              <w:ind w:left="229"/>
              <w:spacing w:after="0" w:line="141" w:lineRule="exact"/>
              <w:rPr>
                <w:sz w:val="20"/>
                <w:szCs w:val="20"/>
                <w:color w:val="auto"/>
              </w:rPr>
            </w:pPr>
            <w:r>
              <w:rPr>
                <w:rFonts w:ascii="Arial" w:cs="Arial" w:eastAsia="Arial" w:hAnsi="Arial"/>
                <w:sz w:val="14"/>
                <w:szCs w:val="14"/>
                <w:b w:val="1"/>
                <w:bCs w:val="1"/>
                <w:color w:val="auto"/>
              </w:rPr>
              <w:t>Assuming</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left="229"/>
              <w:spacing w:after="0" w:line="141" w:lineRule="exact"/>
              <w:rPr>
                <w:sz w:val="20"/>
                <w:szCs w:val="20"/>
                <w:color w:val="auto"/>
              </w:rPr>
            </w:pPr>
            <w:r>
              <w:rPr>
                <w:rFonts w:ascii="Arial" w:cs="Arial" w:eastAsia="Arial" w:hAnsi="Arial"/>
                <w:sz w:val="14"/>
                <w:szCs w:val="14"/>
                <w:b w:val="1"/>
                <w:bCs w:val="1"/>
                <w:color w:val="auto"/>
              </w:rPr>
              <w:t>Assuming</w:t>
            </w:r>
          </w:p>
        </w:tc>
        <w:tc>
          <w:tcPr>
            <w:tcW w:w="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Underwriters’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Underwriters’</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Option to Purchase</w:t>
            </w: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Option to Purchase</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Shares Beneficially</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w w:val="99"/>
              </w:rPr>
              <w:t>Additional</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left="249"/>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Owned Prior to</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Ordinary Shares</w:t>
            </w: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Ordinary Shares</w:t>
            </w: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4"/>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left="289"/>
              <w:spacing w:after="0"/>
              <w:rPr>
                <w:sz w:val="20"/>
                <w:szCs w:val="20"/>
                <w:color w:val="auto"/>
              </w:rPr>
            </w:pPr>
            <w:r>
              <w:rPr>
                <w:rFonts w:ascii="Arial" w:cs="Arial" w:eastAsia="Arial" w:hAnsi="Arial"/>
                <w:sz w:val="14"/>
                <w:szCs w:val="14"/>
                <w:b w:val="1"/>
                <w:bCs w:val="1"/>
                <w:color w:val="auto"/>
              </w:rPr>
              <w:t>Offering</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Being Offered</w:t>
            </w: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is Not Exercised</w:t>
            </w: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is Exercised in Full</w:t>
            </w:r>
          </w:p>
        </w:tc>
        <w:tc>
          <w:tcPr>
            <w:tcW w:w="0" w:type="dxa"/>
            <w:vAlign w:val="bottom"/>
          </w:tcPr>
          <w:p>
            <w:pPr>
              <w:spacing w:after="0"/>
              <w:rPr>
                <w:sz w:val="1"/>
                <w:szCs w:val="1"/>
                <w:color w:val="auto"/>
              </w:rPr>
            </w:pPr>
          </w:p>
        </w:tc>
      </w:tr>
      <w:tr>
        <w:trPr>
          <w:trHeight w:val="154"/>
        </w:trPr>
        <w:tc>
          <w:tcPr>
            <w:tcW w:w="4460" w:type="dxa"/>
            <w:vAlign w:val="bottom"/>
            <w:gridSpan w:val="2"/>
            <w:vMerge w:val="continue"/>
          </w:tcPr>
          <w:p>
            <w:pPr>
              <w:spacing w:after="0"/>
              <w:rPr>
                <w:sz w:val="13"/>
                <w:szCs w:val="13"/>
                <w:color w:val="auto"/>
              </w:rPr>
            </w:pPr>
          </w:p>
        </w:tc>
        <w:tc>
          <w:tcPr>
            <w:tcW w:w="1120" w:type="dxa"/>
            <w:vAlign w:val="bottom"/>
            <w:tcBorders>
              <w:top w:val="single" w:sz="8" w:color="auto"/>
            </w:tcBorders>
            <w:gridSpan w:val="2"/>
          </w:tcPr>
          <w:p>
            <w:pPr>
              <w:ind w:left="160"/>
              <w:spacing w:after="0" w:line="154"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100" w:type="dxa"/>
            <w:vAlign w:val="bottom"/>
            <w:tcBorders>
              <w:top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1220" w:type="dxa"/>
            <w:vAlign w:val="bottom"/>
            <w:tcBorders>
              <w:top w:val="single" w:sz="8" w:color="auto"/>
            </w:tcBorders>
            <w:gridSpan w:val="3"/>
          </w:tcPr>
          <w:p>
            <w:pPr>
              <w:ind w:left="160"/>
              <w:spacing w:after="0" w:line="154"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tcBorders>
              <w:top w:val="single" w:sz="8" w:color="auto"/>
            </w:tcBorders>
            <w:gridSpan w:val="3"/>
          </w:tcPr>
          <w:p>
            <w:pPr>
              <w:ind w:left="180"/>
              <w:spacing w:after="0" w:line="154"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6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b w:val="1"/>
                <w:bCs w:val="1"/>
                <w:i w:val="1"/>
                <w:iCs w:val="1"/>
                <w:color w:val="auto"/>
              </w:rPr>
              <w:t>Principal Shareholders</w:t>
            </w:r>
          </w:p>
        </w:tc>
        <w:tc>
          <w:tcPr>
            <w:tcW w:w="2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Red Dot Capital Partners L.P.(1)</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18,660,400</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12.8</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2,708,444</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15,951,956</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11.0</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15,545,689</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Deutsche Post Beteiligungen Holding GmbH(2)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21,423,600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21,423,600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21,423,600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Goor HoldCo Ltd.(3)</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13,821,600</w:t>
            </w:r>
          </w:p>
        </w:tc>
        <w:tc>
          <w:tcPr>
            <w:tcW w:w="360" w:type="dxa"/>
            <w:vAlign w:val="bottom"/>
          </w:tcPr>
          <w:p>
            <w:pPr>
              <w:jc w:val="right"/>
              <w:spacing w:after="0"/>
              <w:rPr>
                <w:sz w:val="20"/>
                <w:szCs w:val="20"/>
                <w:color w:val="auto"/>
              </w:rPr>
            </w:pPr>
            <w:r>
              <w:rPr>
                <w:rFonts w:ascii="Arial" w:cs="Arial" w:eastAsia="Arial" w:hAnsi="Arial"/>
                <w:sz w:val="14"/>
                <w:szCs w:val="14"/>
                <w:color w:val="auto"/>
              </w:rPr>
              <w:t>9.5</w:t>
            </w: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2,010,431</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11,811,169</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8.1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11,509,604</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Cross Ship S.à r.l.(4)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26,216,400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3,813,326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22,403,074</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21,831,075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Shopify International Limited(5)</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9,726,139</w:t>
            </w:r>
          </w:p>
        </w:tc>
        <w:tc>
          <w:tcPr>
            <w:tcW w:w="360" w:type="dxa"/>
            <w:vAlign w:val="bottom"/>
          </w:tcPr>
          <w:p>
            <w:pPr>
              <w:jc w:val="right"/>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3"/>
                <w:szCs w:val="13"/>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9,726,139</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6.7</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9,726,139</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Other Selling Shareholders:</w:t>
            </w: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Itshak Shaked Assets Ltd.</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6,968,400</w:t>
            </w: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1,013,594</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5,954,806</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4.1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5,802,767</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Yaron Lemelbaum</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2,899,800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421,793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2,478,007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2,414,739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Natan Schlachet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1,216,800</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176,991</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1,039,809</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1,013,261</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Rotter Holdings Ltd.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1,209,000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175,856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1,033,144</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1,006,766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Arial" w:cs="Arial" w:eastAsia="Arial" w:hAnsi="Arial"/>
                <w:sz w:val="14"/>
                <w:szCs w:val="14"/>
                <w:color w:val="auto"/>
              </w:rPr>
              <w:t>Viola Credit Five Fund Limited Partnership</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464,400</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67,550</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396,850</w:t>
            </w:r>
          </w:p>
        </w:tc>
        <w:tc>
          <w:tcPr>
            <w:tcW w:w="10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386,718</w:t>
            </w: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10"/>
          </w:tcPr>
          <w:p>
            <w:pPr>
              <w:ind w:left="280"/>
              <w:spacing w:after="0"/>
              <w:rPr>
                <w:sz w:val="20"/>
                <w:szCs w:val="20"/>
                <w:color w:val="auto"/>
              </w:rPr>
            </w:pPr>
            <w:r>
              <w:rPr>
                <w:rFonts w:ascii="Arial" w:cs="Arial" w:eastAsia="Arial" w:hAnsi="Arial"/>
                <w:sz w:val="14"/>
                <w:szCs w:val="14"/>
                <w:b w:val="1"/>
                <w:bCs w:val="1"/>
                <w:color w:val="auto"/>
              </w:rPr>
              <w:t>Shares Beneficially Owned After Offering</w:t>
            </w: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Borders>
              <w:top w:val="single" w:sz="8" w:color="auto"/>
            </w:tcBorders>
            <w:gridSpan w:val="3"/>
          </w:tcPr>
          <w:p>
            <w:pPr>
              <w:jc w:val="center"/>
              <w:ind w:left="229"/>
              <w:spacing w:after="0" w:line="141" w:lineRule="exact"/>
              <w:rPr>
                <w:sz w:val="20"/>
                <w:szCs w:val="20"/>
                <w:color w:val="auto"/>
              </w:rPr>
            </w:pPr>
            <w:r>
              <w:rPr>
                <w:rFonts w:ascii="Arial" w:cs="Arial" w:eastAsia="Arial" w:hAnsi="Arial"/>
                <w:sz w:val="14"/>
                <w:szCs w:val="14"/>
                <w:b w:val="1"/>
                <w:bCs w:val="1"/>
                <w:color w:val="auto"/>
              </w:rPr>
              <w:t>Assuming</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left="229"/>
              <w:spacing w:after="0" w:line="141" w:lineRule="exact"/>
              <w:rPr>
                <w:sz w:val="20"/>
                <w:szCs w:val="20"/>
                <w:color w:val="auto"/>
              </w:rPr>
            </w:pPr>
            <w:r>
              <w:rPr>
                <w:rFonts w:ascii="Arial" w:cs="Arial" w:eastAsia="Arial" w:hAnsi="Arial"/>
                <w:sz w:val="14"/>
                <w:szCs w:val="14"/>
                <w:b w:val="1"/>
                <w:bCs w:val="1"/>
                <w:color w:val="auto"/>
              </w:rPr>
              <w:t>Assuming</w:t>
            </w:r>
          </w:p>
        </w:tc>
        <w:tc>
          <w:tcPr>
            <w:tcW w:w="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Underwriters’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rPr>
              <w:t>Underwriters’</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Option to Purchase</w:t>
            </w: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Option to Purchase</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Shares Beneficially</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left="229"/>
              <w:spacing w:after="0"/>
              <w:rPr>
                <w:sz w:val="20"/>
                <w:szCs w:val="20"/>
                <w:color w:val="auto"/>
              </w:rPr>
            </w:pPr>
            <w:r>
              <w:rPr>
                <w:rFonts w:ascii="Arial" w:cs="Arial" w:eastAsia="Arial" w:hAnsi="Arial"/>
                <w:sz w:val="14"/>
                <w:szCs w:val="14"/>
                <w:b w:val="1"/>
                <w:bCs w:val="1"/>
                <w:color w:val="auto"/>
                <w:w w:val="99"/>
              </w:rPr>
              <w:t>Additional</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left="249"/>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Owned Prior to</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Ordinary Shares</w:t>
            </w: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Ordinary Shares</w:t>
            </w: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4"/>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left="289"/>
              <w:spacing w:after="0"/>
              <w:rPr>
                <w:sz w:val="20"/>
                <w:szCs w:val="20"/>
                <w:color w:val="auto"/>
              </w:rPr>
            </w:pPr>
            <w:r>
              <w:rPr>
                <w:rFonts w:ascii="Arial" w:cs="Arial" w:eastAsia="Arial" w:hAnsi="Arial"/>
                <w:sz w:val="14"/>
                <w:szCs w:val="14"/>
                <w:b w:val="1"/>
                <w:bCs w:val="1"/>
                <w:color w:val="auto"/>
              </w:rPr>
              <w:t>Offering</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Being Offered</w:t>
            </w: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is Not Exercised</w:t>
            </w: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is Exercised in Full</w:t>
            </w:r>
          </w:p>
        </w:tc>
        <w:tc>
          <w:tcPr>
            <w:tcW w:w="0" w:type="dxa"/>
            <w:vAlign w:val="bottom"/>
          </w:tcPr>
          <w:p>
            <w:pPr>
              <w:spacing w:after="0"/>
              <w:rPr>
                <w:sz w:val="1"/>
                <w:szCs w:val="1"/>
                <w:color w:val="auto"/>
              </w:rPr>
            </w:pPr>
          </w:p>
        </w:tc>
      </w:tr>
      <w:tr>
        <w:trPr>
          <w:trHeight w:val="154"/>
        </w:trPr>
        <w:tc>
          <w:tcPr>
            <w:tcW w:w="4460" w:type="dxa"/>
            <w:vAlign w:val="bottom"/>
            <w:gridSpan w:val="2"/>
            <w:vMerge w:val="continue"/>
          </w:tcPr>
          <w:p>
            <w:pPr>
              <w:spacing w:after="0"/>
              <w:rPr>
                <w:sz w:val="13"/>
                <w:szCs w:val="13"/>
                <w:color w:val="auto"/>
              </w:rPr>
            </w:pPr>
          </w:p>
        </w:tc>
        <w:tc>
          <w:tcPr>
            <w:tcW w:w="1120" w:type="dxa"/>
            <w:vAlign w:val="bottom"/>
            <w:tcBorders>
              <w:top w:val="single" w:sz="8" w:color="auto"/>
            </w:tcBorders>
            <w:gridSpan w:val="2"/>
          </w:tcPr>
          <w:p>
            <w:pPr>
              <w:ind w:left="160"/>
              <w:spacing w:after="0" w:line="154"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100" w:type="dxa"/>
            <w:vAlign w:val="bottom"/>
            <w:tcBorders>
              <w:top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1220" w:type="dxa"/>
            <w:vAlign w:val="bottom"/>
            <w:tcBorders>
              <w:top w:val="single" w:sz="8" w:color="auto"/>
            </w:tcBorders>
            <w:gridSpan w:val="3"/>
          </w:tcPr>
          <w:p>
            <w:pPr>
              <w:ind w:left="160"/>
              <w:spacing w:after="0" w:line="154"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tcBorders>
              <w:top w:val="single" w:sz="8" w:color="auto"/>
            </w:tcBorders>
            <w:gridSpan w:val="3"/>
          </w:tcPr>
          <w:p>
            <w:pPr>
              <w:ind w:left="180"/>
              <w:spacing w:after="0" w:line="154"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6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4"/>
                <w:szCs w:val="14"/>
                <w:b w:val="1"/>
                <w:bCs w:val="1"/>
                <w:i w:val="1"/>
                <w:iCs w:val="1"/>
                <w:color w:val="auto"/>
              </w:rPr>
              <w:t>Directors, Director Nominees and Executive Officers</w:t>
            </w:r>
          </w:p>
        </w:tc>
        <w:tc>
          <w:tcPr>
            <w:tcW w:w="2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Amir Schlachet(6)</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6,376,800</w:t>
            </w:r>
          </w:p>
        </w:tc>
        <w:tc>
          <w:tcPr>
            <w:tcW w:w="36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530,024</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5,846,776</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4.0</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5,767,272</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Shahar Tamari(7)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6,376,200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529,974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5,846,226</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5,766,730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Nir Debbi(8)</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6,641,400</w:t>
            </w:r>
          </w:p>
        </w:tc>
        <w:tc>
          <w:tcPr>
            <w:tcW w:w="360" w:type="dxa"/>
            <w:vAlign w:val="bottom"/>
          </w:tcPr>
          <w:p>
            <w:pPr>
              <w:jc w:val="right"/>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552,017</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6,089,383</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4.1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6,006,580</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Eden Zaharoni(9)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616,200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616,200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616,200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Ofer Koren(10)</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225,000</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225,000</w:t>
            </w:r>
          </w:p>
        </w:tc>
        <w:tc>
          <w:tcPr>
            <w:tcW w:w="1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Thomas Studd(11)</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Miguel Angel Parra(12)</w:t>
            </w:r>
          </w:p>
        </w:tc>
        <w:tc>
          <w:tcPr>
            <w:tcW w:w="11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Tzvia Broida</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460" w:type="dxa"/>
            <w:vAlign w:val="bottom"/>
            <w:gridSpan w:val="2"/>
          </w:tcPr>
          <w:p>
            <w:pPr>
              <w:spacing w:after="0"/>
              <w:rPr>
                <w:sz w:val="20"/>
                <w:szCs w:val="20"/>
                <w:color w:val="auto"/>
              </w:rPr>
            </w:pPr>
            <w:r>
              <w:rPr>
                <w:rFonts w:ascii="Arial" w:cs="Arial" w:eastAsia="Arial" w:hAnsi="Arial"/>
                <w:sz w:val="14"/>
                <w:szCs w:val="14"/>
                <w:color w:val="auto"/>
              </w:rPr>
              <w:t>Anna J. Bakst</w:t>
            </w:r>
          </w:p>
        </w:tc>
        <w:tc>
          <w:tcPr>
            <w:tcW w:w="11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Iris Epple-Righi</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All executive officers and directors as a group (10 persons)</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20,235,600</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13.4</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1,612,015</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18,623,585</w:t>
            </w:r>
          </w:p>
        </w:tc>
        <w:tc>
          <w:tcPr>
            <w:tcW w:w="10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12.3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18,381,782</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6" w:lineRule="exact"/>
        <w:rPr>
          <w:sz w:val="20"/>
          <w:szCs w:val="20"/>
          <w:color w:val="auto"/>
        </w:rPr>
      </w:pPr>
    </w:p>
    <w:p>
      <w:pPr>
        <w:ind w:left="600" w:hanging="433"/>
        <w:spacing w:after="0"/>
        <w:tabs>
          <w:tab w:leader="none" w:pos="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Indicates ownership of less than 1%.</w:t>
      </w:r>
    </w:p>
    <w:p>
      <w:pPr>
        <w:ind w:left="600" w:right="20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18,660,400 ordinary shares held by Red Dot Capital Partners L.P.. Red Dot General Partner L.P. is the general partner of Red Dot Capital Partners L.P. (collectively, “Red Dot Capital Partners”) and manages its investments and has voting power over the ordinary shares of the Company held by Red Dot Capital Partners L.P.. The address for Red Dot Capital Partners is 1 Ha’Shikma St. P.O.B 89 Savyon 5691502 Israel.</w:t>
      </w:r>
    </w:p>
    <w:p>
      <w:pPr>
        <w:ind w:left="600" w:right="32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21,423,600 ordinary shares held by Deutsche Post Beteiligungen Holding GmbH which is affiliated with DHL International GmbH. The address for the Deutsche Post Beteiligungen Holding GmbH is Charles-de-Gaulle-Straße 20, 53113 Bonn. Federal Republic of Germany.</w:t>
      </w:r>
    </w:p>
    <w:p>
      <w:pPr>
        <w:ind w:left="600" w:right="10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13,821,600 ordinary shares held by Goor HoldCo Ltd. which is affiliated with AMI GP Co. Limited, being the General Partner of AMI Opportunities Fund which is part of the AMI group (collectively, the “AMI Group”) which is advised by Apax Partners. Zehavit Cohen disclaims beneficial ownership of the ordinary shares held by the AMI Group, except to the extent of her pecuniary interest, if any, in such ordinary shares by virtue of her interest in the AMI Group. The address for Goor HoldCo Ltd. is Museum Tower 4 Berkowitz Street Tel Aviv.</w:t>
      </w:r>
    </w:p>
    <w:p>
      <w:pPr>
        <w:ind w:left="600" w:right="6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26,216,400 ordinary shares held by Cross Ship S.à r.l. Cross Ship S.à r.l. is wholly owned by Vitruvian Investment Partnership III (“VIP III”). VIP III is a fund managed by Vitruvian Partners LLP (collectively, the “Vitruvian Group”). Thomas Studd, a partner of Vitruvian Partners LLP, disclaims beneficial ownership of the ordinary shares held by the Vitruvian Group, except to the extent of his pecuniary interest, if any, in such ordinary shares by virtue of his interest in the Vitruvian Group. The address for the Vitruvian Group is 21, rue Philippe II, L-2340 Luxembourg, Grand Duchy of Luxembourg.</w:t>
      </w:r>
    </w:p>
    <w:p>
      <w:pPr>
        <w:ind w:left="600" w:right="30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an aggregate of 9,726,139 ordinary shares underlying warrants held by Shopify International Limited following the exercise of warrants on April 19, 2021, June 29, 2021 and August 12, 2021.</w:t>
      </w:r>
    </w:p>
    <w:p>
      <w:pPr>
        <w:ind w:left="600" w:right="46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4,890,000 ordinary shares that Mr. Schlachet holds directly and 1,486,800 ordinary shares underlying options that will be exercisable within 60 days of June 30, 2021.</w:t>
      </w:r>
    </w:p>
    <w:p>
      <w:pPr>
        <w:ind w:left="600" w:right="8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4,889,400 ordinary shares that Mr. Tamari holds directly and 1,486,800 ordinary shares underlying options that will be exercisable within 60 days of June 30, 2021.</w:t>
      </w:r>
    </w:p>
    <w:p>
      <w:pPr>
        <w:ind w:left="600" w:right="14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5,154,600 ordinary shares that Mr. Debbi holds directly and 1,486,800 ordinary shares underlying options that will be exercisable within 60 days of June 30, 2021.</w:t>
      </w:r>
    </w:p>
    <w:p>
      <w:pPr>
        <w:ind w:left="600" w:hanging="433"/>
        <w:spacing w:after="0"/>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616,200 ordinary shares underlying options that will be exercisable within 60 days of June 30, 2021.</w:t>
      </w:r>
    </w:p>
    <w:p>
      <w:pPr>
        <w:ind w:left="600" w:hanging="433"/>
        <w:spacing w:after="0"/>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225,000 ordinary shares underlying options that will be exercisable within 60 days of June 30, 2021.</w:t>
      </w:r>
    </w:p>
    <w:p>
      <w:pPr>
        <w:jc w:val="both"/>
        <w:ind w:left="600" w:right="460" w:hanging="433"/>
        <w:spacing w:after="0" w:line="23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Studd holds no shares directly. Mr. Studd is a partner at the Vitruvian Group, which manages funds that collectively own ordinary shares. See note 4 above. Mr. Studd disclaims beneficial ownership of the ordinary shares held by Cross Ship S.à r.l., except to the extent of his pecuniary interest, if any, in such ordinary shares by virtue of his interest in the Vitruvian Group and his indirect limited partnership interest in the Vitruvian Group.</w:t>
      </w:r>
    </w:p>
    <w:p>
      <w:pPr>
        <w:ind w:left="600" w:hanging="433"/>
        <w:spacing w:after="0"/>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Parra holds no shares directly. Mr. Parra serves as the Chief Executive Officer of DHL Express which is affiliated with Deutsche Post Beteiligungen Holding GmbH.</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0"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212" w:lineRule="exact"/>
        <w:rPr>
          <w:sz w:val="20"/>
          <w:szCs w:val="20"/>
          <w:color w:val="auto"/>
        </w:rPr>
      </w:pPr>
    </w:p>
    <w:p>
      <w:pPr>
        <w:ind w:left="160" w:right="840" w:firstLine="546"/>
        <w:spacing w:after="0" w:line="260"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written employment agreements with each of our executive officers. See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“Management—Employment and Consulting Agreements with Executive Officers.”</w:t>
      </w:r>
    </w:p>
    <w:p>
      <w:pPr>
        <w:spacing w:after="0" w:line="167" w:lineRule="exact"/>
        <w:rPr>
          <w:sz w:val="20"/>
          <w:szCs w:val="20"/>
          <w:color w:val="auto"/>
        </w:rPr>
      </w:pPr>
    </w:p>
    <w:p>
      <w:pPr>
        <w:ind w:left="160" w:right="400" w:firstLine="546"/>
        <w:spacing w:after="0" w:line="246"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Since our inception, we have granted to our executive officers and certain of our directors restricted share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our ordinary shares. Such award agreements may contain acceleration provisions upon certain transactions. See “Management—Share Incentive Plans.”</w:t>
      </w:r>
    </w:p>
    <w:p>
      <w:pPr>
        <w:spacing w:after="0" w:line="179"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Our amended and restated articles of association permit us to exculpate, indemnify</w:t>
      </w:r>
      <w:r>
        <w:rPr>
          <w:rFonts w:ascii="Arial" w:cs="Arial" w:eastAsia="Arial" w:hAnsi="Arial"/>
          <w:sz w:val="18"/>
          <w:szCs w:val="18"/>
          <w:i w:val="1"/>
          <w:iCs w:val="1"/>
          <w:color w:val="auto"/>
        </w:rPr>
        <w:t xml:space="preserve"> </w:t>
      </w:r>
      <w:r>
        <w:rPr>
          <w:rFonts w:ascii="Arial" w:cs="Arial" w:eastAsia="Arial" w:hAnsi="Arial"/>
          <w:sz w:val="18"/>
          <w:szCs w:val="18"/>
          <w:color w:val="auto"/>
        </w:rPr>
        <w:t>and insure certain of our office holders to the fullest extent permitted by the Companies Law. We have entered into agreements with each of our directors and executive officers, exculpating them in advance from a breach of their duty of care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“Management—Exculpation, Insurance and Indemnification of Office Holders.”</w:t>
      </w:r>
    </w:p>
    <w:p>
      <w:pPr>
        <w:spacing w:after="0" w:line="186" w:lineRule="exact"/>
        <w:rPr>
          <w:sz w:val="20"/>
          <w:szCs w:val="20"/>
          <w:color w:val="auto"/>
        </w:rPr>
      </w:pPr>
    </w:p>
    <w:p>
      <w:pPr>
        <w:ind w:left="160" w:right="200" w:firstLine="546"/>
        <w:spacing w:after="0" w:line="260" w:lineRule="auto"/>
        <w:rPr>
          <w:sz w:val="20"/>
          <w:szCs w:val="20"/>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We agreed to allow certain of our directors and officers and their affiliates to participate in this offering,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“Principal and Selling Shareholders.”</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Financing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Series D Preferred Share Financing</w:t>
      </w:r>
    </w:p>
    <w:p>
      <w:pPr>
        <w:spacing w:after="0" w:line="123" w:lineRule="exact"/>
        <w:rPr>
          <w:sz w:val="20"/>
          <w:szCs w:val="20"/>
          <w:color w:val="auto"/>
        </w:rPr>
      </w:pPr>
    </w:p>
    <w:p>
      <w:pPr>
        <w:jc w:val="both"/>
        <w:ind w:left="160" w:right="80" w:firstLine="546"/>
        <w:spacing w:after="0" w:line="236" w:lineRule="auto"/>
        <w:rPr>
          <w:sz w:val="20"/>
          <w:szCs w:val="20"/>
          <w:color w:val="auto"/>
        </w:rPr>
      </w:pPr>
      <w:r>
        <w:rPr>
          <w:rFonts w:ascii="Arial" w:cs="Arial" w:eastAsia="Arial" w:hAnsi="Arial"/>
          <w:sz w:val="18"/>
          <w:szCs w:val="18"/>
          <w:color w:val="auto"/>
        </w:rPr>
        <w:t>On April 17, 2018 and July 16, 2018, we sold an aggregate of 27,758 of Series D-1 preferred shares, each having par value of NIS 0.01 at a price per share of $720.52 for an aggregate purchase price of $20,000,000. Goor Holdco Ltd. purchased all of the 27,758 Series D-1 preferred shares. Goor Holdco Ltd. was also granted an option to purchase additional Series D-2 preferred shares, which option was not exercised and has expired.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Series E Preferred Share Primary Financing and Secondary Sale</w:t>
      </w:r>
    </w:p>
    <w:p>
      <w:pPr>
        <w:spacing w:after="0" w:line="123"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On April 20, 2020, we sold an aggregate of 23,706 Series E preferred shares, each having a par value of NIS 0.01 at a price per share of $ 2,498.65 for an aggregate purchase price of $59,232,997. The following table summarizes purchases of our Series E preferred shares by related persons: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Shareholder</w:t>
            </w:r>
          </w:p>
        </w:tc>
        <w:tc>
          <w:tcPr>
            <w:tcW w:w="7540" w:type="dxa"/>
            <w:vAlign w:val="bottom"/>
            <w:vMerge w:val="restart"/>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540" w:type="dxa"/>
            <w:vAlign w:val="bottom"/>
            <w:vMerge w:val="continue"/>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187"/>
        </w:trPr>
        <w:tc>
          <w:tcPr>
            <w:tcW w:w="84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Cross Ship S.à r.l.</w:t>
            </w:r>
          </w:p>
        </w:tc>
        <w:tc>
          <w:tcPr>
            <w:tcW w:w="76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20,011</w:t>
            </w:r>
          </w:p>
        </w:tc>
        <w:tc>
          <w:tcPr>
            <w:tcW w:w="2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50,000,485.15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gridSpan w:val="2"/>
          </w:tcPr>
          <w:p>
            <w:pPr>
              <w:spacing w:after="0"/>
              <w:rPr>
                <w:sz w:val="20"/>
                <w:szCs w:val="20"/>
                <w:color w:val="auto"/>
              </w:rPr>
            </w:pPr>
            <w:r>
              <w:rPr>
                <w:rFonts w:ascii="Arial" w:cs="Arial" w:eastAsia="Arial" w:hAnsi="Arial"/>
                <w:sz w:val="18"/>
                <w:szCs w:val="18"/>
                <w:color w:val="auto"/>
              </w:rPr>
              <w:t>Deutsche Post Beteiligungen Holdings GmbH</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3,695</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9,232,511.75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In conjunction with the foregoing issuance of Series E preferred shares, certain of our shareholders (including Amir Schlachet, Nir Debbi, Shahar Tamari, Goor Holdco Ltd. and Red Dot Capital Partners, L.P.) sold to Cross Ship S.à r.l. an aggregate of 5,547 ordinary shares and 11,179 preferred shares for an aggregate purchase price of approximately $35.3 million.</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Investors’ Rights Agreement</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party to a third amended and restated investors’ rights agreement from March 2021 (the “Investors’ Rights Agreement”), which provides, among other things, that certain holders of our ordinary shares, including Goor HoldCo Ltd., Cross Ship S.à r.l., Deutsche Post Beteiligungen Holding GmbH and Red Dot Capital Partners, L.P., each of which holds more than 5% of our outstanding ordinary shares, have the right to demand that we file a registration statement or request that their shares be covered by a registration statement that we are otherwise filing. Miguel Angel Parra and Thomas Joseph Benjamin Studd, members of our board of directors as of the date of this prospectus and certain of their affiliated entities, are affiliated with Deutsche Post Beteiligungen Holding GmbH and Cross Ship S.à r.l., respectively. See “Description of Share Capital and Articles Of Association—Registration Rights.”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DHL Service Agreement and Commercial Letter</w:t>
      </w:r>
    </w:p>
    <w:p>
      <w:pPr>
        <w:spacing w:after="0" w:line="12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We are party to a Commercial Letter with DHL International GmbH (“DHL International”), dated March 27, 2017 and amended on December 7, 2020, pursuant to which we use DHL International exclusively for the provision of express shipping services to our merchants, subject to certain exclusions described therein, and DHL International has undertaken certain commitments relating to the prices under which its services are offered to us. The current term of the Commercial Letter ends on March 27, 2022 and shall renew automatically thereafter until terminated by either us or DHL International upon twelve (12) months’ notice.</w:t>
      </w:r>
    </w:p>
    <w:p>
      <w:pPr>
        <w:spacing w:after="0" w:line="204"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we are party to a services agreement with DHL International (UK) Limited (“DHL UK”), dated May 21, 2019, under which DHL UK provides us with express shipping services relating to the purchase and sale of our merchants’ products. The service agreement continues until terminated by either us or DHL UK in accordance with its terms. The consideration paid by us to DHL UK pursuant to the service agreement is contingent upon the extent of the shipping services provided. We have entered similar arrangements with other DHL affiliated entities in the Netherlands, the United States, France and Spain.</w:t>
      </w:r>
    </w:p>
    <w:p>
      <w:pPr>
        <w:spacing w:after="0" w:line="204"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See Note 11 to our audited consolidated financial statements appearing elsewhere in this prospectus and Note 7 to our unaudited consolidated financial statements appearing elsewhere in this prospectus.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Services and Partnership Agreement</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We are party to a Services and Partnership Agreement with Shopify Inc. and its affiliate (“Shopify”), dated April 12, 2021 (the “Services and Partnership Agreement”), pursuant to which we will be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We will pay Shopify a fee equal to a percentage of the GMV for all transactions processed through our platform for applicable Shopify merchants. Although payment of such fee may initially negatively impact margins, we believe that our expanded partnership will afford us an enhanced market position, enabling us to increase GMV, and positions us to realize efficiencies in winning and onboarding Shopify merchants as a result of our permissions to access and exclusively integrate into the Shopify platform checkout.</w:t>
      </w:r>
    </w:p>
    <w:p>
      <w:pPr>
        <w:spacing w:after="0" w:line="203" w:lineRule="exact"/>
        <w:rPr>
          <w:sz w:val="20"/>
          <w:szCs w:val="20"/>
          <w:color w:val="auto"/>
        </w:rPr>
      </w:pPr>
    </w:p>
    <w:p>
      <w:pPr>
        <w:ind w:left="160" w:right="380" w:firstLine="546"/>
        <w:spacing w:after="0" w:line="236" w:lineRule="auto"/>
        <w:rPr>
          <w:sz w:val="20"/>
          <w:szCs w:val="20"/>
          <w:color w:val="auto"/>
        </w:rPr>
      </w:pPr>
      <w:r>
        <w:rPr>
          <w:rFonts w:ascii="Arial" w:cs="Arial" w:eastAsia="Arial" w:hAnsi="Arial"/>
          <w:sz w:val="18"/>
          <w:szCs w:val="18"/>
          <w:color w:val="auto"/>
        </w:rPr>
        <w:t>The agreement has an initial three-year term ending in April 2024,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without cause by providing at least 180 days’ prior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written notice to the other party. In addition, upon the occurrence of certain events, either party may terminate the agreement immediately upon notice to the other party.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Note 15 to our audited consolidated financial statements appearing elsewhere in this prospectus.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123" w:lineRule="exact"/>
        <w:rPr>
          <w:sz w:val="20"/>
          <w:szCs w:val="20"/>
          <w:color w:val="auto"/>
        </w:rPr>
      </w:pPr>
    </w:p>
    <w:p>
      <w:pPr>
        <w:ind w:left="160" w:right="20" w:firstLine="546"/>
        <w:spacing w:after="0" w:line="246" w:lineRule="auto"/>
        <w:rPr>
          <w:sz w:val="20"/>
          <w:szCs w:val="20"/>
          <w:color w:val="auto"/>
        </w:rPr>
      </w:pPr>
      <w:r>
        <w:rPr>
          <w:rFonts w:ascii="Arial" w:cs="Arial" w:eastAsia="Arial" w:hAnsi="Arial"/>
          <w:sz w:val="17"/>
          <w:szCs w:val="17"/>
          <w:color w:val="auto"/>
        </w:rPr>
        <w:t>On April 12, 2021, we entered into a warrant agreement (the “Original Shopify Warrant”) with Shopify pursuant to which we issued warrants to purchase up to an aggregate of 19,604,239 of our ordinary shares at a price of $0.01 per share expiring upon the earlier of April 12, 2031 and immediately prior to consummation of a merger or acquisition. The Original Shopify Warrant was issued in connection with the Services and Partnership Agreement with Shopify, and 7,750,513 of the shares issuable under the Original Shopify Warrant were vested and became exercisable upon the entry into the Services and Partnership Agreement on April 12, 2021. The remaining 11,853,726 ordinary shares issuable under the Original Shopify Warrant vest monthly, in equal amounts over a 24-month period, commencing on the second monthly anniversary of the effective date of the Services and Partnership Agreement, and are subject to accelerated vesting</w:t>
      </w:r>
    </w:p>
    <w:p>
      <w:pPr>
        <w:spacing w:after="0" w:line="2" w:lineRule="exact"/>
        <w:rPr>
          <w:sz w:val="20"/>
          <w:szCs w:val="20"/>
          <w:color w:val="auto"/>
        </w:rPr>
      </w:pPr>
    </w:p>
    <w:p>
      <w:pPr>
        <w:ind w:left="160" w:firstLine="7"/>
        <w:spacing w:after="0" w:line="248" w:lineRule="auto"/>
        <w:tabs>
          <w:tab w:leader="none" w:pos="368"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termination of the Services and Partnership Agreement by us for convenience and (ii) immediately prior to a merger and acquisition. On April 19, 2021, Shopify partially exercised the Shopify Warrant for 7,750,513 ordinary shares, at an exercise price of $0.01 per share. On April 21, 2021, we issued Shopify a replacement warrant (the “Shopify First Replacement Warrant”) to purchase up to an aggregate of 11,853,726 ordinary shares at a price of $0.01 per share on substantially similar terms as the Original Shopify Warrant. On June 29, 2021, Shopify partially exercised the Shopify First Replacement Warrant for 987,810 ordinary shares, at an exercise price of $0.01 per share. On July 14, 2021, we issued Shopify a replacement warrant (the “Shopify Second Replacement Warrant”) to purchase up to an aggregate of 10,865,916 ordinary shares at a price of $0.01 per share on substantially similar terms as the Shopify First Replacement Warrant. On August 12, 2021, Shopify partially exercised the Shopify Second Replacement Warrant for 987,816 ordinary shares, at an exercise price of $0.01 per share. The Shopify Second Replacement Warrant contains customary provisions for the adjustment of the exercise price and the number of ordinary shares issuable upon exercise in the event of certain share dividends, share splits, reorganizations, recapitalizations, consolidations, mergers, or similar events affecting our ordinary shares and diluting issuances.</w:t>
      </w:r>
    </w:p>
    <w:p>
      <w:pPr>
        <w:spacing w:after="0" w:line="199"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The ordinary shares issuable to Shopify upon exercise of the foregoing are entitled to certain registration rights under the Investors’ Rights Agreement as described in greater detail below in the section titled “Description of Share Capital and Articles Of Association— Registration Rights.”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3" w:lineRule="exact"/>
        <w:rPr>
          <w:sz w:val="20"/>
          <w:szCs w:val="20"/>
          <w:color w:val="auto"/>
        </w:rPr>
      </w:pPr>
    </w:p>
    <w:p>
      <w:pPr>
        <w:jc w:val="both"/>
        <w:ind w:left="160" w:right="20" w:firstLine="546"/>
        <w:spacing w:after="0" w:line="251" w:lineRule="auto"/>
        <w:rPr>
          <w:sz w:val="20"/>
          <w:szCs w:val="20"/>
          <w:color w:val="auto"/>
        </w:rPr>
      </w:pPr>
      <w:r>
        <w:rPr>
          <w:rFonts w:ascii="Arial" w:cs="Arial" w:eastAsia="Arial" w:hAnsi="Arial"/>
          <w:sz w:val="17"/>
          <w:szCs w:val="17"/>
          <w:color w:val="auto"/>
        </w:rPr>
        <w:t>Our board of directors has adopted a written related party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30"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The following is a description of the material terms of our amended and restated articles of association. The following description may not contain all of the information that is important to you, and we therefore refer you to our amended and restated articles of association, a copy of which is filed with the SEC as an exhibit to the registration statement of which this prospectus is a part.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 Capital</w:t>
      </w:r>
    </w:p>
    <w:p>
      <w:pPr>
        <w:spacing w:after="0" w:line="12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Our authorized share capital upon the closing of this offering will consist of 300,000,000 ordinary shares, no par value, of which 145,641,073 shares were issued and outstanding as of June 30, 2021.</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0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2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are registered with the Israeli Registrar of Companies. Our registration number is 51-488953-4. Our affairs are governed by our amended and restated articles of association, applicable Israeli law and Companies Law. Our purpose as set forth in our amended and restated articles of association is to engage in any lawful act or activity.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Voting Rights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of Shares</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The Nasdaq Global Select Market.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Election of Directors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the annual general meeting of our shareholders, and serve on our board of directors until the third annual general meeting following such election or re-election or until they are removed by a vote of at least 70%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 and Liquidation Rights</w:t>
      </w:r>
    </w:p>
    <w:p>
      <w:pPr>
        <w:spacing w:after="0" w:line="123" w:lineRule="exact"/>
        <w:rPr>
          <w:sz w:val="20"/>
          <w:szCs w:val="20"/>
          <w:color w:val="auto"/>
        </w:rPr>
      </w:pPr>
    </w:p>
    <w:p>
      <w:pPr>
        <w:ind w:left="160" w:firstLine="546"/>
        <w:spacing w:after="0" w:line="253"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9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06"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Exchange Controls</w:t>
      </w:r>
    </w:p>
    <w:p>
      <w:pPr>
        <w:spacing w:after="0" w:line="123"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Our amended and restated investors’ rights agreement entitles certain of our shareholders to certain registration rights, as set forth below. In accordance with this agreement, and subject to conditions listed below, the following entities which as of the date of this prospectus beneficially own more than 5% of our ordinary shares are entitled to registration rights: entities affiliated with each of Red Dot Capital Partners, DHL, Goor HoldCo. Ltd., Cross Ship S.à r.l and Shopify Inc.</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0" w:firstLine="546"/>
        <w:spacing w:after="0"/>
        <w:rPr>
          <w:sz w:val="20"/>
          <w:szCs w:val="20"/>
          <w:color w:val="auto"/>
        </w:rPr>
      </w:pPr>
      <w:r>
        <w:rPr>
          <w:rFonts w:ascii="Arial" w:cs="Arial" w:eastAsia="Arial" w:hAnsi="Arial"/>
          <w:sz w:val="18"/>
          <w:szCs w:val="18"/>
          <w:b w:val="1"/>
          <w:bCs w:val="1"/>
          <w:i w:val="1"/>
          <w:iCs w:val="1"/>
          <w:color w:val="auto"/>
        </w:rPr>
        <w:t xml:space="preserve">Form F-1 Demand Rights. </w:t>
      </w:r>
      <w:r>
        <w:rPr>
          <w:rFonts w:ascii="Arial" w:cs="Arial" w:eastAsia="Arial" w:hAnsi="Arial"/>
          <w:sz w:val="18"/>
          <w:szCs w:val="18"/>
          <w:color w:val="auto"/>
        </w:rPr>
        <w:t>At any time after the six (6) month anniversary of the date of the prospectus relating to our initial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offering, the holders of at least 30% of the registrable securities then outstanding may request that we register all or a portion of their shares.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spacing w:after="0" w:line="289" w:lineRule="exact"/>
        <w:rPr>
          <w:sz w:val="20"/>
          <w:szCs w:val="20"/>
          <w:color w:val="auto"/>
        </w:rPr>
      </w:pPr>
    </w:p>
    <w:p>
      <w:pPr>
        <w:ind w:left="160" w:right="140" w:firstLine="546"/>
        <w:spacing w:after="0"/>
        <w:rPr>
          <w:sz w:val="20"/>
          <w:szCs w:val="20"/>
          <w:color w:val="auto"/>
        </w:rPr>
      </w:pPr>
      <w:r>
        <w:rPr>
          <w:rFonts w:ascii="Arial" w:cs="Arial" w:eastAsia="Arial" w:hAnsi="Arial"/>
          <w:sz w:val="18"/>
          <w:szCs w:val="18"/>
          <w:b w:val="1"/>
          <w:bCs w:val="1"/>
          <w:i w:val="1"/>
          <w:iCs w:val="1"/>
          <w:color w:val="auto"/>
        </w:rPr>
        <w:t xml:space="preserve">Form F-3 Demand Rights. </w:t>
      </w:r>
      <w:r>
        <w:rPr>
          <w:rFonts w:ascii="Arial" w:cs="Arial" w:eastAsia="Arial" w:hAnsi="Arial"/>
          <w:sz w:val="18"/>
          <w:szCs w:val="18"/>
          <w:color w:val="auto"/>
        </w:rPr>
        <w:t>At any time after the six (6) month anniversary of the date of the prospectus relating to our initial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offering, the holders of at least 30% of the registrable securities then outstanding can make a request that we register their shares on Form F-3 if we are qualified to file a registration statement on Form F-3 and if the offering price, after payment of the underwriting discount and commissions, would equal or exceed $5,000,000. The company has the right to defer such registration under certain circumstances.</w:t>
      </w:r>
    </w:p>
    <w:p>
      <w:pPr>
        <w:spacing w:after="0" w:line="289"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b w:val="1"/>
          <w:bCs w:val="1"/>
          <w:i w:val="1"/>
          <w:iCs w:val="1"/>
          <w:color w:val="auto"/>
        </w:rPr>
        <w:t xml:space="preserve">Piggyback Registration Rights. </w:t>
      </w:r>
      <w:r>
        <w:rPr>
          <w:rFonts w:ascii="Arial" w:cs="Arial" w:eastAsia="Arial" w:hAnsi="Arial"/>
          <w:sz w:val="18"/>
          <w:szCs w:val="18"/>
          <w:color w:val="auto"/>
        </w:rPr>
        <w:t>In the event that we propose to register any of our securities under the Securities Act, either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own account or for the account of other security holders, then certain holders of our ordinary shares will be entitled, subject to any lock-up restrictions imposed by the underwriters in connection with our initial public offering (whether such restrictions terminate by their terms or are waived by the underwriters), to certain piggyback registration rights with respect to such offering, allowing such holders to include their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Shareholder Meetings</w:t>
      </w:r>
    </w:p>
    <w:p>
      <w:pPr>
        <w:spacing w:after="0" w:line="123"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w:t>
      </w:r>
    </w:p>
    <w:p>
      <w:pPr>
        <w:spacing w:after="0" w:line="1" w:lineRule="exact"/>
        <w:rPr>
          <w:sz w:val="20"/>
          <w:szCs w:val="20"/>
          <w:color w:val="auto"/>
        </w:rPr>
      </w:pPr>
    </w:p>
    <w:p>
      <w:pPr>
        <w:ind w:left="160" w:right="300" w:firstLine="7"/>
        <w:spacing w:after="0" w:line="239" w:lineRule="auto"/>
        <w:tabs>
          <w:tab w:leader="none" w:pos="4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either (a) 5% or more of our outstanding issued shares and 1% or more of our outstanding voting power or (b) 5% or more of our outstanding voting power.</w:t>
      </w:r>
    </w:p>
    <w:p>
      <w:pPr>
        <w:spacing w:after="0" w:line="203"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6" w:right="5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09" w:lineRule="exact"/>
        <w:rPr>
          <w:sz w:val="20"/>
          <w:szCs w:val="20"/>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appointment, terms of service or and termination of service of our auditors;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27" w:lineRule="exact"/>
        <w:rPr>
          <w:rFonts w:ascii="Arial" w:cs="Arial" w:eastAsia="Arial" w:hAnsi="Arial"/>
          <w:sz w:val="18"/>
          <w:szCs w:val="18"/>
          <w:color w:val="auto"/>
        </w:rPr>
      </w:pPr>
    </w:p>
    <w:p>
      <w:pPr>
        <w:ind w:left="920" w:right="80" w:hanging="218"/>
        <w:spacing w:after="0" w:line="239"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Quorum</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or by proxy who hold or represent at least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total voting power of our shares, except that if (i) any such general meeting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23" w:lineRule="exact"/>
        <w:rPr>
          <w:sz w:val="20"/>
          <w:szCs w:val="20"/>
          <w:color w:val="auto"/>
        </w:rPr>
      </w:pPr>
    </w:p>
    <w:p>
      <w:pPr>
        <w:jc w:val="both"/>
        <w:ind w:left="160" w:right="340" w:firstLine="546"/>
        <w:spacing w:after="0" w:line="237"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“Management—Compensation Committee—Compensation Policy under the Companies Law.”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Under our amended and restated articles of association, the approval of the holders of at least 70% of the total voting power of our shareholders is generally required to remove any of our directors from office, to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Access to Corporate Records</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Under the Companies Law, all shareholders generally have the right to review minutes of our general meetings, our shareholder register (including with respect to material shareholders), our amended and restated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Acquisitions under Israeli Law</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Full Tender Offer</w:t>
      </w:r>
    </w:p>
    <w:p>
      <w:pPr>
        <w:spacing w:after="0" w:line="119"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Special Tender Offer</w:t>
      </w:r>
    </w:p>
    <w:p>
      <w:pPr>
        <w:spacing w:after="0" w:line="11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08"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03" w:lineRule="exact"/>
        <w:rPr>
          <w:sz w:val="20"/>
          <w:szCs w:val="20"/>
          <w:color w:val="auto"/>
        </w:rPr>
      </w:pPr>
    </w:p>
    <w:p>
      <w:pPr>
        <w:jc w:val="both"/>
        <w:ind w:left="160" w:right="500" w:firstLine="546"/>
        <w:spacing w:after="0" w:line="257" w:lineRule="auto"/>
        <w:rPr>
          <w:sz w:val="20"/>
          <w:szCs w:val="20"/>
          <w:color w:val="auto"/>
        </w:rPr>
      </w:pPr>
      <w:r>
        <w:rPr>
          <w:rFonts w:ascii="Arial" w:cs="Arial" w:eastAsia="Arial" w:hAnsi="Arial"/>
          <w:sz w:val="17"/>
          <w:szCs w:val="17"/>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Merger</w:t>
      </w:r>
    </w:p>
    <w:p>
      <w:pPr>
        <w:spacing w:after="0" w:line="119"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04"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96"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04"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Measures</w:t>
      </w:r>
    </w:p>
    <w:p>
      <w:pPr>
        <w:spacing w:after="0" w:line="123" w:lineRule="exact"/>
        <w:rPr>
          <w:sz w:val="20"/>
          <w:szCs w:val="20"/>
          <w:color w:val="auto"/>
        </w:rPr>
      </w:pPr>
    </w:p>
    <w:p>
      <w:pPr>
        <w:ind w:left="160" w:right="460" w:firstLine="546"/>
        <w:spacing w:after="0" w:line="257"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amended and restated articles of association. In the future, if we do authorize,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6"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and restated articles of association, as described above in “—Shareholder Meetings.” In addition, as disclosed under “— Election of Directors,” we have a classified board structure, which effectively limits the ability of any investor or potential investor or group of investors or potential investors to gain control of our board of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Borrowing Powers</w:t>
      </w:r>
    </w:p>
    <w:p>
      <w:pPr>
        <w:spacing w:after="0" w:line="123"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Changes in Capital</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Exclusive Forum</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Listing</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ordinary shares are listed on The Nasdaq Global Select Market under the symbol “GLBE.”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Future sales of substantial amounts of our ordinary shares in the public market could adversely affect market prices prevailing from time to time. Furthermore, because only a limited number of ordinary shares will be available for sale shortly after this offering due to existing contractual and legal restrictions on resale as described below, there may be sales of substantial amounts of our ordinary shares in the public market after such restrictions lapse. This may adversely affect the prevailing market price of our ordinary shares and our ability to raise equity capital in the future.</w:t>
      </w:r>
    </w:p>
    <w:p>
      <w:pPr>
        <w:spacing w:after="0" w:line="204"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As of June 30, 2021, we had 145,641,073 ordinary shares outstanding. Our ordinary shares will be available for sale in the public market after the expiration or waiver of the lock-up agreements described below, subject to limitations imposed by U.S. securities laws on resale by our “affiliates” as that term is defined in Rule 144 under the Securities Act.</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All of the ordinary shares sold in this offering will be freely tradable without restriction or further registration under the Securities Act, unless purchased by “affiliates” as that term is defined under Rule 144. In addition, following the expiration or waiver of the lock-up agreements described below, all of our ordinary shares, including ordinary shares issuable pursuant to awards granted under certain of our share option plans will be freely tradable without restriction or further registration under the Securities Act unless held by “affiliates” as that term is defined under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In connection with our initial public offering, we, our executive officers and directors and the holders of substantially all of our ordinary shares outstanding immediately prior to our initial public offering agreed that, until the 180th day after our initial public offering, we and they would not offer, sell, agree to sell, directly or indirectly, or otherwise dispose of any ordinary shares or any securities convertible into or exchangeable for ordinary shares (other than the ordinary shares offered in our initial public offering) without the prior written consent of Goldman Sachs &amp; Co. LLC and Morgan Stanley &amp; Co. LLC, subject to specified exceptions, including the following:</w:t>
      </w:r>
    </w:p>
    <w:p>
      <w:pPr>
        <w:spacing w:after="0" w:line="110"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transactions relating to ordinary shares acquired in our initial public offering, if the lock-up party is not a director or officer;</w:t>
      </w:r>
    </w:p>
    <w:p>
      <w:pPr>
        <w:spacing w:after="0" w:line="113" w:lineRule="exact"/>
        <w:rPr>
          <w:rFonts w:ascii="Arial" w:cs="Arial" w:eastAsia="Arial" w:hAnsi="Arial"/>
          <w:sz w:val="18"/>
          <w:szCs w:val="18"/>
          <w:color w:val="auto"/>
        </w:rPr>
      </w:pPr>
    </w:p>
    <w:p>
      <w:pPr>
        <w:ind w:left="1340" w:right="600" w:hanging="638"/>
        <w:spacing w:after="0" w:line="239"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transactions relating to ordinary shares acquired in open market transactions after the completion of our initial public offering;</w:t>
      </w:r>
    </w:p>
    <w:p>
      <w:pPr>
        <w:spacing w:after="0" w:line="109" w:lineRule="exact"/>
        <w:rPr>
          <w:rFonts w:ascii="Arial" w:cs="Arial" w:eastAsia="Arial" w:hAnsi="Arial"/>
          <w:sz w:val="18"/>
          <w:szCs w:val="18"/>
          <w:color w:val="auto"/>
        </w:rPr>
      </w:pPr>
    </w:p>
    <w:p>
      <w:pPr>
        <w:ind w:left="1340" w:right="40" w:hanging="638"/>
        <w:spacing w:after="0" w:line="235"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(i) as a bona fide gift or charitable contribution, (ii) by death, (iii) by will, other testamentary document or intestacy, (iv) to any immediate family member of the lock-up party or to any trust or other legal entity for the benefit of the lock-up party or immediate family of the lock-up party, or if the lock-up party is a trust, to a trustor or beneficiary of the trust or to the estate of a beneficiary of such trust or (v) to a partnership, limited liability company or other entity of which the lock-up party and immediate family members of the lock-up party are the legal and beneficial owner of all the outstanding equity securities or similar interests;</w:t>
      </w:r>
    </w:p>
    <w:p>
      <w:pPr>
        <w:spacing w:after="0" w:line="107" w:lineRule="exact"/>
        <w:rPr>
          <w:rFonts w:ascii="Arial" w:cs="Arial" w:eastAsia="Arial" w:hAnsi="Arial"/>
          <w:sz w:val="18"/>
          <w:szCs w:val="18"/>
          <w:color w:val="auto"/>
        </w:rPr>
      </w:pPr>
    </w:p>
    <w:p>
      <w:pPr>
        <w:ind w:left="1340" w:right="80" w:hanging="638"/>
        <w:spacing w:after="0" w:line="250" w:lineRule="auto"/>
        <w:tabs>
          <w:tab w:leader="none" w:pos="1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lock-up party is a corporation, partnership, limited liability company, trust or other business entity,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as part of a distribution, transfer or disposition by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440"/>
        <w:spacing w:after="0" w:line="239" w:lineRule="auto"/>
        <w:rPr>
          <w:sz w:val="20"/>
          <w:szCs w:val="20"/>
          <w:color w:val="auto"/>
        </w:rPr>
      </w:pPr>
      <w:r>
        <w:rPr>
          <w:rFonts w:ascii="Arial" w:cs="Arial" w:eastAsia="Arial" w:hAnsi="Arial"/>
          <w:sz w:val="18"/>
          <w:szCs w:val="18"/>
          <w:color w:val="auto"/>
        </w:rPr>
        <w:t>lockup party to its stockholders, current or former partners (general or limited), members, beneficiaries or other equity holders, or to the estates of any such stockholders, partners, members, beneficiaries or other equity holders;</w:t>
      </w:r>
    </w:p>
    <w:p>
      <w:pPr>
        <w:spacing w:after="0" w:line="109" w:lineRule="exact"/>
        <w:rPr>
          <w:sz w:val="20"/>
          <w:szCs w:val="20"/>
          <w:color w:val="auto"/>
        </w:rPr>
      </w:pPr>
    </w:p>
    <w:p>
      <w:pPr>
        <w:ind w:left="1340" w:right="180" w:hanging="638"/>
        <w:spacing w:after="0" w:line="239"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the rules of descent and distribution or pursuant to a qualified domestic order, divorce settlement, divorce decree or separation agreement or other final court order;</w:t>
      </w:r>
    </w:p>
    <w:p>
      <w:pPr>
        <w:spacing w:after="0" w:line="109" w:lineRule="exact"/>
        <w:rPr>
          <w:rFonts w:ascii="Arial" w:cs="Arial" w:eastAsia="Arial" w:hAnsi="Arial"/>
          <w:sz w:val="18"/>
          <w:szCs w:val="18"/>
          <w:color w:val="auto"/>
        </w:rPr>
      </w:pPr>
    </w:p>
    <w:p>
      <w:pPr>
        <w:ind w:left="1340" w:hanging="638"/>
        <w:spacing w:after="0" w:line="239"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by us of ordinary shares that were granted under an equity incentive plan, share purchase plan or other equity award described in the prospectus from our initial public offering;</w:t>
      </w:r>
    </w:p>
    <w:p>
      <w:pPr>
        <w:spacing w:after="0" w:line="109" w:lineRule="exact"/>
        <w:rPr>
          <w:rFonts w:ascii="Arial" w:cs="Arial" w:eastAsia="Arial" w:hAnsi="Arial"/>
          <w:sz w:val="18"/>
          <w:szCs w:val="18"/>
          <w:color w:val="auto"/>
        </w:rPr>
      </w:pPr>
    </w:p>
    <w:p>
      <w:pPr>
        <w:ind w:left="1340" w:right="40" w:hanging="638"/>
        <w:spacing w:after="0" w:line="236"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or other dispositions of ordinary shares to us upon the exercise or settlement of share options, warrants, or other rights to purchase ordinary shares of the Company or any security convertible into or exercisable for ordinary shares of the Company, in each case outstanding as of the date of the prospectus from our initial public offering or that were granted pursuant one of the Share Incentive Plans, on a “cashless” or “net exercise” basis;</w:t>
      </w:r>
    </w:p>
    <w:p>
      <w:pPr>
        <w:spacing w:after="0" w:line="108" w:lineRule="exact"/>
        <w:rPr>
          <w:rFonts w:ascii="Arial" w:cs="Arial" w:eastAsia="Arial" w:hAnsi="Arial"/>
          <w:sz w:val="18"/>
          <w:szCs w:val="18"/>
          <w:color w:val="auto"/>
        </w:rPr>
      </w:pPr>
    </w:p>
    <w:p>
      <w:pPr>
        <w:ind w:left="1340" w:right="60" w:hanging="638"/>
        <w:spacing w:after="0" w:line="235"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or other dispositions of ordinary shares to us, or the withholding of ordinary shares by us, in connection with the exercise of share options or a vesting event or subsequent settlement (as applicable) of restricted share awards, restricted share units, shares issued pursuant to early exercised share options, or other of our securities, in each case which are outstanding as of the date of the prospectus from our initial public offering or were granted pursuant to one of the Share Incentive Plans, to cover tax withholding obligations or the payment of taxes, including estimated taxes, due in connection with such award;</w:t>
      </w:r>
    </w:p>
    <w:p>
      <w:pPr>
        <w:spacing w:after="0" w:line="107" w:lineRule="exact"/>
        <w:rPr>
          <w:rFonts w:ascii="Arial" w:cs="Arial" w:eastAsia="Arial" w:hAnsi="Arial"/>
          <w:sz w:val="18"/>
          <w:szCs w:val="18"/>
          <w:color w:val="auto"/>
        </w:rPr>
      </w:pPr>
    </w:p>
    <w:p>
      <w:pPr>
        <w:ind w:left="1340" w:right="60" w:hanging="638"/>
        <w:spacing w:after="0" w:line="237"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in connection with the conversion or reclassification of outstanding preferred shares or other classes of our share capital, in each case outstanding on the date of the prospectus from our initial public offering and described therein, into ordinary shares of the Company in connection with the closing of our initial public offering;</w:t>
      </w:r>
    </w:p>
    <w:p>
      <w:pPr>
        <w:spacing w:after="0" w:line="108" w:lineRule="exact"/>
        <w:rPr>
          <w:rFonts w:ascii="Arial" w:cs="Arial" w:eastAsia="Arial" w:hAnsi="Arial"/>
          <w:sz w:val="18"/>
          <w:szCs w:val="18"/>
          <w:color w:val="auto"/>
        </w:rPr>
      </w:pPr>
    </w:p>
    <w:p>
      <w:pPr>
        <w:ind w:left="1340" w:right="460" w:hanging="638"/>
        <w:spacing w:after="0" w:line="239"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or series of related transactions made to all holders of our share capital involving a change of control;</w:t>
      </w:r>
    </w:p>
    <w:p>
      <w:pPr>
        <w:spacing w:after="0" w:line="109" w:lineRule="exact"/>
        <w:rPr>
          <w:rFonts w:ascii="Arial" w:cs="Arial" w:eastAsia="Arial" w:hAnsi="Arial"/>
          <w:sz w:val="18"/>
          <w:szCs w:val="18"/>
          <w:color w:val="auto"/>
        </w:rPr>
      </w:pPr>
    </w:p>
    <w:p>
      <w:pPr>
        <w:ind w:left="1340" w:hanging="638"/>
        <w:spacing w:after="0" w:line="236"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ordinary shares, provided that such plan does not provide for the transfer of ordinary shares during the applicable restricted period and no filing under the Exchange Act or other public announcement would be required or be voluntarily made during the applicable restricted period; and</w:t>
      </w:r>
    </w:p>
    <w:p>
      <w:pPr>
        <w:spacing w:after="0" w:line="108" w:lineRule="exact"/>
        <w:rPr>
          <w:rFonts w:ascii="Arial" w:cs="Arial" w:eastAsia="Arial" w:hAnsi="Arial"/>
          <w:sz w:val="18"/>
          <w:szCs w:val="18"/>
          <w:color w:val="auto"/>
        </w:rPr>
      </w:pPr>
    </w:p>
    <w:p>
      <w:pPr>
        <w:ind w:left="1340" w:right="120" w:hanging="638"/>
        <w:spacing w:after="0" w:line="235"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the period from the first trading day following the issuance of our earnings for the quarter ended June 30, 2021 and continuing through and including September 15, 2021 (the “Post-IPO Trading Window”), (x) the transfer of 35% of the ordinary shares subject to lock-up agreements entered into by our employees (other than our directors or officers) or non-employee shareholders and (y) the transfer of 20% of the ordinary shares subject to lock-up agreements entered into by our directors and officers.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accordance with clause (l), an aggregate of 38,529,802 ordinary shares subject to lock-up agreements (the “IPO Lock Up Agreements”) entered into by our employees (other than our directors or officers) and non-employee shareholders and an aggregate of 4,273,931 ordinary shares subject to the IPO Lock-Up Agreements entered into by our directors and officers are not subject to the restrictions set forth in such IPO Lock-Up Agreements (collectively, the “Released Shares”) for the period from August 17, 2021 through September 15, 2021 (the “Current Trading Window”). An aggregate of 12,000,000 of such Released Shares are being offered for sale by the selling shareholders named in this prospectus each of which has entered into new lock-up agreements in connection with this offering (the “New Lock-Up Agreements”), and thus will be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40"/>
          </w:cols>
          <w:pgMar w:left="320" w:top="456" w:right="5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restricted from trading any of their ordinary shares, including their respective Released Shares not being offered hereby, for a period of 45 days after the date of this prospectus. Following the expiration of the New Lock-Up Agreements, the ordinary shares held by the selling shareholders named herein will remain subject to the restrictions set forth in the IPO Lock-Up Agreements until the 180th day after our initial public offering, with the exception of their Released Shares not offered hereby, the restrictions on which Goldman Sachs &amp; Co. LLC and Morgan Stanley &amp; Co. LLC have agreed to waive.</w:t>
      </w:r>
    </w:p>
    <w:p>
      <w:pPr>
        <w:spacing w:after="0" w:line="204"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An aggregate of 7,330,943 Released Shares held by shareholders that are not participating in this offering will remain free from the restrictions on transfer for the remainder of the Current Trading Window (after which time such ordinary shares will be subject to the restrictions set forth in their respective lock-up agreements for the period through and including the 180th day after our initial public offering).</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2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 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our ordinary shares then outstanding or the average weekly trading volume of our ordinary shares on Nasdaq during the four calendar weeks preceding such sale. Such sales are also subject to certain manner of sale provisions, notice requirements and the availability of current public information about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Options</w:t>
      </w:r>
    </w:p>
    <w:p>
      <w:pPr>
        <w:spacing w:after="0" w:line="12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have filed a registration statement on Form S-8 under the Securities Act to register ordinary shares reserved for issuance under our share option plans. The registration statement became effective automatically upon filing, and the ordinary shares covered by such registration statement are eligible for sale in the public markets, subject to vesting restrictions, the lock-up agreements described above and Rule 144 limitations applicable to affiliates.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TAXATION</w:t>
      </w:r>
    </w:p>
    <w:p>
      <w:pPr>
        <w:spacing w:after="0" w:line="230"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Israeli Tax Considerations</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09" w:lineRule="exact"/>
        <w:rPr>
          <w:sz w:val="20"/>
          <w:szCs w:val="20"/>
          <w:color w:val="auto"/>
        </w:rPr>
      </w:pPr>
    </w:p>
    <w:p>
      <w:pPr>
        <w:ind w:left="920" w:hanging="218"/>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221"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202" w:lineRule="exact"/>
        <w:rPr>
          <w:sz w:val="20"/>
          <w:szCs w:val="20"/>
          <w:color w:val="auto"/>
        </w:rPr>
      </w:pPr>
    </w:p>
    <w:p>
      <w:pPr>
        <w:ind w:left="160" w:right="500" w:firstLine="546"/>
        <w:spacing w:after="0" w:line="237" w:lineRule="auto"/>
        <w:rPr>
          <w:sz w:val="20"/>
          <w:szCs w:val="20"/>
          <w:color w:val="auto"/>
        </w:rPr>
      </w:pPr>
      <w:r>
        <w:rPr>
          <w:rFonts w:ascii="Arial" w:cs="Arial" w:eastAsia="Arial" w:hAnsi="Arial"/>
          <w:sz w:val="18"/>
          <w:szCs w:val="18"/>
          <w:color w:val="auto"/>
        </w:rPr>
        <w:t>From time to time we may apply to the National Authority for Technological Innovation (the “IIA”) for approval to allow a tax deduction for all research and development expenses during the year incurred. There can be no assurance that such request will be granted.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Capital Gains Taxes</w:t>
      </w:r>
    </w:p>
    <w:p>
      <w:pPr>
        <w:spacing w:after="0" w:line="119"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w:t>
      </w:r>
    </w:p>
    <w:p>
      <w:pPr>
        <w:spacing w:after="0" w:line="206"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Generally, Real Capital Gain accrued by individuals on the sale of our ordinary shares will be taxed at the rate of 25%. However, if the individual shareholder claims deduction of interest and linkage differences expenses in connection with the purchase and holding of such shares or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2021).</w:t>
      </w:r>
    </w:p>
    <w:p>
      <w:pPr>
        <w:spacing w:after="0" w:line="204"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202"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In addition, such exemption is not applicable to a person whose gains from selling or disposing the shares are deemed to be business income.</w:t>
      </w:r>
    </w:p>
    <w:p>
      <w:pPr>
        <w:spacing w:after="0" w:line="203" w:lineRule="exact"/>
        <w:rPr>
          <w:sz w:val="20"/>
          <w:szCs w:val="20"/>
          <w:color w:val="auto"/>
        </w:rPr>
      </w:pPr>
    </w:p>
    <w:p>
      <w:pPr>
        <w:ind w:left="160" w:firstLine="546"/>
        <w:spacing w:after="0" w:line="246" w:lineRule="auto"/>
        <w:rPr>
          <w:sz w:val="20"/>
          <w:szCs w:val="20"/>
          <w:color w:val="auto"/>
        </w:rPr>
      </w:pPr>
      <w:r>
        <w:rPr>
          <w:rFonts w:ascii="Arial" w:cs="Arial" w:eastAsia="Arial" w:hAnsi="Arial"/>
          <w:sz w:val="17"/>
          <w:szCs w:val="17"/>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w:t>
      </w:r>
      <w:r>
        <w:rPr>
          <w:rFonts w:ascii="Arial" w:cs="Arial" w:eastAsia="Arial" w:hAnsi="Arial"/>
          <w:sz w:val="17"/>
          <w:szCs w:val="17"/>
          <w:u w:val="single" w:color="auto"/>
          <w:color w:val="auto"/>
        </w:rPr>
        <w:t>United States-Israel Tax Treaty</w:t>
      </w:r>
      <w:r>
        <w:rPr>
          <w:rFonts w:ascii="Arial" w:cs="Arial" w:eastAsia="Arial" w:hAnsi="Arial"/>
          <w:sz w:val="17"/>
          <w:szCs w:val="17"/>
          <w:color w:val="auto"/>
        </w:rPr>
        <w:t>”), the sale, exchange or other disposition of shares by a shareholder who is a United States resident (for purposes of the United States-Israel Tax Treaty) holding the shares as a capital asset and is entitled to claim the benefits afforded to such a resident by the United States-Israel Tax Treaty (a “</w:t>
      </w:r>
      <w:r>
        <w:rPr>
          <w:rFonts w:ascii="Arial" w:cs="Arial" w:eastAsia="Arial" w:hAnsi="Arial"/>
          <w:sz w:val="17"/>
          <w:szCs w:val="17"/>
          <w:u w:val="single" w:color="auto"/>
          <w:color w:val="auto"/>
        </w:rPr>
        <w:t>Treaty</w:t>
      </w:r>
      <w:r>
        <w:rPr>
          <w:rFonts w:ascii="Arial" w:cs="Arial" w:eastAsia="Arial" w:hAnsi="Arial"/>
          <w:sz w:val="17"/>
          <w:szCs w:val="17"/>
          <w:color w:val="auto"/>
        </w:rPr>
        <w:t xml:space="preserve"> </w:t>
      </w:r>
      <w:r>
        <w:rPr>
          <w:rFonts w:ascii="Arial" w:cs="Arial" w:eastAsia="Arial" w:hAnsi="Arial"/>
          <w:sz w:val="17"/>
          <w:szCs w:val="17"/>
          <w:u w:val="single" w:color="auto"/>
          <w:color w:val="auto"/>
        </w:rPr>
        <w:t>U.S. Resident</w:t>
      </w:r>
      <w:r>
        <w:rPr>
          <w:rFonts w:ascii="Arial" w:cs="Arial" w:eastAsia="Arial" w:hAnsi="Arial"/>
          <w:sz w:val="17"/>
          <w:szCs w:val="17"/>
          <w:color w:val="auto"/>
        </w:rPr>
        <w:t>”) is generally exempt from Israeli capital gains tax unless: (i) the capital gain arising from such sale, exchange or disposition is attributed to real estate located in Israel; (ii) the capital gain arising from such sale, exchange or disposition is attributed to royalties;</w:t>
      </w:r>
    </w:p>
    <w:p>
      <w:pPr>
        <w:spacing w:after="0" w:line="2" w:lineRule="exact"/>
        <w:rPr>
          <w:sz w:val="20"/>
          <w:szCs w:val="20"/>
          <w:color w:val="auto"/>
        </w:rPr>
      </w:pPr>
    </w:p>
    <w:p>
      <w:pPr>
        <w:jc w:val="both"/>
        <w:ind w:left="160" w:right="180" w:firstLine="7"/>
        <w:spacing w:after="0" w:line="236" w:lineRule="auto"/>
        <w:tabs>
          <w:tab w:leader="none" w:pos="4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capital gain arising from the such sale, exchange or disposition is attributed to a permanent establishment in Israel, under certain terms; (iv) such Treaty U.S. Resident holds, directly or indirectly, shares representing 10% or more of the voting rights during any part of the 12-month period preceding the disposition, subject to certain conditions; or (v) such Treaty U.S. Resident is an individual and was present in Israel for 183 days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6"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some instances where our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84"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b w:val="1"/>
          <w:bCs w:val="1"/>
          <w:i w:val="1"/>
          <w:iCs w:val="1"/>
          <w:color w:val="auto"/>
        </w:rPr>
        <w:t>Taxation on Receipt of 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Non-Israeli residents (whether individuals or corporations) are generally subject to Israeli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on the 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203" w:lineRule="exact"/>
        <w:rPr>
          <w:sz w:val="20"/>
          <w:szCs w:val="20"/>
          <w:color w:val="auto"/>
        </w:rPr>
      </w:pPr>
    </w:p>
    <w:p>
      <w:pPr>
        <w:jc w:val="both"/>
        <w:ind w:left="160" w:right="420" w:firstLine="546"/>
        <w:spacing w:after="0" w:line="235"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rights throughout the tax year in which the dividend is distributed as well as during the previous tax year, is 12.5%, provided that not more than 25% of our gross income for such preceding year consists of certain types of dividends and interest.</w:t>
      </w:r>
    </w:p>
    <w:p>
      <w:pPr>
        <w:spacing w:after="0" w:line="180" w:lineRule="exact"/>
        <w:rPr>
          <w:sz w:val="20"/>
          <w:szCs w:val="20"/>
          <w:color w:val="auto"/>
        </w:rPr>
      </w:pPr>
    </w:p>
    <w:p>
      <w:pPr>
        <w:ind w:left="160" w:righ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Surtax. </w:t>
      </w:r>
      <w:r>
        <w:rPr>
          <w:rFonts w:ascii="Arial" w:cs="Arial" w:eastAsia="Arial" w:hAnsi="Arial"/>
          <w:sz w:val="18"/>
          <w:szCs w:val="18"/>
          <w:color w:val="auto"/>
        </w:rPr>
        <w:t>Individuals who are subject to income tax in Israel (whether any such individual is an Israeli resident or non-Israeli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 are also subject to an additional tax at a rate of 3% on annual taxable income (including, but not limited to, income derived from dividends, interest and capital gains) exceeding NIS 647,640 for 2021, which amount is linked to the annual change in the Israeli consumer price index.</w:t>
      </w:r>
    </w:p>
    <w:p>
      <w:pPr>
        <w:spacing w:after="0" w:line="178" w:lineRule="exact"/>
        <w:rPr>
          <w:sz w:val="20"/>
          <w:szCs w:val="20"/>
          <w:color w:val="auto"/>
        </w:rPr>
      </w:pPr>
    </w:p>
    <w:p>
      <w:pPr>
        <w:ind w:left="720"/>
        <w:spacing w:after="0"/>
        <w:tabs>
          <w:tab w:leader="none" w:pos="2540" w:val="left"/>
        </w:tabs>
        <w:rPr>
          <w:sz w:val="20"/>
          <w:szCs w:val="20"/>
          <w:color w:val="auto"/>
        </w:rPr>
      </w:pPr>
      <w:r>
        <w:rPr>
          <w:rFonts w:ascii="Arial" w:cs="Arial" w:eastAsia="Arial" w:hAnsi="Arial"/>
          <w:sz w:val="18"/>
          <w:szCs w:val="18"/>
          <w:b w:val="1"/>
          <w:bCs w:val="1"/>
          <w:i w:val="1"/>
          <w:iCs w:val="1"/>
          <w:color w:val="auto"/>
        </w:rPr>
        <w:t>Estate and Gift Tax.</w:t>
      </w:r>
      <w:r>
        <w:rPr>
          <w:sz w:val="20"/>
          <w:szCs w:val="20"/>
          <w:color w:val="auto"/>
        </w:rPr>
        <w:tab/>
      </w:r>
      <w:r>
        <w:rPr>
          <w:rFonts w:ascii="Arial" w:cs="Arial" w:eastAsia="Arial" w:hAnsi="Arial"/>
          <w:sz w:val="17"/>
          <w:szCs w:val="17"/>
          <w:color w:val="auto"/>
        </w:rPr>
        <w:t>Israeli law presently does not impose estate or gift taxes.</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Law for the Encouragement of Industry (Taxes), 1969</w:t>
      </w:r>
    </w:p>
    <w:p>
      <w:pPr>
        <w:spacing w:after="0" w:line="123"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The Law for the Encouragement of Industry (Taxes), 1969, and the regulations promulgated thereunder, generally referred to as the Industry Encouragement Law, provides several tax benefits for “Industry Companies.” We believe that we currently qualify as an Industrial Company within the meaning of the Industry Encouragement Law.</w:t>
      </w:r>
    </w:p>
    <w:p>
      <w:pPr>
        <w:spacing w:after="0" w:line="20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 certain tax year, other than income from government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6"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loans, is derived from an “Industrial Enterprise” owned by it and located in Israel or in the “Area” in accordance with the definition under section 3A of the Ordinance. An “Industrial Enterprise” is defined as an enterprise whose principal activity in a given tax year is industrial production activity.</w:t>
      </w:r>
    </w:p>
    <w:p>
      <w:pPr>
        <w:spacing w:after="0" w:line="109" w:lineRule="exact"/>
        <w:rPr>
          <w:sz w:val="20"/>
          <w:szCs w:val="20"/>
          <w:color w:val="auto"/>
        </w:rPr>
      </w:pPr>
    </w:p>
    <w:p>
      <w:pPr>
        <w:ind w:left="920" w:right="300" w:hanging="218"/>
        <w:spacing w:after="0" w:line="237" w:lineRule="auto"/>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Amortization of the cost of purchased know-how and patents and rights to use a patent and know-how which are used for the development or advancement of the Industrial Enterprise, over an eight-year period, commencing on the year in which such rights were first exercised;</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w:t>
      </w:r>
    </w:p>
    <w:p>
      <w:pPr>
        <w:spacing w:after="0" w:line="12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under limited conditions, an Israeli Company which is not an Industrial Company may elect to file consolidated tax returns with its subsidiary that meets the definition of an Industrial Company;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a three-year period.</w:t>
      </w:r>
    </w:p>
    <w:p>
      <w:pPr>
        <w:spacing w:after="0" w:line="221"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 Federal Income Tax Consideration</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The following summary describes certain United States federal income tax considerations generally applicable to United States Holders (as defined below) of our ordinary shares. This summary deals only with our ordinary shares held as capital assets within the meaning of Section 1221 of the Internal Revenue Code of 1986, as amended (“Internal Revenue Code”). This summary also does not address the tax consequences that may be relevant to holders in special tax situations including, without limitation, dealers in securities, traders that elect to use a mark-to-market method of accounting, holders that own our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ordinary shares in a compensatory transaction, holders subject to special tax accounting rules as a result of any item of gross income with respect to our ordinary shares being taken into account in an applicable financial statement, holders which are entities or arrangements treated as partnerships for United States federal income tax purposes or holders that actually or constructively through attribution own 10% or more of the total voting power or value of our outstanding ordinary shares.</w:t>
      </w:r>
    </w:p>
    <w:p>
      <w:pPr>
        <w:spacing w:after="0" w:line="21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202"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As used herein, the term “United States Holder” means a beneficial owner of our ordinary shares that is, for United States federal income tax purposes, (i) an individual who is a citizen or resident of the United States, (ii) a corporation or other entity taxable as a corporation created or organized under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6"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20"/>
        <w:spacing w:after="0" w:line="253" w:lineRule="auto"/>
        <w:rPr>
          <w:sz w:val="20"/>
          <w:szCs w:val="20"/>
          <w:color w:val="auto"/>
        </w:rPr>
      </w:pPr>
      <w:r>
        <w:rPr>
          <w:rFonts w:ascii="Arial" w:cs="Arial" w:eastAsia="Arial" w:hAnsi="Arial"/>
          <w:sz w:val="17"/>
          <w:szCs w:val="17"/>
          <w:color w:val="auto"/>
        </w:rPr>
        <w:t>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Internal Revenue Code Section 7701(a)(30), or (b) that has a valid election in effect under applicable United States Treasury regulations to be treated as a “United States person.”</w:t>
      </w:r>
    </w:p>
    <w:p>
      <w:pPr>
        <w:spacing w:after="0" w:line="192"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ordinary shares, the tax treatment of a partner in the partnership generally will depend upon the status of the partner and the activities of the partnership. Partners of a partnership considering an investment in our ordinary shares should consult their tax advisors regarding the United States federal income tax consequences of acquiring, owning, and disposing of our ordinary shares.</w:t>
      </w:r>
    </w:p>
    <w:p>
      <w:pPr>
        <w:spacing w:after="0" w:line="180"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ORDINARY SHARES, INCLUDING THE APPLICABILITY AND EFFECT OF STATE, LOCAL AND NON-U.S. TAX LAWS AND POSSIBLE CHANGES IN TAX LAW.</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Although we do not anticipate paying any dividends in the foreseeable future, as described in “Dividend Policy” above, if we do make any distributions, subject to the discussion below under “—Passive Foreign Investment Company,” the amount of dividends paid to a United States Holder with respect to our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ordinary shares and thereafter as capital gain. However, we do not intend to calculate our earnings and profits under United States federal income tax principles. Therefore, United States Holders should expect that a distribution will generally be treated as a dividend even if that distribution would otherwise be treated as a non-taxable return of capital or as capital gain under the rules described above.</w:t>
      </w:r>
    </w:p>
    <w:p>
      <w:pPr>
        <w:spacing w:after="0" w:line="20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Foreign withholding tax (if any) paid on dividends on our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80"/>
        <w:spacing w:after="0" w:line="239" w:lineRule="auto"/>
        <w:rPr>
          <w:sz w:val="20"/>
          <w:szCs w:val="20"/>
          <w:color w:val="auto"/>
        </w:rPr>
      </w:pPr>
      <w:r>
        <w:rPr>
          <w:rFonts w:ascii="Arial" w:cs="Arial" w:eastAsia="Arial" w:hAnsi="Arial"/>
          <w:sz w:val="18"/>
          <w:szCs w:val="18"/>
          <w:color w:val="auto"/>
        </w:rPr>
        <w:t>treatment of foreign taxes imposed on a United States Holder and foreign tax credits are complex, and United States Holders should consult their tax advisors about the impact of these rules in their particular situations.</w:t>
      </w:r>
    </w:p>
    <w:p>
      <w:pPr>
        <w:spacing w:after="0" w:line="203" w:lineRule="exact"/>
        <w:rPr>
          <w:sz w:val="20"/>
          <w:szCs w:val="20"/>
          <w:color w:val="auto"/>
        </w:rPr>
      </w:pPr>
    </w:p>
    <w:p>
      <w:pPr>
        <w:ind w:left="160" w:right="260" w:firstLine="546"/>
        <w:spacing w:after="0" w:line="246" w:lineRule="auto"/>
        <w:rPr>
          <w:sz w:val="20"/>
          <w:szCs w:val="20"/>
          <w:color w:val="auto"/>
        </w:rPr>
      </w:pPr>
      <w:r>
        <w:rPr>
          <w:rFonts w:ascii="Arial" w:cs="Arial" w:eastAsia="Arial" w:hAnsi="Arial"/>
          <w:sz w:val="17"/>
          <w:szCs w:val="17"/>
          <w:color w:val="auto"/>
        </w:rPr>
        <w:t>Dividends received by certain non-corporate United States Holders (including individuals) may be “qualified dividend income,” which is taxed at the lower capital gain rate, provided that (i) either our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w:t>
      </w:r>
    </w:p>
    <w:p>
      <w:pPr>
        <w:spacing w:after="0" w:line="1" w:lineRule="exact"/>
        <w:rPr>
          <w:sz w:val="20"/>
          <w:szCs w:val="20"/>
          <w:color w:val="auto"/>
        </w:rPr>
      </w:pPr>
    </w:p>
    <w:p>
      <w:pPr>
        <w:ind w:left="160" w:firstLine="7"/>
        <w:spacing w:after="0" w:line="235" w:lineRule="auto"/>
        <w:tabs>
          <w:tab w:leader="none" w:pos="4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shares generally are considered to be readily tradable on an established securities market in the United States if they are listed on Nasdaq, as our ordinary shares are expected to be. United States Holders should consult their tax advisors regarding the availability of the reduced tax rate on dividends paid with respect to our ordinary shares. The dividends will not be eligible for the dividends received deduction available to corporations in respect of dividends received from other United States corporations.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Disposition of Ordinary Shares</w:t>
      </w:r>
    </w:p>
    <w:p>
      <w:pPr>
        <w:spacing w:after="0" w:line="123" w:lineRule="exact"/>
        <w:rPr>
          <w:sz w:val="20"/>
          <w:szCs w:val="20"/>
          <w:color w:val="auto"/>
        </w:rPr>
      </w:pPr>
    </w:p>
    <w:p>
      <w:pPr>
        <w:ind w:left="160" w:right="220" w:firstLine="546"/>
        <w:spacing w:after="0" w:line="232" w:lineRule="auto"/>
        <w:rPr>
          <w:sz w:val="20"/>
          <w:szCs w:val="20"/>
          <w:color w:val="auto"/>
        </w:rPr>
      </w:pPr>
      <w:r>
        <w:rPr>
          <w:rFonts w:ascii="Arial" w:cs="Arial" w:eastAsia="Arial" w:hAnsi="Arial"/>
          <w:sz w:val="18"/>
          <w:szCs w:val="18"/>
          <w:color w:val="auto"/>
        </w:rPr>
        <w:t>Subject to the discussion below under “—Passive Foreign Investment Company,” a United States Holder generally will recognize capital gain or loss for United States federal income tax purposes on</w:t>
      </w:r>
    </w:p>
    <w:p>
      <w:pPr>
        <w:spacing w:after="0" w:line="1"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the sale or other taxable disposition of our ordinary shares equal to the difference, if any, between the amount realized and the United States Holder’s tax basis in those ordinary shares. If any Israeli tax is imposed on the sale, exchange or other disposition of our ordinary shares, a United States Holder’s amount realized will include the gross amount of the proceeds of the deposits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 gain or loss generally will be treated as United States source income or loss for purposes of the foreign tax credit. A United States Holder’s initial tax basis in shares generally will equal the cost of such shares. Because gain for the sale or other taxable disposition of our ordinary shares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excess portion of the Israeli tax paid. You should consult your tax advisor as to whether the Israeli tax on gains may be creditable or deductible in light of your particular circumstances and your ability to apply the provisions of an applicable treaty.</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Passive Foreign Investment Company</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6"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public price of our ordinary shares, which could fluctuate significantly. In addition, it is possible that the IRS may take a contrary position with respect to our determination in any particular year, and therefore, there can be no assurance that we will not be classified as a PFIC for the current taxable year or in the future. Certain adverse United States federal income tax consequences could apply to a United States Holder if we are treated as a PFIC for any taxable year during which such United States Holder holds our ordinary shares. Under the PFIC rules, if we were considered a PFIC at any time that a United States Holder holds our ordinary shares, we would continue to be treated as a PFIC with respect to such holder’s investment unless (i) we cease to be a PFIC, and (ii) the United States Holder has made a “deemed sale” election under the PFIC rules.</w:t>
      </w:r>
    </w:p>
    <w:p>
      <w:pPr>
        <w:spacing w:after="0" w:line="209"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If we are a PFIC for any taxable year that a United States Holder holds our ordinary shares, unless the United States Holder makes certain elections, any gain recognized by the United States Holder on a sale or other disposition of our ordinary shares would be allocated pro-rata over the United States Holder’s holding period for the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ordinary shares exceeds 125% of the average of the annual distributions on the ordinary shares received during the preceding three years or the United States Holder’s holding period, whichever is shorter, that distribution would be subject to taxation in the same manner as gain on the sale or other disposition of our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ordinary shares. In addition, a timely election to treat us as a qualified electing fund under the Internal Revenue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ordinary shares.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3" w:lineRule="exact"/>
        <w:rPr>
          <w:sz w:val="20"/>
          <w:szCs w:val="20"/>
          <w:color w:val="auto"/>
        </w:rPr>
      </w:pPr>
    </w:p>
    <w:p>
      <w:pPr>
        <w:ind w:left="160" w:right="440" w:firstLine="546"/>
        <w:spacing w:after="0" w:line="236" w:lineRule="auto"/>
        <w:rPr>
          <w:sz w:val="20"/>
          <w:szCs w:val="20"/>
          <w:color w:val="auto"/>
        </w:rPr>
      </w:pPr>
      <w:r>
        <w:rPr>
          <w:rFonts w:ascii="Arial" w:cs="Arial" w:eastAsia="Arial" w:hAnsi="Arial"/>
          <w:sz w:val="18"/>
          <w:szCs w:val="18"/>
          <w:color w:val="auto"/>
        </w:rPr>
        <w:t>Dividend payments and proceeds paid from the sale or other taxable disposition of our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ordinary shares paid within the United States or through certain U.S.-related financial intermediaries.</w:t>
      </w:r>
    </w:p>
    <w:p>
      <w:pPr>
        <w:spacing w:after="0" w:line="202"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Backup withholding will not apply, however, to a United States Holder who furnishes a correct taxpayer identification number, makes other required certification and otherwise complies with the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Financial Asset Reporting</w:t>
      </w:r>
    </w:p>
    <w:p>
      <w:pPr>
        <w:spacing w:after="0" w:line="12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Certain United States Holders are required to report their holdings of certain foreign financial assets, including equity of foreign entities, if the aggregate value of all of these assets exceeds certain threshold amounts. Our ordinary shares are expected to constitute foreign financial assets subject to these requirements unless the ordinary shares are held in an account at certain financial institutions. United States Holders should consult their tax advisors regarding the application of these reporting requirements.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880"/>
          </w:cols>
          <w:pgMar w:left="320" w:top="456" w:right="6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30"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We, the selling shareholders and the underwriters named below have entered into an underwriting agreement with respect to the ordinary shares being offered. Subject to certain conditions, each underwriter has severally agreed to purchase the number of ordinary shares indicated in the following table. Goldman Sachs &amp; Co. LLC, Morgan Stanley &amp; Co. LLC, and Jefferies LLC are the representatives of the underwriters (the “Representatives”).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r>
      <w:tr>
        <w:trPr>
          <w:trHeight w:val="174"/>
        </w:trPr>
        <w:tc>
          <w:tcPr>
            <w:tcW w:w="20" w:type="dxa"/>
            <w:vAlign w:val="bottom"/>
          </w:tcPr>
          <w:p>
            <w:pPr>
              <w:spacing w:after="0"/>
              <w:rPr>
                <w:sz w:val="15"/>
                <w:szCs w:val="15"/>
                <w:color w:val="auto"/>
              </w:rPr>
            </w:pPr>
          </w:p>
        </w:tc>
        <w:tc>
          <w:tcPr>
            <w:tcW w:w="968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Ordinary Shares</w:t>
            </w:r>
          </w:p>
        </w:tc>
      </w:tr>
      <w:tr>
        <w:trPr>
          <w:trHeight w:val="181"/>
        </w:trPr>
        <w:tc>
          <w:tcPr>
            <w:tcW w:w="20" w:type="dxa"/>
            <w:vAlign w:val="bottom"/>
          </w:tcPr>
          <w:p>
            <w:pPr>
              <w:spacing w:after="0"/>
              <w:rPr>
                <w:sz w:val="15"/>
                <w:szCs w:val="15"/>
                <w:color w:val="auto"/>
              </w:rPr>
            </w:pPr>
          </w:p>
        </w:tc>
        <w:tc>
          <w:tcPr>
            <w:tcW w:w="96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Goldman Sachs &amp; Co. LLC</w:t>
            </w:r>
          </w:p>
        </w:tc>
        <w:tc>
          <w:tcPr>
            <w:tcW w:w="1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9680" w:type="dxa"/>
            <w:vAlign w:val="bottom"/>
          </w:tcPr>
          <w:p>
            <w:pPr>
              <w:spacing w:after="0" w:line="201" w:lineRule="exact"/>
              <w:rPr>
                <w:sz w:val="20"/>
                <w:szCs w:val="20"/>
                <w:color w:val="auto"/>
              </w:rPr>
            </w:pPr>
            <w:r>
              <w:rPr>
                <w:rFonts w:ascii="Arial" w:cs="Arial" w:eastAsia="Arial" w:hAnsi="Arial"/>
                <w:sz w:val="18"/>
                <w:szCs w:val="18"/>
                <w:color w:val="auto"/>
              </w:rPr>
              <w:t>Morgan Stanley &amp; Co. LLC</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9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Jefferies LLC</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BofA Securities, Inc.</w:t>
            </w: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9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12,000,000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160" w:right="20" w:firstLine="546"/>
        <w:spacing w:after="0" w:line="239" w:lineRule="auto"/>
        <w:rPr>
          <w:sz w:val="20"/>
          <w:szCs w:val="20"/>
          <w:color w:val="auto"/>
        </w:rPr>
      </w:pPr>
      <w:r>
        <w:rPr>
          <w:rFonts w:ascii="Arial" w:cs="Arial" w:eastAsia="Arial" w:hAnsi="Arial"/>
          <w:sz w:val="18"/>
          <w:szCs w:val="18"/>
          <w:color w:val="auto"/>
        </w:rPr>
        <w:t>The underwriters are committed to take and pay for all of the ordinary shares being offered, if any are taken, other than the ordinary shares covered by the option described below unless and until this option is exercised.</w:t>
      </w:r>
    </w:p>
    <w:p>
      <w:pPr>
        <w:spacing w:after="0" w:line="20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selling shareholders have granted to the underwriters an option to purchase up to an additional 1,800,000 ordinary shares at the public offering price, less the underwriting discount, within 30 days from the date of this prospectus. If any ordinary shares are purchased pursuant to this option, the underwriters will severally purchase ordinary shares in approximately the same proportion as set forth in the table above.</w:t>
      </w:r>
    </w:p>
    <w:p>
      <w:pPr>
        <w:spacing w:after="0" w:line="202" w:lineRule="exact"/>
        <w:rPr>
          <w:sz w:val="20"/>
          <w:szCs w:val="20"/>
          <w:color w:val="auto"/>
        </w:rPr>
      </w:pPr>
    </w:p>
    <w:p>
      <w:pPr>
        <w:ind w:left="160" w:right="340" w:firstLine="546"/>
        <w:spacing w:after="0" w:line="23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shareholders. Such amounts are shown assuming both no exercise and full exercise of the underwriters’ option to purchase additional ordinary shares.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51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Per Ordinary Share</w:t>
            </w:r>
          </w:p>
        </w:tc>
        <w:tc>
          <w:tcPr>
            <w:tcW w:w="3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780"/>
              <w:spacing w:after="0" w:line="194"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760"/>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45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0"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We estimate that our portion of the total expenses of the offering, excluding underwriting discounts and commissions, will be approximately $1.0 million. We have also agreed to reimburse the underwriters for expenses incurred by them related to the clearance of this offering with FINRA up to an aggregate of $15,000.</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Ordinary shares sold by the underwriters to the public will initially be offered at the public offering price set forth on the cover page</w:t>
      </w:r>
    </w:p>
    <w:p>
      <w:pPr>
        <w:ind w:left="160" w:right="140"/>
        <w:spacing w:after="0" w:line="236" w:lineRule="auto"/>
        <w:rPr>
          <w:sz w:val="20"/>
          <w:szCs w:val="20"/>
          <w:color w:val="auto"/>
        </w:rPr>
      </w:pPr>
      <w:r>
        <w:rPr>
          <w:rFonts w:ascii="Arial" w:cs="Arial" w:eastAsia="Arial" w:hAnsi="Arial"/>
          <w:sz w:val="18"/>
          <w:szCs w:val="18"/>
          <w:color w:val="auto"/>
        </w:rPr>
        <w:t>of this prospectus. Any ordinary shares sold by the underwriters to securities dealers may be sold at a discount of up to $ per ordinary share from the public offering price. After the initial offering of the ordinary shares, the Representatives may change the offering price and the other selling terms. The offering of the ordinary shares by the underwriters is subject to receipt and acceptance and subject to the underwriters’ right to reject any order in whole or in part.</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Each of the selling shareholders remains subject to a lock-up agreement entered into by such selling shareholder in connection with our initial public offering, and has also entered into an additional lock-up agreement in connection with this offering, in each case as described further in “Shares Eligible for Future Sale —Lock-Up Agreements.” Goldman Sachs &amp; Co. LLC and Morgan Stanley &amp; Co. LLC may, in their sole discretion, release any of the securities subject to these lock-up agreements at any time.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ordinary shares are listed on The Nasdaq Global Select Market under the symbol “GLBE.”</w:t>
      </w:r>
    </w:p>
    <w:p>
      <w:pPr>
        <w:spacing w:after="0" w:line="208"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ordinary shares than they are required to purchase in the offering, and a short position represents the amount of such sales that have not been covered by subsequent purchases. A “covered short position” is a short position that is not greater than the amount of additional ordinary shares for which the underwriters’ option described above may be exercised. The underwriters may cover any covered short position by either exercising their option to purchase additional ordinary shares or purchasing ordinary shares in the open market. In determining the source of ordinary shares to cover the covered short position, the underwriters will consider, among other things, the price of ordinary shares available for purchase in the open market as compared to the price at which they may purchase additional ordinary shares pursuant to the option described above. “Naked” short sales are any short sales that create a short position greater than the amount of additional ordinary shares for which the option described above may be exercised. The underwriters must cover any such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the offering. Stabilizing transactions consist of various bids for or purchases of ordinary shares made by the underwriters in the open market prior to the completion of the offering.</w:t>
      </w:r>
    </w:p>
    <w:p>
      <w:pPr>
        <w:spacing w:after="0" w:line="206"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ordinary shares sold by or for the account of such underwriter in stabilizing or short covering transactions.</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ordinary shares, and together with the imposition of the penalty bid, may stabilize, maintain or otherwise affect the market price of our ordinary shares. As a result, the price of the ordinary shares may be higher than the price that otherwise might exist in the open market. The underwriters are not required to engage in these activities and may end any of these activities at any time. These transactions may be effected on the relevant exchange, in the over-the-counter market or otherwise.</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We and the selling shareholders have agreed to indemnify the several underwriters against certain liabilities, including liabilities under the Securities Act.</w:t>
      </w:r>
    </w:p>
    <w:p>
      <w:pPr>
        <w:spacing w:after="0" w:line="20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4"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ours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6"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(directly, as collateral securing other obligations or otherwise) or persons and entities with relationships with us.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Restrictions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relation to each EEA Member State and, until the expiration of the period during which the United Kingdom continues to be subject to European Union law without being an EEA Member State (the “Transition Period”), the United Kingdom, none of the ordinary shares have been offered or will be offered pursuant to the offering to the public in that EEA Member State or the United Kingdom prior to the publication of a prospectus in relation to the ordinary shares which has been approved by the competent authority in that EEA Member State or the United Kingdom or, where appropriate, approved in another EEA Member State or the United Kingdom and notified to the competent authority in that EEA Member State or the United Kingdom, all in accordance with Regulation (EU) 2017/1129 (the “Prospectus Regulation”), except that offers of ordinary shares may be made to the public in that EEA Member State or the United Kingdom at any time under the following exemptions under the Prospectus Regulation:</w:t>
      </w:r>
    </w:p>
    <w:p>
      <w:pPr>
        <w:spacing w:after="0" w:line="111" w:lineRule="exact"/>
        <w:rPr>
          <w:sz w:val="20"/>
          <w:szCs w:val="20"/>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3" w:lineRule="exact"/>
        <w:rPr>
          <w:rFonts w:ascii="Arial" w:cs="Arial" w:eastAsia="Arial" w:hAnsi="Arial"/>
          <w:sz w:val="18"/>
          <w:szCs w:val="18"/>
          <w:color w:val="auto"/>
        </w:rPr>
      </w:pPr>
    </w:p>
    <w:p>
      <w:pPr>
        <w:ind w:left="1340" w:right="440" w:hanging="638"/>
        <w:spacing w:after="0" w:line="239"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09" w:lineRule="exact"/>
        <w:rPr>
          <w:rFonts w:ascii="Arial" w:cs="Arial" w:eastAsia="Arial" w:hAnsi="Arial"/>
          <w:sz w:val="18"/>
          <w:szCs w:val="18"/>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8"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provided that no such offer of the ordinary shares shall require the company or the representative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60" w:right="280" w:firstLine="546"/>
        <w:spacing w:after="0" w:line="257" w:lineRule="auto"/>
        <w:rPr>
          <w:sz w:val="20"/>
          <w:szCs w:val="20"/>
          <w:color w:val="auto"/>
        </w:rPr>
      </w:pPr>
      <w:r>
        <w:rPr>
          <w:rFonts w:ascii="Arial" w:cs="Arial" w:eastAsia="Arial" w:hAnsi="Arial"/>
          <w:sz w:val="17"/>
          <w:szCs w:val="17"/>
          <w:color w:val="auto"/>
        </w:rPr>
        <w:t>For the purposes of this provision, the expression an “offer to the public” in relation to any of the ordinary shares in any EEA Member State or the United Kingdom means the communication in any form and by any means of sufficient information on the terms of the offer and any ordinary shares to be offered so as to enable an investor to decide to purchase or subscribe for any ordinary shares.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ordinary shares in circumstances in which Section 21(1) of the FSMA does not apply to the company; and (b) it has complied and will comply with all applicable provisions of the FSMA with respect to anything done by it in relation to the ordinary shares in, from or otherwise involving the United Kingdom.</w:t>
      </w:r>
    </w:p>
    <w:p>
      <w:pPr>
        <w:spacing w:after="0" w:line="202" w:lineRule="exact"/>
        <w:rPr>
          <w:sz w:val="20"/>
          <w:szCs w:val="20"/>
          <w:color w:val="auto"/>
        </w:rPr>
      </w:pPr>
    </w:p>
    <w:p>
      <w:pPr>
        <w:ind w:left="160" w:right="320" w:firstLine="546"/>
        <w:spacing w:after="0" w:line="257" w:lineRule="auto"/>
        <w:rPr>
          <w:sz w:val="20"/>
          <w:szCs w:val="20"/>
          <w:color w:val="auto"/>
        </w:rPr>
      </w:pPr>
      <w:r>
        <w:rPr>
          <w:rFonts w:ascii="Arial" w:cs="Arial" w:eastAsia="Arial" w:hAnsi="Arial"/>
          <w:sz w:val="17"/>
          <w:szCs w:val="17"/>
          <w:color w:val="auto"/>
        </w:rPr>
        <w:t>After the expiration of the Transition Period, none of the ordinary shares have been offered or will be offered pursuant to the offering to the public in the United Kingdom prior to the publication of a prospectus in relation to the ordinary shares which has been approved by the Financial Conduct Authority in accordance with the FSMA, as amended), except that offers of ordinary shares may be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made to the public in that EEA Member State at any time under the following exemptions under the FSMA, as amended:</w:t>
      </w:r>
    </w:p>
    <w:p>
      <w:pPr>
        <w:spacing w:after="0" w:line="114" w:lineRule="exact"/>
        <w:rPr>
          <w:sz w:val="20"/>
          <w:szCs w:val="20"/>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FSMA;</w:t>
      </w:r>
    </w:p>
    <w:p>
      <w:pPr>
        <w:spacing w:after="0" w:line="113" w:lineRule="exact"/>
        <w:rPr>
          <w:rFonts w:ascii="Arial" w:cs="Arial" w:eastAsia="Arial" w:hAnsi="Arial"/>
          <w:sz w:val="18"/>
          <w:szCs w:val="18"/>
          <w:color w:val="auto"/>
        </w:rPr>
      </w:pPr>
    </w:p>
    <w:p>
      <w:pPr>
        <w:ind w:left="1340" w:right="140" w:hanging="638"/>
        <w:spacing w:after="0" w:line="239" w:lineRule="auto"/>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FSMA), subject to obtaining the prior consent of the representative for any such offer; or</w:t>
      </w:r>
    </w:p>
    <w:p>
      <w:pPr>
        <w:spacing w:after="0" w:line="109" w:lineRule="exact"/>
        <w:rPr>
          <w:rFonts w:ascii="Arial" w:cs="Arial" w:eastAsia="Arial" w:hAnsi="Arial"/>
          <w:sz w:val="18"/>
          <w:szCs w:val="18"/>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as amended,</w:t>
      </w:r>
    </w:p>
    <w:p>
      <w:pPr>
        <w:spacing w:after="0" w:line="208" w:lineRule="exact"/>
        <w:rPr>
          <w:sz w:val="20"/>
          <w:szCs w:val="20"/>
          <w:color w:val="auto"/>
        </w:rPr>
      </w:pPr>
    </w:p>
    <w:p>
      <w:pPr>
        <w:ind w:left="160" w:right="400"/>
        <w:spacing w:after="0" w:line="235" w:lineRule="auto"/>
        <w:rPr>
          <w:sz w:val="20"/>
          <w:szCs w:val="20"/>
          <w:color w:val="auto"/>
        </w:rPr>
      </w:pPr>
      <w:r>
        <w:rPr>
          <w:rFonts w:ascii="Arial" w:cs="Arial" w:eastAsia="Arial" w:hAnsi="Arial"/>
          <w:sz w:val="18"/>
          <w:szCs w:val="18"/>
          <w:color w:val="auto"/>
        </w:rPr>
        <w:t>provided that no such offer of the ordinary shares shall require the company or the representative to publish a prospectus pursuant to Section 85 of the FSMA or supplement a prospectus pursuant to Section 87G of the FSMA. For the purposes of this provision, the expression an “offer to the public” in relation to any ordinary shares in the United Kingdom the communication in any form and by any means of sufficient information on the terms of the offer and any ordinary shares to be offered so as to enable an investor to decide to purchase or subscribe for any ordinary shares.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Israel</w:t>
      </w:r>
    </w:p>
    <w:p>
      <w:pPr>
        <w:spacing w:after="0" w:line="123" w:lineRule="exact"/>
        <w:rPr>
          <w:sz w:val="20"/>
          <w:szCs w:val="20"/>
          <w:color w:val="auto"/>
        </w:rPr>
      </w:pPr>
    </w:p>
    <w:p>
      <w:pPr>
        <w:ind w:left="160" w:firstLine="546"/>
        <w:spacing w:after="0" w:line="253" w:lineRule="auto"/>
        <w:rPr>
          <w:sz w:val="20"/>
          <w:szCs w:val="20"/>
          <w:color w:val="auto"/>
        </w:rPr>
      </w:pPr>
      <w:r>
        <w:rPr>
          <w:rFonts w:ascii="Arial" w:cs="Arial" w:eastAsia="Arial" w:hAnsi="Arial"/>
          <w:sz w:val="17"/>
          <w:szCs w:val="17"/>
          <w:color w:val="auto"/>
        </w:rPr>
        <w:t>The ordinary shares offered by this prospectus have not been approved or disapproved by the Israel Securities Authority (the “ISA”), nor have such ordinary shares been registered for sale in Israel. The ordinary shares offered by this prospectus may not be offered or sold to the public in Israel absent the publication of a prospectus that has been approved by the ISA. This document does not constitute a prospectus under the Israeli Securities Law, 5728-1968 (the “Israeli Securities Law”), and has not been filed with or approved by the ISA.</w:t>
      </w:r>
    </w:p>
    <w:p>
      <w:pPr>
        <w:spacing w:after="0" w:line="192"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In the State of Israel, this document may be distributed only to, and may be directed only at, and any offer of the ordinary shares hereunder may be directed only at, (i) to the extent applicable, a limited number of persons in accordance with the Israeli Securities Law and (ii) investors listed in the first addendum to the Israeli Securities Law (the “Addendum”) consisting primarily of joint investment in trust funds, provident funds, insurance companies, banks, portfolio managers, investment advisors, members of the Tel Aviv Stock Exchange Ltd.,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Canada</w:t>
      </w:r>
    </w:p>
    <w:p>
      <w:pPr>
        <w:spacing w:after="0" w:line="123" w:lineRule="exact"/>
        <w:rPr>
          <w:sz w:val="20"/>
          <w:szCs w:val="20"/>
          <w:color w:val="auto"/>
        </w:rPr>
      </w:pPr>
    </w:p>
    <w:p>
      <w:pPr>
        <w:ind w:left="160" w:right="400" w:firstLine="546"/>
        <w:spacing w:after="0" w:line="235" w:lineRule="auto"/>
        <w:rPr>
          <w:sz w:val="20"/>
          <w:szCs w:val="20"/>
          <w:color w:val="auto"/>
        </w:rPr>
      </w:pPr>
      <w:r>
        <w:rPr>
          <w:rFonts w:ascii="Arial" w:cs="Arial" w:eastAsia="Arial" w:hAnsi="Arial"/>
          <w:sz w:val="18"/>
          <w:szCs w:val="18"/>
          <w:color w:val="auto"/>
        </w:rPr>
        <w:t>The ordinary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204"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Hong Kong</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ordinary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ordinary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Japan</w:t>
      </w:r>
    </w:p>
    <w:p>
      <w:pPr>
        <w:spacing w:after="0" w:line="123"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The ordinary shares have not been and will not be registered under the Financial Instruments and Exchange Act of Japan (Act No. 25 of 1948, as amended) (the “FIEA”). The ordinary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Australia</w:t>
      </w:r>
    </w:p>
    <w:p>
      <w:pPr>
        <w:spacing w:after="0" w:line="12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04"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Any offer in Australia of the ordinary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0"/>
          </w:cols>
          <w:pgMar w:left="320" w:top="456" w:right="5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EXPENSES OF THE OFFERING</w:t>
      </w:r>
    </w:p>
    <w:p>
      <w:pPr>
        <w:spacing w:after="0" w:line="230"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9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r>
      <w:tr>
        <w:trPr>
          <w:trHeight w:val="187"/>
        </w:trPr>
        <w:tc>
          <w:tcPr>
            <w:tcW w:w="1004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w w:val="97"/>
              </w:rPr>
              <w:t>$ 118,339</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1"/>
        </w:trPr>
        <w:tc>
          <w:tcPr>
            <w:tcW w:w="10040" w:type="dxa"/>
            <w:vAlign w:val="bottom"/>
            <w:gridSpan w:val="2"/>
          </w:tcPr>
          <w:p>
            <w:pPr>
              <w:spacing w:after="0" w:line="201" w:lineRule="exact"/>
              <w:rPr>
                <w:sz w:val="20"/>
                <w:szCs w:val="20"/>
                <w:color w:val="auto"/>
              </w:rPr>
            </w:pPr>
            <w:r>
              <w:rPr>
                <w:rFonts w:ascii="Arial" w:cs="Arial" w:eastAsia="Arial" w:hAnsi="Arial"/>
                <w:sz w:val="18"/>
                <w:szCs w:val="18"/>
                <w:color w:val="auto"/>
              </w:rPr>
              <w:t>FINRA filing fee</w:t>
            </w:r>
          </w:p>
        </w:tc>
        <w:tc>
          <w:tcPr>
            <w:tcW w:w="8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163,202</w:t>
            </w:r>
          </w:p>
        </w:tc>
        <w:tc>
          <w:tcPr>
            <w:tcW w:w="40" w:type="dxa"/>
            <w:vAlign w:val="bottom"/>
          </w:tcPr>
          <w:p>
            <w:pPr>
              <w:spacing w:after="0"/>
              <w:rPr>
                <w:sz w:val="17"/>
                <w:szCs w:val="17"/>
                <w:color w:val="auto"/>
              </w:rPr>
            </w:pPr>
          </w:p>
        </w:tc>
      </w:tr>
      <w:tr>
        <w:trPr>
          <w:trHeight w:val="201"/>
        </w:trPr>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Transfer agent’s fee</w:t>
            </w:r>
          </w:p>
        </w:tc>
        <w:tc>
          <w:tcPr>
            <w:tcW w:w="84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9,400</w:t>
            </w:r>
          </w:p>
        </w:tc>
        <w:tc>
          <w:tcPr>
            <w:tcW w:w="40" w:type="dxa"/>
            <w:vAlign w:val="bottom"/>
            <w:shd w:val="clear" w:color="auto" w:fill="CCEEFF"/>
          </w:tcPr>
          <w:p>
            <w:pPr>
              <w:spacing w:after="0"/>
              <w:rPr>
                <w:sz w:val="17"/>
                <w:szCs w:val="17"/>
                <w:color w:val="auto"/>
              </w:rPr>
            </w:pPr>
          </w:p>
        </w:tc>
      </w:tr>
      <w:tr>
        <w:trPr>
          <w:trHeight w:val="201"/>
        </w:trPr>
        <w:tc>
          <w:tcPr>
            <w:tcW w:w="10040" w:type="dxa"/>
            <w:vAlign w:val="bottom"/>
            <w:gridSpan w:val="2"/>
          </w:tcPr>
          <w:p>
            <w:pPr>
              <w:spacing w:after="0" w:line="201" w:lineRule="exact"/>
              <w:rPr>
                <w:sz w:val="20"/>
                <w:szCs w:val="20"/>
                <w:color w:val="auto"/>
              </w:rPr>
            </w:pPr>
            <w:r>
              <w:rPr>
                <w:rFonts w:ascii="Arial" w:cs="Arial" w:eastAsia="Arial" w:hAnsi="Arial"/>
                <w:sz w:val="18"/>
                <w:szCs w:val="18"/>
                <w:color w:val="auto"/>
              </w:rPr>
              <w:t>Printing and engraving expenses</w:t>
            </w:r>
          </w:p>
        </w:tc>
        <w:tc>
          <w:tcPr>
            <w:tcW w:w="8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r>
      <w:tr>
        <w:trPr>
          <w:trHeight w:val="201"/>
        </w:trPr>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Legal fees and expenses</w:t>
            </w:r>
          </w:p>
        </w:tc>
        <w:tc>
          <w:tcPr>
            <w:tcW w:w="84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7"/>
                <w:szCs w:val="17"/>
                <w:color w:val="auto"/>
              </w:rPr>
            </w:pPr>
          </w:p>
        </w:tc>
      </w:tr>
      <w:tr>
        <w:trPr>
          <w:trHeight w:val="201"/>
        </w:trPr>
        <w:tc>
          <w:tcPr>
            <w:tcW w:w="10040" w:type="dxa"/>
            <w:vAlign w:val="bottom"/>
            <w:gridSpan w:val="2"/>
          </w:tcPr>
          <w:p>
            <w:pPr>
              <w:spacing w:after="0" w:line="201" w:lineRule="exact"/>
              <w:rPr>
                <w:sz w:val="20"/>
                <w:szCs w:val="20"/>
                <w:color w:val="auto"/>
              </w:rPr>
            </w:pPr>
            <w:r>
              <w:rPr>
                <w:rFonts w:ascii="Arial" w:cs="Arial" w:eastAsia="Arial" w:hAnsi="Arial"/>
                <w:sz w:val="18"/>
                <w:szCs w:val="18"/>
                <w:color w:val="auto"/>
              </w:rPr>
              <w:t>Accounting fees and expenses</w:t>
            </w:r>
          </w:p>
        </w:tc>
        <w:tc>
          <w:tcPr>
            <w:tcW w:w="8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150,000</w:t>
            </w:r>
          </w:p>
        </w:tc>
        <w:tc>
          <w:tcPr>
            <w:tcW w:w="40" w:type="dxa"/>
            <w:vAlign w:val="bottom"/>
          </w:tcPr>
          <w:p>
            <w:pPr>
              <w:spacing w:after="0"/>
              <w:rPr>
                <w:sz w:val="17"/>
                <w:szCs w:val="17"/>
                <w:color w:val="auto"/>
              </w:rPr>
            </w:pPr>
          </w:p>
        </w:tc>
      </w:tr>
      <w:tr>
        <w:trPr>
          <w:trHeight w:val="201"/>
        </w:trPr>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10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9"/>
              </w:rPr>
              <w:t>$ 990,941</w:t>
            </w:r>
          </w:p>
        </w:tc>
        <w:tc>
          <w:tcPr>
            <w:tcW w:w="40" w:type="dxa"/>
            <w:vAlign w:val="bottom"/>
          </w:tcPr>
          <w:p>
            <w:pPr>
              <w:spacing w:after="0"/>
              <w:rPr>
                <w:sz w:val="18"/>
                <w:szCs w:val="18"/>
                <w:color w:val="auto"/>
              </w:rPr>
            </w:pPr>
          </w:p>
        </w:tc>
      </w:tr>
    </w:tbl>
    <w:p>
      <w:pPr>
        <w:spacing w:after="0" w:line="227" w:lineRule="exact"/>
        <w:rPr>
          <w:sz w:val="20"/>
          <w:szCs w:val="20"/>
          <w:color w:val="auto"/>
        </w:rPr>
      </w:pPr>
    </w:p>
    <w:p>
      <w:pPr>
        <w:jc w:val="both"/>
        <w:ind w:left="160" w:right="200" w:firstLine="546"/>
        <w:spacing w:after="0" w:line="239" w:lineRule="auto"/>
        <w:rPr>
          <w:sz w:val="20"/>
          <w:szCs w:val="20"/>
          <w:color w:val="auto"/>
        </w:rPr>
      </w:pPr>
      <w:r>
        <w:rPr>
          <w:rFonts w:ascii="Arial" w:cs="Arial" w:eastAsia="Arial" w:hAnsi="Arial"/>
          <w:sz w:val="18"/>
          <w:szCs w:val="18"/>
          <w:color w:val="auto"/>
        </w:rPr>
        <w:t>All amounts in the table are estimates except the SEC registration fee and the FINRA filing fee. We will pay all of the expenses of this offering.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validity of our ordinary shares and certain other matters of Israeli law will be passed upon for us by Meitar | Law Offices, Ramat Gan, Israel. Certain matters of U.S. federal law will be passed upon for us by Latham &amp; Watkins LLP. Certain matters of Israeli law will be passed upon for the underwriters by Gornitzky &amp; Co., Tel Aviv, Israel. Certain matters of U.S. federal law will be passed upon for the underwriters by Skadden, Arps, Slate, Meagher &amp; Flom LLP.</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partners of Meitar hold an aggregate of less than 1% of the Company’s issued and outstanding share capital.</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consolidated financial statements of Global-E Online Ltd. and its consolidated subsidiaries at December 31, 2020 and 2019, and for each of the three years in the period ended December 31, 2020, appearing in this prospectus and the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204" w:lineRule="exact"/>
        <w:rPr>
          <w:sz w:val="20"/>
          <w:szCs w:val="20"/>
          <w:color w:val="auto"/>
        </w:rPr>
      </w:pPr>
    </w:p>
    <w:p>
      <w:pPr>
        <w:jc w:val="both"/>
        <w:ind w:left="160" w:right="200" w:firstLine="546"/>
        <w:spacing w:after="0" w:line="237" w:lineRule="auto"/>
        <w:rPr>
          <w:sz w:val="20"/>
          <w:szCs w:val="20"/>
          <w:color w:val="auto"/>
        </w:rPr>
      </w:pPr>
      <w:r>
        <w:rPr>
          <w:rFonts w:ascii="Arial" w:cs="Arial" w:eastAsia="Arial" w:hAnsi="Arial"/>
          <w:sz w:val="18"/>
          <w:szCs w:val="18"/>
          <w:color w:val="auto"/>
        </w:rPr>
        <w:t>We have irrevocably appointed Global-e US Inc. as our agent to receive service of process in any action against us in any U.S. federal or state court arising out of this offering or any purchase or sale of securities in connection with this offering. The address of our agent is 10 East 33rd Street, 12th Floor, New York, New York 10016.</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We have been informed by our legal counsel in Israel, Meitar | Law Offices,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202"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09" w:lineRule="exact"/>
        <w:rPr>
          <w:sz w:val="20"/>
          <w:szCs w:val="20"/>
          <w:color w:val="auto"/>
        </w:rPr>
      </w:pPr>
    </w:p>
    <w:p>
      <w:pPr>
        <w:ind w:left="920" w:right="560" w:hanging="218"/>
        <w:spacing w:after="0" w:line="239"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109" w:lineRule="exact"/>
        <w:rPr>
          <w:rFonts w:ascii="Arial" w:cs="Arial" w:eastAsia="Arial" w:hAnsi="Arial"/>
          <w:sz w:val="18"/>
          <w:szCs w:val="18"/>
          <w:color w:val="auto"/>
        </w:rPr>
      </w:pPr>
    </w:p>
    <w:p>
      <w:pPr>
        <w:ind w:left="920" w:right="80" w:hanging="218"/>
        <w:spacing w:after="0" w:line="239"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Even if these conditions are met, an Israeli court may not declare a foreign civil judgment enforceable if:</w:t>
      </w:r>
    </w:p>
    <w:p>
      <w:pPr>
        <w:spacing w:after="0" w:line="114" w:lineRule="exact"/>
        <w:rPr>
          <w:sz w:val="20"/>
          <w:szCs w:val="20"/>
          <w:color w:val="auto"/>
        </w:rPr>
      </w:pPr>
    </w:p>
    <w:p>
      <w:pPr>
        <w:ind w:left="920" w:right="480" w:hanging="218"/>
        <w:spacing w:after="0" w:line="239"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2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109" w:lineRule="exact"/>
        <w:rPr>
          <w:rFonts w:ascii="Arial" w:cs="Arial" w:eastAsia="Arial" w:hAnsi="Arial"/>
          <w:sz w:val="18"/>
          <w:szCs w:val="18"/>
          <w:color w:val="auto"/>
        </w:rPr>
      </w:pPr>
    </w:p>
    <w:p>
      <w:pPr>
        <w:ind w:left="920" w:right="40" w:hanging="218"/>
        <w:spacing w:after="0" w:line="239"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judgment was rendered by a court not competent to render it according to the laws of private international law as they apply in Israel;</w:t>
      </w:r>
    </w:p>
    <w:p>
      <w:pPr>
        <w:spacing w:after="0" w:line="109" w:lineRule="exact"/>
        <w:rPr>
          <w:rFonts w:ascii="Arial" w:cs="Arial" w:eastAsia="Arial" w:hAnsi="Arial"/>
          <w:sz w:val="18"/>
          <w:szCs w:val="18"/>
          <w:color w:val="auto"/>
        </w:rPr>
      </w:pPr>
    </w:p>
    <w:p>
      <w:pPr>
        <w:ind w:left="920" w:right="160" w:hanging="218"/>
        <w:spacing w:after="0" w:line="239" w:lineRule="auto"/>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judgment is contradictory to another judgment that was given in the same matter between the same parties and that is still valid; or</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80"/>
          </w:cols>
          <w:pgMar w:left="320" w:top="456" w:right="5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120" w:hanging="218"/>
        <w:spacing w:after="0" w:line="239" w:lineRule="auto"/>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20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6"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0" w:lineRule="exact"/>
        <w:rPr>
          <w:sz w:val="20"/>
          <w:szCs w:val="20"/>
          <w:color w:val="auto"/>
        </w:rPr>
      </w:pPr>
    </w:p>
    <w:p>
      <w:pPr>
        <w:jc w:val="both"/>
        <w:ind w:left="160" w:firstLine="546"/>
        <w:spacing w:after="0" w:line="235"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204"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Statements made in this prospectus concerning the contents of any contract, agreement or other document are not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forms a part completely.</w:t>
      </w:r>
    </w:p>
    <w:p>
      <w:pPr>
        <w:spacing w:after="0" w:line="204" w:lineRule="exact"/>
        <w:rPr>
          <w:sz w:val="20"/>
          <w:szCs w:val="20"/>
          <w:color w:val="auto"/>
        </w:rPr>
      </w:pPr>
    </w:p>
    <w:p>
      <w:pPr>
        <w:ind w:left="160" w:right="320" w:firstLine="546"/>
        <w:spacing w:after="0" w:line="236"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4"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We will send our transfer agent a copy of all notices of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Audited Consolidated Financial Statements for the years ended December 31, 2019 and 2020</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0380" w:type="dxa"/>
            <w:vAlign w:val="bottom"/>
            <w:gridSpan w:val="14"/>
            <w:vMerge w:val="restart"/>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Report of Independent Registered Public Accounting Firm</w:t>
              </w:r>
            </w:hyperlink>
          </w:p>
        </w:tc>
        <w:tc>
          <w:tcPr>
            <w:tcW w:w="140" w:type="dxa"/>
            <w:vAlign w:val="bottom"/>
          </w:tcPr>
          <w:p>
            <w:pPr>
              <w:spacing w:after="0"/>
              <w:rPr>
                <w:sz w:val="15"/>
                <w:szCs w:val="15"/>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7"/>
        </w:trPr>
        <w:tc>
          <w:tcPr>
            <w:tcW w:w="10380" w:type="dxa"/>
            <w:vAlign w:val="bottom"/>
            <w:gridSpan w:val="14"/>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60" w:type="dxa"/>
            <w:vAlign w:val="bottom"/>
            <w:tcBorders>
              <w:top w:val="single" w:sz="8" w:color="0000EE"/>
            </w:tcBorders>
            <w:gridSpan w:val="9"/>
          </w:tcPr>
          <w:p>
            <w:pPr>
              <w:spacing w:after="0" w:line="181" w:lineRule="exact"/>
              <w:rPr>
                <w:rFonts w:ascii="Arial" w:cs="Arial" w:eastAsia="Arial" w:hAnsi="Arial"/>
                <w:sz w:val="18"/>
                <w:szCs w:val="18"/>
                <w:color w:val="0000EE"/>
              </w:rPr>
            </w:pPr>
            <w:hyperlink w:anchor="page180">
              <w:r>
                <w:rPr>
                  <w:rFonts w:ascii="Arial" w:cs="Arial" w:eastAsia="Arial" w:hAnsi="Arial"/>
                  <w:sz w:val="18"/>
                  <w:szCs w:val="18"/>
                  <w:color w:val="0000EE"/>
                </w:rPr>
                <w:t>Consolidated Balance Sheets</w:t>
              </w:r>
            </w:hyperlink>
          </w:p>
        </w:tc>
        <w:tc>
          <w:tcPr>
            <w:tcW w:w="582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20" w:type="dxa"/>
            <w:vAlign w:val="bottom"/>
            <w:tcBorders>
              <w:bottom w:val="single" w:sz="8" w:color="0000EE"/>
            </w:tcBorders>
            <w:gridSpan w:val="3"/>
          </w:tcPr>
          <w:p>
            <w:pPr>
              <w:spacing w:after="0" w:line="181" w:lineRule="exact"/>
              <w:rPr>
                <w:rFonts w:ascii="Arial" w:cs="Arial" w:eastAsia="Arial" w:hAnsi="Arial"/>
                <w:sz w:val="18"/>
                <w:szCs w:val="18"/>
                <w:color w:val="0000EE"/>
                <w:w w:val="98"/>
              </w:rPr>
            </w:pPr>
            <w:hyperlink w:anchor="page181">
              <w:r>
                <w:rPr>
                  <w:rFonts w:ascii="Arial" w:cs="Arial" w:eastAsia="Arial" w:hAnsi="Arial"/>
                  <w:sz w:val="18"/>
                  <w:szCs w:val="18"/>
                  <w:color w:val="0000EE"/>
                  <w:w w:val="98"/>
                </w:rPr>
                <w:t>Consolidated Statements of Operations</w:t>
              </w:r>
            </w:hyperlink>
          </w:p>
        </w:tc>
        <w:tc>
          <w:tcPr>
            <w:tcW w:w="726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1"/>
        </w:trPr>
        <w:tc>
          <w:tcPr>
            <w:tcW w:w="4620" w:type="dxa"/>
            <w:vAlign w:val="bottom"/>
            <w:tcBorders>
              <w:bottom w:val="single" w:sz="8" w:color="0000EE"/>
            </w:tcBorders>
            <w:gridSpan w:val="10"/>
          </w:tcPr>
          <w:p>
            <w:pPr>
              <w:spacing w:after="0" w:line="181" w:lineRule="exact"/>
              <w:rPr>
                <w:rFonts w:ascii="Arial" w:cs="Arial" w:eastAsia="Arial" w:hAnsi="Arial"/>
                <w:sz w:val="18"/>
                <w:szCs w:val="18"/>
                <w:color w:val="0000EE"/>
                <w:w w:val="98"/>
              </w:rPr>
            </w:pPr>
            <w:hyperlink w:anchor="page182">
              <w:r>
                <w:rPr>
                  <w:rFonts w:ascii="Arial" w:cs="Arial" w:eastAsia="Arial" w:hAnsi="Arial"/>
                  <w:sz w:val="18"/>
                  <w:szCs w:val="18"/>
                  <w:color w:val="0000EE"/>
                  <w:w w:val="98"/>
                </w:rPr>
                <w:t>Consolidated Statements of Comprehensive Income (loss)</w:t>
              </w:r>
            </w:hyperlink>
          </w:p>
        </w:tc>
        <w:tc>
          <w:tcPr>
            <w:tcW w:w="576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1"/>
        </w:trPr>
        <w:tc>
          <w:tcPr>
            <w:tcW w:w="6600" w:type="dxa"/>
            <w:vAlign w:val="bottom"/>
            <w:tcBorders>
              <w:bottom w:val="single" w:sz="8" w:color="0000EE"/>
            </w:tcBorders>
            <w:gridSpan w:val="12"/>
          </w:tcPr>
          <w:p>
            <w:pPr>
              <w:spacing w:after="0" w:line="181" w:lineRule="exact"/>
              <w:rPr>
                <w:rFonts w:ascii="Arial" w:cs="Arial" w:eastAsia="Arial" w:hAnsi="Arial"/>
                <w:sz w:val="18"/>
                <w:szCs w:val="18"/>
                <w:color w:val="0000EE"/>
                <w:w w:val="98"/>
              </w:rPr>
            </w:pPr>
            <w:hyperlink w:anchor="page183">
              <w:r>
                <w:rPr>
                  <w:rFonts w:ascii="Arial" w:cs="Arial" w:eastAsia="Arial" w:hAnsi="Arial"/>
                  <w:sz w:val="18"/>
                  <w:szCs w:val="18"/>
                  <w:color w:val="0000EE"/>
                  <w:w w:val="98"/>
                </w:rPr>
                <w:t>Consolidated Statements of Convertible Preferred Shares and Shareholders’ Deficit</w:t>
              </w:r>
            </w:hyperlink>
          </w:p>
        </w:tc>
        <w:tc>
          <w:tcPr>
            <w:tcW w:w="37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1"/>
        </w:trPr>
        <w:tc>
          <w:tcPr>
            <w:tcW w:w="3180" w:type="dxa"/>
            <w:vAlign w:val="bottom"/>
            <w:tcBorders>
              <w:bottom w:val="single" w:sz="8" w:color="0000EE"/>
            </w:tcBorders>
            <w:gridSpan w:val="4"/>
          </w:tcPr>
          <w:p>
            <w:pPr>
              <w:spacing w:after="0" w:line="181" w:lineRule="exact"/>
              <w:rPr>
                <w:rFonts w:ascii="Arial" w:cs="Arial" w:eastAsia="Arial" w:hAnsi="Arial"/>
                <w:sz w:val="18"/>
                <w:szCs w:val="18"/>
                <w:color w:val="0000EE"/>
                <w:w w:val="98"/>
              </w:rPr>
            </w:pPr>
            <w:hyperlink w:anchor="page184">
              <w:r>
                <w:rPr>
                  <w:rFonts w:ascii="Arial" w:cs="Arial" w:eastAsia="Arial" w:hAnsi="Arial"/>
                  <w:sz w:val="18"/>
                  <w:szCs w:val="18"/>
                  <w:color w:val="0000EE"/>
                  <w:w w:val="98"/>
                </w:rPr>
                <w:t>Consolidated Statements of Cash Flows</w:t>
              </w:r>
            </w:hyperlink>
          </w:p>
        </w:tc>
        <w:tc>
          <w:tcPr>
            <w:tcW w:w="720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81"/>
        </w:trPr>
        <w:tc>
          <w:tcPr>
            <w:tcW w:w="3480" w:type="dxa"/>
            <w:vAlign w:val="bottom"/>
            <w:tcBorders>
              <w:bottom w:val="single" w:sz="8" w:color="0000EE"/>
            </w:tcBorders>
            <w:gridSpan w:val="5"/>
          </w:tcPr>
          <w:p>
            <w:pPr>
              <w:spacing w:after="0" w:line="181" w:lineRule="exact"/>
              <w:rPr>
                <w:rFonts w:ascii="Arial" w:cs="Arial" w:eastAsia="Arial" w:hAnsi="Arial"/>
                <w:sz w:val="18"/>
                <w:szCs w:val="18"/>
                <w:color w:val="0000EE"/>
                <w:w w:val="98"/>
              </w:rPr>
            </w:pPr>
            <w:hyperlink w:anchor="page185">
              <w:r>
                <w:rPr>
                  <w:rFonts w:ascii="Arial" w:cs="Arial" w:eastAsia="Arial" w:hAnsi="Arial"/>
                  <w:sz w:val="18"/>
                  <w:szCs w:val="18"/>
                  <w:color w:val="0000EE"/>
                  <w:w w:val="98"/>
                </w:rPr>
                <w:t>Notes to Consolidated Financial Statements</w:t>
              </w:r>
            </w:hyperlink>
          </w:p>
        </w:tc>
        <w:tc>
          <w:tcPr>
            <w:tcW w:w="69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33"/>
        </w:trPr>
        <w:tc>
          <w:tcPr>
            <w:tcW w:w="10380" w:type="dxa"/>
            <w:vAlign w:val="bottom"/>
            <w:gridSpan w:val="14"/>
          </w:tcPr>
          <w:p>
            <w:pPr>
              <w:spacing w:after="0"/>
              <w:rPr>
                <w:sz w:val="20"/>
                <w:szCs w:val="20"/>
                <w:color w:val="auto"/>
              </w:rPr>
            </w:pPr>
            <w:r>
              <w:rPr>
                <w:rFonts w:ascii="Arial" w:cs="Arial" w:eastAsia="Arial" w:hAnsi="Arial"/>
                <w:sz w:val="18"/>
                <w:szCs w:val="18"/>
                <w:color w:val="auto"/>
              </w:rPr>
              <w:t>Unaudited Consolidated Financial Statements for the six months ended June 30, 2020 and 2021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380" w:type="dxa"/>
            <w:vAlign w:val="bottom"/>
            <w:gridSpan w:val="14"/>
            <w:vMerge w:val="restart"/>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Interim consolidated Balance Sheets</w:t>
              </w:r>
            </w:hyperlink>
          </w:p>
        </w:tc>
        <w:tc>
          <w:tcPr>
            <w:tcW w:w="5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10380" w:type="dxa"/>
            <w:vAlign w:val="bottom"/>
            <w:gridSpan w:val="14"/>
            <w:vMerge w:val="continue"/>
          </w:tcPr>
          <w:p>
            <w:pPr>
              <w:spacing w:after="0"/>
              <w:rPr>
                <w:sz w:val="14"/>
                <w:szCs w:val="14"/>
                <w:color w:val="auto"/>
              </w:rPr>
            </w:pPr>
          </w:p>
        </w:tc>
        <w:tc>
          <w:tcPr>
            <w:tcW w:w="480" w:type="dxa"/>
            <w:vAlign w:val="bottom"/>
            <w:tcBorders>
              <w:top w:val="single" w:sz="8" w:color="auto"/>
            </w:tcBorders>
            <w:gridSpan w:val="2"/>
          </w:tcPr>
          <w:p>
            <w:pPr>
              <w:jc w:val="right"/>
              <w:spacing w:after="0" w:line="167" w:lineRule="exact"/>
              <w:rPr>
                <w:sz w:val="20"/>
                <w:szCs w:val="20"/>
                <w:color w:val="auto"/>
              </w:rPr>
            </w:pPr>
            <w:r>
              <w:rPr>
                <w:rFonts w:ascii="Arial" w:cs="Arial" w:eastAsia="Arial" w:hAnsi="Arial"/>
                <w:sz w:val="18"/>
                <w:szCs w:val="18"/>
                <w:color w:val="auto"/>
              </w:rPr>
              <w:t>F-37</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680" w:type="dxa"/>
            <w:vAlign w:val="bottom"/>
            <w:tcBorders>
              <w:bottom w:val="single" w:sz="8" w:color="0000EE"/>
            </w:tcBorders>
            <w:gridSpan w:val="6"/>
          </w:tcPr>
          <w:p>
            <w:pPr>
              <w:spacing w:after="0" w:line="181" w:lineRule="exact"/>
              <w:rPr>
                <w:rFonts w:ascii="Arial" w:cs="Arial" w:eastAsia="Arial" w:hAnsi="Arial"/>
                <w:sz w:val="18"/>
                <w:szCs w:val="18"/>
                <w:color w:val="0000EE"/>
                <w:w w:val="98"/>
              </w:rPr>
            </w:pPr>
            <w:hyperlink w:anchor="page214">
              <w:r>
                <w:rPr>
                  <w:rFonts w:ascii="Arial" w:cs="Arial" w:eastAsia="Arial" w:hAnsi="Arial"/>
                  <w:sz w:val="18"/>
                  <w:szCs w:val="18"/>
                  <w:color w:val="0000EE"/>
                  <w:w w:val="98"/>
                </w:rPr>
                <w:t>Interim consolidated Statements of Operations</w:t>
              </w:r>
            </w:hyperlink>
          </w:p>
        </w:tc>
        <w:tc>
          <w:tcPr>
            <w:tcW w:w="6700" w:type="dxa"/>
            <w:vAlign w:val="bottom"/>
            <w:gridSpan w:val="8"/>
          </w:tcPr>
          <w:p>
            <w:pPr>
              <w:spacing w:after="0"/>
              <w:rPr>
                <w:sz w:val="15"/>
                <w:szCs w:val="15"/>
                <w:color w:val="auto"/>
              </w:rPr>
            </w:pPr>
          </w:p>
        </w:tc>
        <w:tc>
          <w:tcPr>
            <w:tcW w:w="520" w:type="dxa"/>
            <w:vAlign w:val="bottom"/>
            <w:gridSpan w:val="4"/>
          </w:tcPr>
          <w:p>
            <w:pPr>
              <w:jc w:val="right"/>
              <w:ind w:right="40"/>
              <w:spacing w:after="0" w:line="181"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81"/>
        </w:trPr>
        <w:tc>
          <w:tcPr>
            <w:tcW w:w="10380" w:type="dxa"/>
            <w:vAlign w:val="bottom"/>
            <w:gridSpan w:val="14"/>
          </w:tcPr>
          <w:p>
            <w:pPr>
              <w:spacing w:after="0" w:line="181" w:lineRule="exact"/>
              <w:rPr>
                <w:rFonts w:ascii="Arial" w:cs="Arial" w:eastAsia="Arial" w:hAnsi="Arial"/>
                <w:sz w:val="18"/>
                <w:szCs w:val="18"/>
                <w:color w:val="0000EE"/>
              </w:rPr>
            </w:pPr>
            <w:hyperlink w:anchor="page215">
              <w:r>
                <w:rPr>
                  <w:rFonts w:ascii="Arial" w:cs="Arial" w:eastAsia="Arial" w:hAnsi="Arial"/>
                  <w:sz w:val="18"/>
                  <w:szCs w:val="18"/>
                  <w:color w:val="0000EE"/>
                </w:rPr>
                <w:t>Interim consolidated Statements of Comprehensive Income (loss)</w:t>
              </w:r>
            </w:hyperlink>
          </w:p>
        </w:tc>
        <w:tc>
          <w:tcPr>
            <w:tcW w:w="520" w:type="dxa"/>
            <w:vAlign w:val="bottom"/>
            <w:gridSpan w:val="4"/>
          </w:tcPr>
          <w:p>
            <w:pPr>
              <w:jc w:val="right"/>
              <w:ind w:right="40"/>
              <w:spacing w:after="0" w:line="181"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0"/>
        </w:trPr>
        <w:tc>
          <w:tcPr>
            <w:tcW w:w="374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380" w:type="dxa"/>
            <w:vAlign w:val="bottom"/>
            <w:gridSpan w:val="14"/>
          </w:tcPr>
          <w:p>
            <w:pPr>
              <w:spacing w:after="0" w:line="181" w:lineRule="exact"/>
              <w:rPr>
                <w:rFonts w:ascii="Arial" w:cs="Arial" w:eastAsia="Arial" w:hAnsi="Arial"/>
                <w:sz w:val="18"/>
                <w:szCs w:val="18"/>
                <w:color w:val="0000EE"/>
              </w:rPr>
            </w:pPr>
            <w:hyperlink w:anchor="page216">
              <w:r>
                <w:rPr>
                  <w:rFonts w:ascii="Arial" w:cs="Arial" w:eastAsia="Arial" w:hAnsi="Arial"/>
                  <w:sz w:val="18"/>
                  <w:szCs w:val="18"/>
                  <w:color w:val="0000EE"/>
                </w:rPr>
                <w:t>Interim consolidated Statements of Convertible Preferred Shares and Shareholders’ Equity (Deficit)</w:t>
              </w:r>
            </w:hyperlink>
          </w:p>
        </w:tc>
        <w:tc>
          <w:tcPr>
            <w:tcW w:w="520" w:type="dxa"/>
            <w:vAlign w:val="bottom"/>
            <w:gridSpan w:val="4"/>
          </w:tcPr>
          <w:p>
            <w:pPr>
              <w:jc w:val="right"/>
              <w:ind w:right="40"/>
              <w:spacing w:after="0" w:line="181"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181"/>
        </w:trPr>
        <w:tc>
          <w:tcPr>
            <w:tcW w:w="374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8"/>
              </w:rPr>
            </w:pPr>
            <w:hyperlink w:anchor="page217">
              <w:r>
                <w:rPr>
                  <w:rFonts w:ascii="Arial" w:cs="Arial" w:eastAsia="Arial" w:hAnsi="Arial"/>
                  <w:sz w:val="18"/>
                  <w:szCs w:val="18"/>
                  <w:color w:val="0000EE"/>
                  <w:w w:val="98"/>
                </w:rPr>
                <w:t>Interim consolidated Statements of Cash Flows</w:t>
              </w:r>
            </w:hyperlink>
          </w:p>
        </w:tc>
        <w:tc>
          <w:tcPr>
            <w:tcW w:w="4060" w:type="dxa"/>
            <w:vAlign w:val="bottom"/>
            <w:tcBorders>
              <w:top w:val="single" w:sz="8" w:color="0000EE"/>
            </w:tcBorders>
            <w:gridSpan w:val="6"/>
          </w:tcPr>
          <w:p>
            <w:pPr>
              <w:spacing w:after="0"/>
              <w:rPr>
                <w:sz w:val="15"/>
                <w:szCs w:val="15"/>
                <w:color w:val="auto"/>
              </w:rPr>
            </w:pPr>
          </w:p>
        </w:tc>
        <w:tc>
          <w:tcPr>
            <w:tcW w:w="2580" w:type="dxa"/>
            <w:vAlign w:val="bottom"/>
          </w:tcPr>
          <w:p>
            <w:pPr>
              <w:spacing w:after="0"/>
              <w:rPr>
                <w:sz w:val="15"/>
                <w:szCs w:val="15"/>
                <w:color w:val="auto"/>
              </w:rPr>
            </w:pPr>
          </w:p>
        </w:tc>
        <w:tc>
          <w:tcPr>
            <w:tcW w:w="520" w:type="dxa"/>
            <w:vAlign w:val="bottom"/>
            <w:gridSpan w:val="4"/>
          </w:tcPr>
          <w:p>
            <w:pPr>
              <w:jc w:val="right"/>
              <w:ind w:right="40"/>
              <w:spacing w:after="0" w:line="181"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81"/>
        </w:trPr>
        <w:tc>
          <w:tcPr>
            <w:tcW w:w="10380" w:type="dxa"/>
            <w:vAlign w:val="bottom"/>
            <w:gridSpan w:val="14"/>
          </w:tcPr>
          <w:p>
            <w:pPr>
              <w:spacing w:after="0" w:line="181" w:lineRule="exact"/>
              <w:rPr>
                <w:rFonts w:ascii="Arial" w:cs="Arial" w:eastAsia="Arial" w:hAnsi="Arial"/>
                <w:sz w:val="18"/>
                <w:szCs w:val="18"/>
                <w:color w:val="0000EE"/>
              </w:rPr>
            </w:pPr>
            <w:hyperlink w:anchor="page218">
              <w:r>
                <w:rPr>
                  <w:rFonts w:ascii="Arial" w:cs="Arial" w:eastAsia="Arial" w:hAnsi="Arial"/>
                  <w:sz w:val="18"/>
                  <w:szCs w:val="18"/>
                  <w:color w:val="0000EE"/>
                </w:rPr>
                <w:t>Notes to Interim Consolidated Financial Statements</w:t>
              </w:r>
            </w:hyperlink>
          </w:p>
        </w:tc>
        <w:tc>
          <w:tcPr>
            <w:tcW w:w="520" w:type="dxa"/>
            <w:vAlign w:val="bottom"/>
            <w:gridSpan w:val="4"/>
          </w:tcPr>
          <w:p>
            <w:pPr>
              <w:jc w:val="right"/>
              <w:ind w:right="40"/>
              <w:spacing w:after="0" w:line="181"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66"/>
        </w:trPr>
        <w:tc>
          <w:tcPr>
            <w:tcW w:w="23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F-1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3193415" cy="7645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93415"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right="2400" w:firstLine="1896"/>
        <w:spacing w:after="0" w:line="38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Global-E Online Ltd.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have audited the accompanying consolidated balance sheets of Global-E Online Ltd. (the Company) as of December 31, 2019 and 2020, the related consolidated statements of operations, comprehensive income (loss), convertible preferred shares and shareholders’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three years in the period ended December 31, 2020, in conformity with U.S. generally accepted accounting principles.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Restatement of the 2020 Financial Statements</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As discussed in Note 14 to the consolidated financial statements, the 2020 consolidated financial statements have been restated to correct a misstatement.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123" w:lineRule="exact"/>
        <w:rPr>
          <w:sz w:val="20"/>
          <w:szCs w:val="20"/>
          <w:color w:val="auto"/>
        </w:rPr>
      </w:pPr>
    </w:p>
    <w:p>
      <w:pPr>
        <w:ind w:left="160" w:right="60" w:firstLine="546"/>
        <w:spacing w:after="0" w:line="25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KOST FORER GABBAY &amp; KASIERER</w:t>
      </w:r>
    </w:p>
    <w:p>
      <w:pPr>
        <w:spacing w:after="0" w:line="10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Member of EY Global</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6" w:right="5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Tel-Aviv, Israel</w:t>
      </w:r>
    </w:p>
    <w:p>
      <w:pPr>
        <w:spacing w:after="0" w:line="10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February 19, 2021 (except for the effects of the share split as described in Note 5a, the effect of the restatement as described in Note 14 and subsequent event as described in Note 15 as to which the date is April 13, 2021)</w:t>
      </w:r>
    </w:p>
    <w:p>
      <w:pPr>
        <w:spacing w:after="0" w:line="1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00"/>
          </w:cols>
          <w:pgMar w:left="320" w:top="456" w:right="6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7760" w:type="dxa"/>
            <w:vAlign w:val="bottom"/>
          </w:tcPr>
          <w:p>
            <w:pPr>
              <w:spacing w:after="0"/>
              <w:rPr>
                <w:sz w:val="23"/>
                <w:szCs w:val="23"/>
                <w:color w:val="auto"/>
              </w:rPr>
            </w:pPr>
          </w:p>
        </w:tc>
        <w:tc>
          <w:tcPr>
            <w:tcW w:w="22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4"/>
                <w:szCs w:val="24"/>
                <w:b w:val="1"/>
                <w:bCs w:val="1"/>
                <w:color w:val="auto"/>
                <w:w w:val="95"/>
                <w:vertAlign w:val="superscript"/>
              </w:rPr>
              <w:t>(1)</w:t>
            </w:r>
          </w:p>
        </w:tc>
      </w:tr>
      <w:tr>
        <w:trPr>
          <w:trHeight w:val="154"/>
        </w:trPr>
        <w:tc>
          <w:tcPr>
            <w:tcW w:w="77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29"/>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(As restated)</w:t>
            </w:r>
          </w:p>
        </w:tc>
        <w:tc>
          <w:tcPr>
            <w:tcW w:w="42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5,034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68,637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68,637</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Short-term deposits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82</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6,457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6,457</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1,942</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3,594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3,594</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10,654</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23,047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23,047</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16,871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16,871</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Funds receivable, including cash in banks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21,608</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34,492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34,492</w:t>
            </w:r>
          </w:p>
        </w:tc>
      </w:tr>
      <w:tr>
        <w:trPr>
          <w:trHeight w:val="27"/>
        </w:trPr>
        <w:tc>
          <w:tcPr>
            <w:tcW w:w="7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39,319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153,098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153,098</w:t>
            </w:r>
          </w:p>
        </w:tc>
      </w:tr>
      <w:tr>
        <w:trPr>
          <w:trHeight w:val="20"/>
        </w:trPr>
        <w:tc>
          <w:tcPr>
            <w:tcW w:w="7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496</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717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717</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1,399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4,160</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Long term deposits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1,767</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2,223</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2,223</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Deferred contract acquisition costs, noncurrent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Other assets, noncurrent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198</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368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186,380</w:t>
            </w:r>
          </w:p>
        </w:tc>
      </w:tr>
      <w:tr>
        <w:trPr>
          <w:trHeight w:val="27"/>
        </w:trPr>
        <w:tc>
          <w:tcPr>
            <w:tcW w:w="7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Total long-term assets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4,280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8,197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194,209</w:t>
            </w:r>
          </w:p>
        </w:tc>
      </w:tr>
      <w:tr>
        <w:trPr>
          <w:trHeight w:val="20"/>
        </w:trPr>
        <w:tc>
          <w:tcPr>
            <w:tcW w:w="7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60" w:type="dxa"/>
            <w:vAlign w:val="bottom"/>
          </w:tcPr>
          <w:p>
            <w:pPr>
              <w:spacing w:after="0"/>
              <w:rPr>
                <w:sz w:val="20"/>
                <w:szCs w:val="20"/>
                <w:color w:val="auto"/>
              </w:rPr>
            </w:pPr>
            <w:r>
              <w:rPr>
                <w:rFonts w:ascii="Arial" w:cs="Arial" w:eastAsia="Arial" w:hAnsi="Arial"/>
                <w:sz w:val="14"/>
                <w:szCs w:val="14"/>
                <w:color w:val="auto"/>
              </w:rPr>
              <w:t>Total assets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43,599</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161,295</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347,307</w:t>
            </w:r>
          </w:p>
        </w:tc>
      </w:tr>
      <w:tr>
        <w:trPr>
          <w:trHeight w:val="20"/>
        </w:trPr>
        <w:tc>
          <w:tcPr>
            <w:tcW w:w="7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77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Liabilities, Convertible Preferred Shares and Shareholders’ (Deficit) Equity</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 (including related party payables of $6,032 and $14,058 as of December 31, 2019 and 2020,</w:t>
            </w: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776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respectively)</w:t>
            </w:r>
          </w:p>
        </w:tc>
        <w:tc>
          <w:tcPr>
            <w:tcW w:w="9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9,039</w:t>
            </w:r>
          </w:p>
        </w:tc>
        <w:tc>
          <w:tcPr>
            <w:tcW w:w="130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19,057</w:t>
            </w:r>
          </w:p>
        </w:tc>
        <w:tc>
          <w:tcPr>
            <w:tcW w:w="9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19,057</w:t>
            </w:r>
          </w:p>
        </w:tc>
      </w:tr>
      <w:tr>
        <w:trPr>
          <w:trHeight w:val="165"/>
        </w:trPr>
        <w:tc>
          <w:tcPr>
            <w:tcW w:w="7760" w:type="dxa"/>
            <w:vAlign w:val="bottom"/>
          </w:tcPr>
          <w:p>
            <w:pPr>
              <w:spacing w:after="0"/>
              <w:rPr>
                <w:sz w:val="20"/>
                <w:szCs w:val="20"/>
                <w:color w:val="auto"/>
              </w:rPr>
            </w:pPr>
            <w:r>
              <w:rPr>
                <w:rFonts w:ascii="Arial" w:cs="Arial" w:eastAsia="Arial" w:hAnsi="Arial"/>
                <w:sz w:val="14"/>
                <w:szCs w:val="14"/>
                <w:color w:val="auto"/>
              </w:rPr>
              <w:t>Accrued expenses and other current liabilities (including related party payables of $648 and $3,120 as of</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Pr>
          <w:p>
            <w:pPr>
              <w:ind w:left="160"/>
              <w:spacing w:after="0" w:line="156" w:lineRule="exact"/>
              <w:rPr>
                <w:sz w:val="20"/>
                <w:szCs w:val="20"/>
                <w:color w:val="auto"/>
              </w:rPr>
            </w:pPr>
            <w:r>
              <w:rPr>
                <w:rFonts w:ascii="Arial" w:cs="Arial" w:eastAsia="Arial" w:hAnsi="Arial"/>
                <w:sz w:val="14"/>
                <w:szCs w:val="14"/>
                <w:color w:val="auto"/>
              </w:rPr>
              <w:t>December 31, 2019 and 2020, respectively)</w:t>
            </w:r>
          </w:p>
        </w:tc>
        <w:tc>
          <w:tcPr>
            <w:tcW w:w="9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10,558</w:t>
            </w:r>
          </w:p>
        </w:tc>
        <w:tc>
          <w:tcPr>
            <w:tcW w:w="130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29,432</w:t>
            </w: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29,432</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Funds payable to Customers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21,608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34,492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34,492</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Short term operating lease liabilities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590</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915</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915</w:t>
            </w:r>
          </w:p>
        </w:tc>
      </w:tr>
      <w:tr>
        <w:trPr>
          <w:trHeight w:val="27"/>
        </w:trPr>
        <w:tc>
          <w:tcPr>
            <w:tcW w:w="7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41,795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83,896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83,896</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Long-term liabilities: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 net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Warrants liabilities to preferred shares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215</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5,738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5,738</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Long term operating lease liabilities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849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3,513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3,513</w:t>
            </w:r>
          </w:p>
        </w:tc>
      </w:tr>
      <w:tr>
        <w:trPr>
          <w:trHeight w:val="20"/>
        </w:trPr>
        <w:tc>
          <w:tcPr>
            <w:tcW w:w="7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60" w:type="dxa"/>
            <w:vAlign w:val="bottom"/>
          </w:tcPr>
          <w:p>
            <w:pPr>
              <w:spacing w:after="0"/>
              <w:rPr>
                <w:sz w:val="20"/>
                <w:szCs w:val="20"/>
                <w:color w:val="auto"/>
              </w:rPr>
            </w:pPr>
            <w:r>
              <w:rPr>
                <w:rFonts w:ascii="Arial" w:cs="Arial" w:eastAsia="Arial" w:hAnsi="Arial"/>
                <w:sz w:val="14"/>
                <w:szCs w:val="14"/>
                <w:color w:val="auto"/>
              </w:rPr>
              <w:t>Total liabilities</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42,897</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93,252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93,252</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9)</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7760" w:type="dxa"/>
            <w:vAlign w:val="bottom"/>
          </w:tcPr>
          <w:p>
            <w:pPr>
              <w:spacing w:after="0"/>
              <w:rPr>
                <w:sz w:val="20"/>
                <w:szCs w:val="20"/>
                <w:color w:val="auto"/>
              </w:rPr>
            </w:pPr>
            <w:r>
              <w:rPr>
                <w:rFonts w:ascii="Arial" w:cs="Arial" w:eastAsia="Arial" w:hAnsi="Arial"/>
                <w:sz w:val="14"/>
                <w:szCs w:val="14"/>
                <w:color w:val="auto"/>
              </w:rPr>
              <w:t>Convertible preferred shares, with no par value, 139,169 and 162,875 shares authorized as of December 31, 2019</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7760" w:type="dxa"/>
            <w:vAlign w:val="bottom"/>
          </w:tcPr>
          <w:p>
            <w:pPr>
              <w:ind w:left="160"/>
              <w:spacing w:after="0"/>
              <w:rPr>
                <w:sz w:val="20"/>
                <w:szCs w:val="20"/>
                <w:color w:val="auto"/>
              </w:rPr>
            </w:pPr>
            <w:r>
              <w:rPr>
                <w:rFonts w:ascii="Arial" w:cs="Arial" w:eastAsia="Arial" w:hAnsi="Arial"/>
                <w:sz w:val="14"/>
                <w:szCs w:val="14"/>
                <w:color w:val="auto"/>
              </w:rPr>
              <w:t>and 2020, 138,395 and 162,101 issued and outstanding as of December 31, 2019 and 2020; aggregate liquidation</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tcPr>
          <w:p>
            <w:pPr>
              <w:ind w:left="160"/>
              <w:spacing w:after="0" w:line="156" w:lineRule="exact"/>
              <w:rPr>
                <w:sz w:val="20"/>
                <w:szCs w:val="20"/>
                <w:color w:val="auto"/>
              </w:rPr>
            </w:pPr>
            <w:r>
              <w:rPr>
                <w:rFonts w:ascii="Arial" w:cs="Arial" w:eastAsia="Arial" w:hAnsi="Arial"/>
                <w:sz w:val="14"/>
                <w:szCs w:val="14"/>
                <w:color w:val="auto"/>
              </w:rPr>
              <w:t>preference of $53,982 and $113,276 as of December 31, 2019 and 2020</w:t>
            </w:r>
          </w:p>
        </w:tc>
        <w:tc>
          <w:tcPr>
            <w:tcW w:w="9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53,732</w:t>
            </w:r>
          </w:p>
        </w:tc>
        <w:tc>
          <w:tcPr>
            <w:tcW w:w="130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112,553</w:t>
            </w: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112,553</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Shareholders’ deficit:</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7760" w:type="dxa"/>
            <w:vAlign w:val="bottom"/>
          </w:tcPr>
          <w:p>
            <w:pPr>
              <w:spacing w:after="0"/>
              <w:rPr>
                <w:sz w:val="20"/>
                <w:szCs w:val="20"/>
                <w:color w:val="auto"/>
              </w:rPr>
            </w:pPr>
            <w:r>
              <w:rPr>
                <w:rFonts w:ascii="Arial" w:cs="Arial" w:eastAsia="Arial" w:hAnsi="Arial"/>
                <w:sz w:val="14"/>
                <w:szCs w:val="14"/>
                <w:color w:val="auto"/>
              </w:rPr>
              <w:t>Ordinary shares, with no par value, 5,916,498,600 and 5,902,275,000 shares authorized as of December 31, 2019</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7760" w:type="dxa"/>
            <w:vAlign w:val="bottom"/>
          </w:tcPr>
          <w:p>
            <w:pPr>
              <w:ind w:left="160"/>
              <w:spacing w:after="0"/>
              <w:rPr>
                <w:sz w:val="20"/>
                <w:szCs w:val="20"/>
                <w:color w:val="auto"/>
              </w:rPr>
            </w:pPr>
            <w:r>
              <w:rPr>
                <w:rFonts w:ascii="Arial" w:cs="Arial" w:eastAsia="Arial" w:hAnsi="Arial"/>
                <w:sz w:val="14"/>
                <w:szCs w:val="14"/>
                <w:color w:val="auto"/>
              </w:rPr>
              <w:t>and 2020, respectively; 19,720,800, 21,761,400 shares issued and outstanding as of December 31, 2019 and</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tcPr>
          <w:p>
            <w:pPr>
              <w:ind w:left="160"/>
              <w:spacing w:after="0" w:line="156" w:lineRule="exact"/>
              <w:rPr>
                <w:sz w:val="20"/>
                <w:szCs w:val="20"/>
                <w:color w:val="auto"/>
              </w:rPr>
            </w:pPr>
            <w:r>
              <w:rPr>
                <w:rFonts w:ascii="Arial" w:cs="Arial" w:eastAsia="Arial" w:hAnsi="Arial"/>
                <w:sz w:val="14"/>
                <w:szCs w:val="14"/>
                <w:color w:val="auto"/>
              </w:rPr>
              <w:t>2020, respectively;</w:t>
            </w:r>
          </w:p>
        </w:tc>
        <w:tc>
          <w:tcPr>
            <w:tcW w:w="940" w:type="dxa"/>
            <w:vAlign w:val="bottom"/>
            <w:gridSpan w:val="2"/>
          </w:tcPr>
          <w:p>
            <w:pPr>
              <w:jc w:val="right"/>
              <w:ind w:right="500"/>
              <w:spacing w:after="0" w:line="156"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00"/>
              <w:spacing w:after="0" w:line="156"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3,592</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8,087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194,099</w:t>
            </w:r>
          </w:p>
        </w:tc>
      </w:tr>
      <w:tr>
        <w:trPr>
          <w:trHeight w:val="160"/>
        </w:trPr>
        <w:tc>
          <w:tcPr>
            <w:tcW w:w="7760" w:type="dxa"/>
            <w:vAlign w:val="bottom"/>
          </w:tcPr>
          <w:p>
            <w:pPr>
              <w:spacing w:after="0"/>
              <w:rPr>
                <w:sz w:val="20"/>
                <w:szCs w:val="20"/>
                <w:color w:val="auto"/>
              </w:rPr>
            </w:pPr>
            <w:r>
              <w:rPr>
                <w:rFonts w:ascii="Arial" w:cs="Arial" w:eastAsia="Arial" w:hAnsi="Arial"/>
                <w:sz w:val="14"/>
                <w:szCs w:val="14"/>
                <w:color w:val="auto"/>
              </w:rPr>
              <w:t>Accumulated comprehensive income</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111</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deficit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(56,622)</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(52,708)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(52,708)</w:t>
            </w:r>
          </w:p>
        </w:tc>
      </w:tr>
      <w:tr>
        <w:trPr>
          <w:trHeight w:val="20"/>
        </w:trPr>
        <w:tc>
          <w:tcPr>
            <w:tcW w:w="7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60" w:type="dxa"/>
            <w:vAlign w:val="bottom"/>
          </w:tcPr>
          <w:p>
            <w:pPr>
              <w:spacing w:after="0"/>
              <w:rPr>
                <w:sz w:val="20"/>
                <w:szCs w:val="20"/>
                <w:color w:val="auto"/>
              </w:rPr>
            </w:pPr>
            <w:r>
              <w:rPr>
                <w:rFonts w:ascii="Arial" w:cs="Arial" w:eastAsia="Arial" w:hAnsi="Arial"/>
                <w:sz w:val="14"/>
                <w:szCs w:val="14"/>
                <w:color w:val="auto"/>
              </w:rPr>
              <w:t>Total shareholders’ (deficit) equity</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(53,030)</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(44,510)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141,502</w:t>
            </w:r>
          </w:p>
        </w:tc>
      </w:tr>
      <w:tr>
        <w:trPr>
          <w:trHeight w:val="27"/>
        </w:trPr>
        <w:tc>
          <w:tcPr>
            <w:tcW w:w="7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convertible preferred shares and shareholders’ (deficit) equity</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43,599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161,295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347,307</w:t>
            </w:r>
          </w:p>
        </w:tc>
      </w:tr>
      <w:tr>
        <w:trPr>
          <w:trHeight w:val="20"/>
        </w:trPr>
        <w:tc>
          <w:tcPr>
            <w:tcW w:w="7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700" w:right="100" w:hanging="533"/>
        <w:spacing w:after="0" w:line="244" w:lineRule="auto"/>
        <w:tabs>
          <w:tab w:leader="none" w:pos="7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pro forma consolidated balance sheet information gives effect to the vested Shopify warrants, but does not give effect to the conversion of 162,101 Series A, A-1, B-1, B-2, C, D-1 and E preferred shares into 97,260,600 ordinary shares upon the closing of this offering or the exercise of a warrant to purchase 774 Series C preferred shares at an exercise price of $532.95 per share, which will take place automatically upon the closing of this offering, and the immediate conversion of such Series C preferred shares into 464,400 ordinary shares.</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OPERATIONS</w:t>
      </w:r>
    </w:p>
    <w:p>
      <w:pPr>
        <w:ind w:left="36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38,640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65,852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136,375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0" w:type="dxa"/>
            <w:vAlign w:val="bottom"/>
          </w:tcPr>
          <w:p>
            <w:pPr>
              <w:spacing w:after="0" w:line="200" w:lineRule="exact"/>
              <w:rPr>
                <w:sz w:val="20"/>
                <w:szCs w:val="20"/>
                <w:color w:val="auto"/>
              </w:rPr>
            </w:pPr>
            <w:r>
              <w:rPr>
                <w:rFonts w:ascii="Arial" w:cs="Arial" w:eastAsia="Arial" w:hAnsi="Arial"/>
                <w:sz w:val="18"/>
                <w:szCs w:val="18"/>
                <w:color w:val="auto"/>
              </w:rPr>
              <w:t>Cost of revenue (including related party costs of $16,800, $26,106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60"/>
              <w:spacing w:after="0" w:line="201" w:lineRule="exact"/>
              <w:rPr>
                <w:sz w:val="20"/>
                <w:szCs w:val="20"/>
                <w:color w:val="auto"/>
              </w:rPr>
            </w:pPr>
            <w:r>
              <w:rPr>
                <w:rFonts w:ascii="Arial" w:cs="Arial" w:eastAsia="Arial" w:hAnsi="Arial"/>
                <w:sz w:val="18"/>
                <w:szCs w:val="18"/>
                <w:color w:val="auto"/>
              </w:rPr>
              <w:t>and $53,861 for the years ended December 31, 2018, 2019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60"/>
              <w:spacing w:after="0" w:line="201" w:lineRule="exact"/>
              <w:rPr>
                <w:sz w:val="20"/>
                <w:szCs w:val="20"/>
                <w:color w:val="auto"/>
              </w:rPr>
            </w:pPr>
            <w:r>
              <w:rPr>
                <w:rFonts w:ascii="Arial" w:cs="Arial" w:eastAsia="Arial" w:hAnsi="Arial"/>
                <w:sz w:val="18"/>
                <w:szCs w:val="18"/>
                <w:color w:val="auto"/>
              </w:rPr>
              <w:t>2020, respectively)</w:t>
            </w: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30,050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47,188</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92,902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8,590</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18,664</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07"/>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9,541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12,034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3,667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rPr>
              <w:t>4,593</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5,760</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6,988</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18,968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23,615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(10,378)</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20" w:type="dxa"/>
            <w:vAlign w:val="bottom"/>
            <w:gridSpan w:val="2"/>
          </w:tcPr>
          <w:p>
            <w:pPr>
              <w:spacing w:after="0"/>
              <w:rPr>
                <w:sz w:val="20"/>
                <w:szCs w:val="20"/>
                <w:color w:val="auto"/>
              </w:rPr>
            </w:pPr>
            <w:r>
              <w:rPr>
                <w:rFonts w:ascii="Arial" w:cs="Arial" w:eastAsia="Arial" w:hAnsi="Arial"/>
                <w:sz w:val="18"/>
                <w:szCs w:val="18"/>
                <w:color w:val="auto"/>
              </w:rPr>
              <w:t>Financial expenses,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(loss) before income taxes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(11,543)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00" w:type="dxa"/>
            <w:vAlign w:val="bottom"/>
          </w:tcPr>
          <w:p>
            <w:pPr>
              <w:spacing w:after="0" w:line="201"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(11,593)</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20" w:type="dxa"/>
            <w:vAlign w:val="bottom"/>
            <w:gridSpan w:val="2"/>
          </w:tcPr>
          <w:p>
            <w:pPr>
              <w:spacing w:after="0" w:line="195" w:lineRule="exact"/>
              <w:rPr>
                <w:sz w:val="20"/>
                <w:szCs w:val="20"/>
                <w:color w:val="auto"/>
              </w:rPr>
            </w:pPr>
            <w:r>
              <w:rPr>
                <w:rFonts w:ascii="Arial" w:cs="Arial" w:eastAsia="Arial" w:hAnsi="Arial"/>
                <w:sz w:val="18"/>
                <w:szCs w:val="18"/>
                <w:color w:val="auto"/>
              </w:rPr>
              <w:t>Undistributed earnings attributable to participating securities</w:t>
            </w:r>
          </w:p>
        </w:tc>
        <w:tc>
          <w:tcPr>
            <w:tcW w:w="100" w:type="dxa"/>
            <w:vAlign w:val="bottom"/>
          </w:tcPr>
          <w:p>
            <w:pPr>
              <w:spacing w:after="0"/>
              <w:rPr>
                <w:sz w:val="16"/>
                <w:szCs w:val="16"/>
                <w:color w:val="auto"/>
              </w:rPr>
            </w:pPr>
          </w:p>
        </w:tc>
        <w:tc>
          <w:tcPr>
            <w:tcW w:w="116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92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 (loss) attributable to ordinary shareholders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(11,593)</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60"/>
              <w:spacing w:after="0" w:line="195" w:lineRule="exact"/>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 attributable to ordinary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60"/>
              <w:spacing w:after="0" w:line="201"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(0.60)</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line="201" w:lineRule="exact"/>
              <w:rPr>
                <w:sz w:val="20"/>
                <w:szCs w:val="20"/>
                <w:color w:val="auto"/>
              </w:rPr>
            </w:pPr>
            <w:r>
              <w:rPr>
                <w:rFonts w:ascii="Arial" w:cs="Arial" w:eastAsia="Arial" w:hAnsi="Arial"/>
                <w:sz w:val="18"/>
                <w:szCs w:val="18"/>
                <w:color w:val="auto"/>
              </w:rPr>
              <w:t>(0.38)</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earnings (loss) per share attributable to ordinary shareholders,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(0.60)</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line="201" w:lineRule="exact"/>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ordinary shareholders, basic</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7"/>
              </w:rPr>
              <w:t>19,366,272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19,654,276</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21,120,208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shares used in computing net loss per share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attributable to ordinary shareholders, diluted</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7"/>
              </w:rPr>
              <w:t>19,366,272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19,654,276</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28,637,801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Borders>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3"/>
                <w:szCs w:val="13"/>
                <w:color w:val="auto"/>
              </w:rPr>
            </w:pPr>
          </w:p>
        </w:tc>
        <w:tc>
          <w:tcPr>
            <w:tcW w:w="620" w:type="dxa"/>
            <w:vAlign w:val="bottom"/>
            <w:tcBorders>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8"/>
              </w:rPr>
              <w:t>(As restated)</w:t>
            </w:r>
          </w:p>
        </w:tc>
        <w:tc>
          <w:tcPr>
            <w:tcW w:w="6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2300" w:type="dxa"/>
            <w:vAlign w:val="bottom"/>
            <w:gridSpan w:val="3"/>
            <w:shd w:val="clear" w:color="auto" w:fill="CCEEFF"/>
          </w:tcPr>
          <w:p>
            <w:pPr>
              <w:jc w:val="right"/>
              <w:ind w:right="389"/>
              <w:spacing w:after="0" w:line="201" w:lineRule="exact"/>
              <w:rPr>
                <w:sz w:val="20"/>
                <w:szCs w:val="20"/>
                <w:color w:val="auto"/>
              </w:rPr>
            </w:pPr>
            <w:r>
              <w:rPr>
                <w:rFonts w:ascii="Arial" w:cs="Arial" w:eastAsia="Arial" w:hAnsi="Arial"/>
                <w:sz w:val="18"/>
                <w:szCs w:val="18"/>
                <w:color w:val="auto"/>
              </w:rPr>
              <w:t>$(11,593)</w:t>
            </w:r>
          </w:p>
        </w:tc>
        <w:tc>
          <w:tcPr>
            <w:tcW w:w="114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w w:val="98"/>
              </w:rPr>
              <w:t>$(7,544)</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3,914</w:t>
            </w:r>
          </w:p>
        </w:tc>
      </w:tr>
      <w:tr>
        <w:trPr>
          <w:trHeight w:val="201"/>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(loss) on available-for-sale marketable securities, net</w:t>
            </w:r>
          </w:p>
        </w:tc>
        <w:tc>
          <w:tcPr>
            <w:tcW w:w="10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7"/>
                <w:szCs w:val="17"/>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8"/>
                <w:szCs w:val="18"/>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(loss)</w:t>
            </w:r>
          </w:p>
        </w:tc>
        <w:tc>
          <w:tcPr>
            <w:tcW w:w="10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9"/>
              <w:spacing w:after="0" w:line="201" w:lineRule="exact"/>
              <w:rPr>
                <w:sz w:val="20"/>
                <w:szCs w:val="20"/>
                <w:color w:val="auto"/>
              </w:rPr>
            </w:pPr>
            <w:r>
              <w:rPr>
                <w:rFonts w:ascii="Arial" w:cs="Arial" w:eastAsia="Arial" w:hAnsi="Arial"/>
                <w:sz w:val="18"/>
                <w:szCs w:val="18"/>
                <w:color w:val="auto"/>
              </w:rPr>
              <w:t>(11,593)</w:t>
            </w:r>
          </w:p>
        </w:tc>
        <w:tc>
          <w:tcPr>
            <w:tcW w:w="114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(7,544)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4,025</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CONVERTIBLE PREFERRED SHARES AND SHAREHOLDERS’ EQUITY</w:t>
      </w: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240" w:type="dxa"/>
            <w:vAlign w:val="bottom"/>
          </w:tcPr>
          <w:p>
            <w:pPr>
              <w:spacing w:after="0"/>
              <w:rPr>
                <w:sz w:val="13"/>
                <w:szCs w:val="13"/>
                <w:color w:val="auto"/>
              </w:rPr>
            </w:pPr>
          </w:p>
        </w:tc>
        <w:tc>
          <w:tcPr>
            <w:tcW w:w="13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4"/>
        </w:trPr>
        <w:tc>
          <w:tcPr>
            <w:tcW w:w="3240" w:type="dxa"/>
            <w:vAlign w:val="bottom"/>
          </w:tcPr>
          <w:p>
            <w:pPr>
              <w:spacing w:after="0"/>
              <w:rPr>
                <w:sz w:val="15"/>
                <w:szCs w:val="15"/>
                <w:color w:val="auto"/>
              </w:rPr>
            </w:pPr>
          </w:p>
        </w:tc>
        <w:tc>
          <w:tcPr>
            <w:tcW w:w="13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Shareholders’</w:t>
            </w:r>
          </w:p>
        </w:tc>
      </w:tr>
      <w:tr>
        <w:trPr>
          <w:trHeight w:val="154"/>
        </w:trPr>
        <w:tc>
          <w:tcPr>
            <w:tcW w:w="32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right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r>
      <w:tr>
        <w:trPr>
          <w:trHeight w:val="154"/>
        </w:trPr>
        <w:tc>
          <w:tcPr>
            <w:tcW w:w="32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Balance as of January 1, 2018</w:t>
            </w:r>
          </w:p>
        </w:tc>
        <w:tc>
          <w:tcPr>
            <w:tcW w:w="56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110,637</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4" w:lineRule="exact"/>
              <w:rPr>
                <w:sz w:val="20"/>
                <w:szCs w:val="20"/>
                <w:color w:val="auto"/>
              </w:rPr>
            </w:pPr>
            <w:r>
              <w:rPr>
                <w:rFonts w:ascii="Arial" w:cs="Arial" w:eastAsia="Arial" w:hAnsi="Arial"/>
                <w:sz w:val="14"/>
                <w:szCs w:val="14"/>
                <w:color w:val="auto"/>
              </w:rPr>
              <w:t>33,853</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4" w:lineRule="exact"/>
              <w:rPr>
                <w:sz w:val="20"/>
                <w:szCs w:val="20"/>
                <w:color w:val="auto"/>
              </w:rPr>
            </w:pPr>
            <w:r>
              <w:rPr>
                <w:rFonts w:ascii="Arial" w:cs="Arial" w:eastAsia="Arial" w:hAnsi="Arial"/>
                <w:sz w:val="14"/>
                <w:szCs w:val="14"/>
                <w:color w:val="auto"/>
              </w:rPr>
              <w:t>19,185,600</w:t>
            </w:r>
          </w:p>
        </w:tc>
        <w:tc>
          <w:tcPr>
            <w:tcW w:w="540" w:type="dxa"/>
            <w:vAlign w:val="bottom"/>
            <w:shd w:val="clear" w:color="auto" w:fill="CCEEFF"/>
          </w:tcPr>
          <w:p>
            <w:pPr>
              <w:ind w:left="320"/>
              <w:spacing w:after="0" w:line="154"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20"/>
              <w:spacing w:after="0" w:line="154" w:lineRule="exact"/>
              <w:rPr>
                <w:sz w:val="20"/>
                <w:szCs w:val="20"/>
                <w:color w:val="auto"/>
              </w:rPr>
            </w:pPr>
            <w:r>
              <w:rPr>
                <w:rFonts w:ascii="Arial" w:cs="Arial" w:eastAsia="Arial" w:hAnsi="Arial"/>
                <w:sz w:val="14"/>
                <w:szCs w:val="14"/>
                <w:color w:val="auto"/>
              </w:rPr>
              <w:t>2,912</w:t>
            </w:r>
          </w:p>
        </w:tc>
        <w:tc>
          <w:tcPr>
            <w:tcW w:w="1280" w:type="dxa"/>
            <w:vAlign w:val="bottom"/>
            <w:gridSpan w:val="2"/>
            <w:shd w:val="clear" w:color="auto" w:fill="CCEEFF"/>
          </w:tcPr>
          <w:p>
            <w:pPr>
              <w:ind w:left="840"/>
              <w:spacing w:after="0" w:line="154"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4" w:lineRule="exact"/>
              <w:rPr>
                <w:sz w:val="20"/>
                <w:szCs w:val="20"/>
                <w:color w:val="auto"/>
              </w:rPr>
            </w:pPr>
            <w:r>
              <w:rPr>
                <w:rFonts w:ascii="Arial" w:cs="Arial" w:eastAsia="Arial" w:hAnsi="Arial"/>
                <w:sz w:val="14"/>
                <w:szCs w:val="14"/>
                <w:color w:val="auto"/>
              </w:rPr>
              <w:t>(37,485)</w:t>
            </w:r>
          </w:p>
        </w:tc>
        <w:tc>
          <w:tcPr>
            <w:tcW w:w="106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4"/>
                <w:szCs w:val="14"/>
                <w:color w:val="auto"/>
              </w:rPr>
              <w:t>(34,573)</w:t>
            </w:r>
          </w:p>
        </w:tc>
      </w:tr>
      <w:tr>
        <w:trPr>
          <w:trHeight w:val="172"/>
        </w:trPr>
        <w:tc>
          <w:tcPr>
            <w:tcW w:w="3240" w:type="dxa"/>
            <w:vAlign w:val="bottom"/>
          </w:tcPr>
          <w:p>
            <w:pPr>
              <w:ind w:left="300"/>
              <w:spacing w:after="0"/>
              <w:rPr>
                <w:sz w:val="20"/>
                <w:szCs w:val="20"/>
                <w:color w:val="auto"/>
              </w:rPr>
            </w:pPr>
            <w:r>
              <w:rPr>
                <w:rFonts w:ascii="Arial" w:cs="Arial" w:eastAsia="Arial" w:hAnsi="Arial"/>
                <w:sz w:val="14"/>
                <w:szCs w:val="14"/>
                <w:color w:val="auto"/>
              </w:rPr>
              <w:t>Issuance of Series D-1 convertible</w:t>
            </w: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240" w:type="dxa"/>
            <w:vAlign w:val="bottom"/>
          </w:tcPr>
          <w:p>
            <w:pPr>
              <w:ind w:left="440"/>
              <w:spacing w:after="0"/>
              <w:rPr>
                <w:sz w:val="20"/>
                <w:szCs w:val="20"/>
                <w:color w:val="auto"/>
              </w:rPr>
            </w:pPr>
            <w:r>
              <w:rPr>
                <w:rFonts w:ascii="Arial" w:cs="Arial" w:eastAsia="Arial" w:hAnsi="Arial"/>
                <w:sz w:val="14"/>
                <w:szCs w:val="14"/>
                <w:color w:val="auto"/>
              </w:rPr>
              <w:t>preferred shares, net of issuance costs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240" w:type="dxa"/>
            <w:vAlign w:val="bottom"/>
          </w:tcPr>
          <w:p>
            <w:pPr>
              <w:ind w:left="440"/>
              <w:spacing w:after="0" w:line="156" w:lineRule="exact"/>
              <w:rPr>
                <w:sz w:val="20"/>
                <w:szCs w:val="20"/>
                <w:color w:val="auto"/>
              </w:rPr>
            </w:pPr>
            <w:r>
              <w:rPr>
                <w:rFonts w:ascii="Arial" w:cs="Arial" w:eastAsia="Arial" w:hAnsi="Arial"/>
                <w:sz w:val="14"/>
                <w:szCs w:val="14"/>
                <w:color w:val="auto"/>
              </w:rPr>
              <w:t>$135</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27,758</w:t>
            </w:r>
          </w:p>
        </w:tc>
        <w:tc>
          <w:tcPr>
            <w:tcW w:w="12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19,879</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ordinary shares upon exercise</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32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of share options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316,800</w:t>
            </w:r>
          </w:p>
        </w:tc>
        <w:tc>
          <w:tcPr>
            <w:tcW w:w="540" w:type="dxa"/>
            <w:vAlign w:val="bottom"/>
            <w:shd w:val="clear" w:color="auto" w:fill="CCEEFF"/>
          </w:tcPr>
          <w:p>
            <w:pPr>
              <w:ind w:left="3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93</w:t>
            </w: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93</w:t>
            </w:r>
          </w:p>
        </w:tc>
      </w:tr>
      <w:tr>
        <w:trPr>
          <w:trHeight w:val="160"/>
        </w:trPr>
        <w:tc>
          <w:tcPr>
            <w:tcW w:w="324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219</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219</w:t>
            </w:r>
          </w:p>
        </w:tc>
      </w:tr>
      <w:tr>
        <w:trPr>
          <w:trHeight w:val="160"/>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(11,593)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(11,593)</w:t>
            </w:r>
          </w:p>
        </w:tc>
      </w:tr>
      <w:tr>
        <w:trPr>
          <w:trHeight w:val="172"/>
        </w:trPr>
        <w:tc>
          <w:tcPr>
            <w:tcW w:w="3240" w:type="dxa"/>
            <w:vAlign w:val="bottom"/>
          </w:tcPr>
          <w:p>
            <w:pPr>
              <w:spacing w:after="0"/>
              <w:rPr>
                <w:sz w:val="20"/>
                <w:szCs w:val="20"/>
                <w:color w:val="auto"/>
              </w:rPr>
            </w:pPr>
            <w:r>
              <w:rPr>
                <w:rFonts w:ascii="Arial" w:cs="Arial" w:eastAsia="Arial" w:hAnsi="Arial"/>
                <w:sz w:val="14"/>
                <w:szCs w:val="14"/>
                <w:color w:val="auto"/>
              </w:rPr>
              <w:t>Balance as of December 31,</w:t>
            </w: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240" w:type="dxa"/>
            <w:vAlign w:val="bottom"/>
          </w:tcPr>
          <w:p>
            <w:pPr>
              <w:ind w:left="160"/>
              <w:spacing w:after="0" w:line="156" w:lineRule="exact"/>
              <w:rPr>
                <w:sz w:val="20"/>
                <w:szCs w:val="20"/>
                <w:color w:val="auto"/>
              </w:rPr>
            </w:pPr>
            <w:r>
              <w:rPr>
                <w:rFonts w:ascii="Arial" w:cs="Arial" w:eastAsia="Arial" w:hAnsi="Arial"/>
                <w:sz w:val="14"/>
                <w:szCs w:val="14"/>
                <w:color w:val="auto"/>
              </w:rPr>
              <w:t>2018</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138,395</w:t>
            </w:r>
          </w:p>
        </w:tc>
        <w:tc>
          <w:tcPr>
            <w:tcW w:w="1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53,732</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19,502,400</w:t>
            </w:r>
          </w:p>
        </w:tc>
        <w:tc>
          <w:tcPr>
            <w:tcW w:w="540" w:type="dxa"/>
            <w:vAlign w:val="bottom"/>
          </w:tcPr>
          <w:p>
            <w:pPr>
              <w:ind w:left="3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line="156" w:lineRule="exact"/>
              <w:rPr>
                <w:sz w:val="20"/>
                <w:szCs w:val="20"/>
                <w:color w:val="auto"/>
              </w:rPr>
            </w:pPr>
            <w:r>
              <w:rPr>
                <w:rFonts w:ascii="Arial" w:cs="Arial" w:eastAsia="Arial" w:hAnsi="Arial"/>
                <w:sz w:val="14"/>
                <w:szCs w:val="14"/>
                <w:color w:val="auto"/>
              </w:rPr>
              <w:t>3,224</w:t>
            </w:r>
          </w:p>
        </w:tc>
        <w:tc>
          <w:tcPr>
            <w:tcW w:w="1280" w:type="dxa"/>
            <w:vAlign w:val="bottom"/>
            <w:gridSpan w:val="2"/>
          </w:tcPr>
          <w:p>
            <w:pPr>
              <w:ind w:left="840"/>
              <w:spacing w:after="0" w:line="156"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(49,078)</w:t>
            </w:r>
          </w:p>
        </w:tc>
        <w:tc>
          <w:tcPr>
            <w:tcW w:w="10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(45,854)</w:t>
            </w:r>
          </w:p>
        </w:tc>
      </w:tr>
      <w:tr>
        <w:trPr>
          <w:trHeight w:val="165"/>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ordinary shares upon exercise</w:t>
            </w: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32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of share options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218,400</w:t>
            </w:r>
          </w:p>
        </w:tc>
        <w:tc>
          <w:tcPr>
            <w:tcW w:w="540" w:type="dxa"/>
            <w:vAlign w:val="bottom"/>
            <w:shd w:val="clear" w:color="auto" w:fill="CCEEFF"/>
          </w:tcPr>
          <w:p>
            <w:pPr>
              <w:ind w:left="3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147</w:t>
            </w: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147</w:t>
            </w:r>
          </w:p>
        </w:tc>
      </w:tr>
      <w:tr>
        <w:trPr>
          <w:trHeight w:val="160"/>
        </w:trPr>
        <w:tc>
          <w:tcPr>
            <w:tcW w:w="324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221</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r>
      <w:tr>
        <w:trPr>
          <w:trHeight w:val="160"/>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(7,544)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(7,544)</w:t>
            </w:r>
          </w:p>
        </w:tc>
      </w:tr>
      <w:tr>
        <w:trPr>
          <w:trHeight w:val="172"/>
        </w:trPr>
        <w:tc>
          <w:tcPr>
            <w:tcW w:w="3240" w:type="dxa"/>
            <w:vAlign w:val="bottom"/>
          </w:tcPr>
          <w:p>
            <w:pPr>
              <w:spacing w:after="0"/>
              <w:rPr>
                <w:sz w:val="20"/>
                <w:szCs w:val="20"/>
                <w:color w:val="auto"/>
              </w:rPr>
            </w:pPr>
            <w:r>
              <w:rPr>
                <w:rFonts w:ascii="Arial" w:cs="Arial" w:eastAsia="Arial" w:hAnsi="Arial"/>
                <w:sz w:val="14"/>
                <w:szCs w:val="14"/>
                <w:color w:val="auto"/>
              </w:rPr>
              <w:t>Balance as of December 31,</w:t>
            </w: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240" w:type="dxa"/>
            <w:vAlign w:val="bottom"/>
          </w:tcPr>
          <w:p>
            <w:pPr>
              <w:ind w:left="160"/>
              <w:spacing w:after="0" w:line="156" w:lineRule="exact"/>
              <w:rPr>
                <w:sz w:val="20"/>
                <w:szCs w:val="20"/>
                <w:color w:val="auto"/>
              </w:rPr>
            </w:pPr>
            <w:r>
              <w:rPr>
                <w:rFonts w:ascii="Arial" w:cs="Arial" w:eastAsia="Arial" w:hAnsi="Arial"/>
                <w:sz w:val="14"/>
                <w:szCs w:val="14"/>
                <w:color w:val="auto"/>
              </w:rPr>
              <w:t>2019</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138,395</w:t>
            </w:r>
          </w:p>
        </w:tc>
        <w:tc>
          <w:tcPr>
            <w:tcW w:w="1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53,732</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19,720,800</w:t>
            </w:r>
          </w:p>
        </w:tc>
        <w:tc>
          <w:tcPr>
            <w:tcW w:w="540" w:type="dxa"/>
            <w:vAlign w:val="bottom"/>
          </w:tcPr>
          <w:p>
            <w:pPr>
              <w:ind w:left="3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line="156" w:lineRule="exact"/>
              <w:rPr>
                <w:sz w:val="20"/>
                <w:szCs w:val="20"/>
                <w:color w:val="auto"/>
              </w:rPr>
            </w:pPr>
            <w:r>
              <w:rPr>
                <w:rFonts w:ascii="Arial" w:cs="Arial" w:eastAsia="Arial" w:hAnsi="Arial"/>
                <w:sz w:val="14"/>
                <w:szCs w:val="14"/>
                <w:color w:val="auto"/>
              </w:rPr>
              <w:t>3,592</w:t>
            </w:r>
          </w:p>
        </w:tc>
        <w:tc>
          <w:tcPr>
            <w:tcW w:w="1280" w:type="dxa"/>
            <w:vAlign w:val="bottom"/>
            <w:gridSpan w:val="2"/>
          </w:tcPr>
          <w:p>
            <w:pPr>
              <w:ind w:left="840"/>
              <w:spacing w:after="0" w:line="156"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(56,622)</w:t>
            </w:r>
          </w:p>
        </w:tc>
        <w:tc>
          <w:tcPr>
            <w:tcW w:w="10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(53,030)</w:t>
            </w:r>
          </w:p>
        </w:tc>
      </w:tr>
      <w:tr>
        <w:trPr>
          <w:trHeight w:val="165"/>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Series E convertible preferred</w:t>
            </w: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32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shares, net of issuance costs of $473</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23,706</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58,821</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3240" w:type="dxa"/>
            <w:vAlign w:val="bottom"/>
          </w:tcPr>
          <w:p>
            <w:pPr>
              <w:ind w:left="300"/>
              <w:spacing w:after="0"/>
              <w:rPr>
                <w:sz w:val="20"/>
                <w:szCs w:val="20"/>
                <w:color w:val="auto"/>
              </w:rPr>
            </w:pPr>
            <w:r>
              <w:rPr>
                <w:rFonts w:ascii="Arial" w:cs="Arial" w:eastAsia="Arial" w:hAnsi="Arial"/>
                <w:sz w:val="14"/>
                <w:szCs w:val="14"/>
                <w:color w:val="auto"/>
              </w:rPr>
              <w:t>Issuance of ordinary shares upon exercise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40" w:type="dxa"/>
            <w:vAlign w:val="bottom"/>
          </w:tcPr>
          <w:p>
            <w:pPr>
              <w:ind w:left="440"/>
              <w:spacing w:after="0" w:line="156" w:lineRule="exact"/>
              <w:rPr>
                <w:sz w:val="20"/>
                <w:szCs w:val="20"/>
                <w:color w:val="auto"/>
              </w:rPr>
            </w:pPr>
            <w:r>
              <w:rPr>
                <w:rFonts w:ascii="Arial" w:cs="Arial" w:eastAsia="Arial" w:hAnsi="Arial"/>
                <w:sz w:val="14"/>
                <w:szCs w:val="14"/>
                <w:color w:val="auto"/>
              </w:rPr>
              <w:t>of share options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2,040,600</w:t>
            </w:r>
          </w:p>
        </w:tc>
        <w:tc>
          <w:tcPr>
            <w:tcW w:w="540" w:type="dxa"/>
            <w:vAlign w:val="bottom"/>
          </w:tcPr>
          <w:p>
            <w:pPr>
              <w:ind w:left="3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line="156" w:lineRule="exact"/>
              <w:rPr>
                <w:sz w:val="20"/>
                <w:szCs w:val="20"/>
                <w:color w:val="auto"/>
              </w:rPr>
            </w:pPr>
            <w:r>
              <w:rPr>
                <w:rFonts w:ascii="Arial" w:cs="Arial" w:eastAsia="Arial" w:hAnsi="Arial"/>
                <w:sz w:val="14"/>
                <w:szCs w:val="14"/>
                <w:color w:val="auto"/>
              </w:rPr>
              <w:t>539</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539</w:t>
            </w:r>
          </w:p>
        </w:tc>
      </w:tr>
      <w:tr>
        <w:trPr>
          <w:trHeight w:val="165"/>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 on available-for-sale</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32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marketable securities, net</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820"/>
              <w:spacing w:after="0" w:line="156" w:lineRule="exact"/>
              <w:rPr>
                <w:sz w:val="20"/>
                <w:szCs w:val="20"/>
                <w:color w:val="auto"/>
              </w:rPr>
            </w:pPr>
            <w:r>
              <w:rPr>
                <w:rFonts w:ascii="Arial" w:cs="Arial" w:eastAsia="Arial" w:hAnsi="Arial"/>
                <w:sz w:val="14"/>
                <w:szCs w:val="14"/>
                <w:color w:val="auto"/>
              </w:rPr>
              <w:t>111</w:t>
            </w: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111</w:t>
            </w:r>
          </w:p>
        </w:tc>
      </w:tr>
      <w:tr>
        <w:trPr>
          <w:trHeight w:val="165"/>
        </w:trPr>
        <w:tc>
          <w:tcPr>
            <w:tcW w:w="3240" w:type="dxa"/>
            <w:vAlign w:val="bottom"/>
          </w:tcPr>
          <w:p>
            <w:pPr>
              <w:ind w:left="300"/>
              <w:spacing w:after="0"/>
              <w:rPr>
                <w:sz w:val="20"/>
                <w:szCs w:val="20"/>
                <w:color w:val="auto"/>
              </w:rPr>
            </w:pPr>
            <w:r>
              <w:rPr>
                <w:rFonts w:ascii="Arial" w:cs="Arial" w:eastAsia="Arial" w:hAnsi="Arial"/>
                <w:sz w:val="14"/>
                <w:szCs w:val="14"/>
                <w:color w:val="auto"/>
              </w:rPr>
              <w:t>Share-based compensation expense (as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40" w:type="dxa"/>
            <w:vAlign w:val="bottom"/>
          </w:tcPr>
          <w:p>
            <w:pPr>
              <w:ind w:left="440"/>
              <w:spacing w:after="0" w:line="156" w:lineRule="exact"/>
              <w:rPr>
                <w:sz w:val="20"/>
                <w:szCs w:val="20"/>
                <w:color w:val="auto"/>
              </w:rPr>
            </w:pPr>
            <w:r>
              <w:rPr>
                <w:rFonts w:ascii="Arial" w:cs="Arial" w:eastAsia="Arial" w:hAnsi="Arial"/>
                <w:sz w:val="14"/>
                <w:szCs w:val="14"/>
                <w:color w:val="auto"/>
              </w:rPr>
              <w:t>restated)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right"/>
              <w:ind w:right="220"/>
              <w:spacing w:after="0" w:line="156" w:lineRule="exact"/>
              <w:rPr>
                <w:sz w:val="20"/>
                <w:szCs w:val="20"/>
                <w:color w:val="auto"/>
              </w:rPr>
            </w:pPr>
            <w:r>
              <w:rPr>
                <w:rFonts w:ascii="Arial" w:cs="Arial" w:eastAsia="Arial" w:hAnsi="Arial"/>
                <w:sz w:val="14"/>
                <w:szCs w:val="14"/>
                <w:color w:val="auto"/>
              </w:rPr>
              <w:t>3,956</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3,956</w:t>
            </w:r>
          </w:p>
        </w:tc>
      </w:tr>
      <w:tr>
        <w:trPr>
          <w:trHeight w:val="160"/>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Profit (as restated)</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3,914</w:t>
            </w:r>
          </w:p>
        </w:tc>
      </w:tr>
      <w:tr>
        <w:trPr>
          <w:trHeight w:val="20"/>
        </w:trPr>
        <w:tc>
          <w:tcPr>
            <w:tcW w:w="3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Balance as of December 31, 2020 (as restated)</w:t>
            </w:r>
          </w:p>
        </w:tc>
        <w:tc>
          <w:tcPr>
            <w:tcW w:w="560" w:type="dxa"/>
            <w:vAlign w:val="bottom"/>
          </w:tcPr>
          <w:p>
            <w:pPr>
              <w:jc w:val="right"/>
              <w:spacing w:after="0"/>
              <w:rPr>
                <w:sz w:val="20"/>
                <w:szCs w:val="20"/>
                <w:color w:val="auto"/>
              </w:rPr>
            </w:pPr>
            <w:r>
              <w:rPr>
                <w:rFonts w:ascii="Arial" w:cs="Arial" w:eastAsia="Arial" w:hAnsi="Arial"/>
                <w:sz w:val="14"/>
                <w:szCs w:val="14"/>
                <w:color w:val="auto"/>
              </w:rPr>
              <w:t>162,101</w:t>
            </w:r>
          </w:p>
        </w:tc>
        <w:tc>
          <w:tcPr>
            <w:tcW w:w="12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112,553</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21,761,400</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8,087</w:t>
            </w:r>
          </w:p>
        </w:tc>
        <w:tc>
          <w:tcPr>
            <w:tcW w:w="1280" w:type="dxa"/>
            <w:vAlign w:val="bottom"/>
            <w:gridSpan w:val="2"/>
          </w:tcPr>
          <w:p>
            <w:pPr>
              <w:ind w:left="820"/>
              <w:spacing w:after="0"/>
              <w:rPr>
                <w:sz w:val="20"/>
                <w:szCs w:val="20"/>
                <w:color w:val="auto"/>
              </w:rPr>
            </w:pPr>
            <w:r>
              <w:rPr>
                <w:rFonts w:ascii="Arial" w:cs="Arial" w:eastAsia="Arial" w:hAnsi="Arial"/>
                <w:sz w:val="14"/>
                <w:szCs w:val="14"/>
                <w:color w:val="auto"/>
              </w:rPr>
              <w:t>111</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(52,708)</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(44,510)</w:t>
            </w:r>
          </w:p>
        </w:tc>
      </w:tr>
      <w:tr>
        <w:trPr>
          <w:trHeight w:val="27"/>
        </w:trPr>
        <w:tc>
          <w:tcPr>
            <w:tcW w:w="3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Net profit (loss)</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8"/>
              </w:rPr>
              <w:t>(11,593)</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(7,544)</w:t>
            </w:r>
          </w:p>
        </w:tc>
        <w:tc>
          <w:tcPr>
            <w:tcW w:w="4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profit (loss) to net cash provided by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(1,193)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(2,557)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(3,916)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Funds receivable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Long-term receivables</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Funds payable to customers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4,188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12,508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Operating lease ROU assets</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contract acquisition costs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1,315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4,131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4,184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18,874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Warrants liabilities to preferred shares</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(7,987)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7,028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29,350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Investment in long-term marketable securities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(16,759)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Purchases of long-term investments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Proceeds from exercise of share options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rPr>
              <w:t>Issuance of convertible preferred shares, net of issuance costs</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19,879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58,821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19,972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6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64,664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restricted cash—beginning of period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3,273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13,646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20,369</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20,369</w:t>
            </w:r>
          </w:p>
        </w:tc>
        <w:tc>
          <w:tcPr>
            <w:tcW w:w="24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65</w:t>
            </w:r>
          </w:p>
        </w:tc>
        <w:tc>
          <w:tcPr>
            <w:tcW w:w="4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Purchases of property and equipment during the period included in accounts payable</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w:t>
            </w:r>
          </w:p>
        </w:tc>
        <w:tc>
          <w:tcPr>
            <w:tcW w:w="4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ROU assets and lease liabilities created during the period</w:t>
            </w:r>
          </w:p>
        </w:tc>
        <w:tc>
          <w:tcPr>
            <w:tcW w:w="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195"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line="195" w:lineRule="exact"/>
              <w:rPr>
                <w:sz w:val="20"/>
                <w:szCs w:val="20"/>
                <w:color w:val="auto"/>
              </w:rPr>
            </w:pPr>
            <w:r>
              <w:rPr>
                <w:rFonts w:ascii="Arial" w:cs="Arial" w:eastAsia="Arial" w:hAnsi="Arial"/>
                <w:sz w:val="18"/>
                <w:szCs w:val="18"/>
                <w:color w:val="auto"/>
              </w:rPr>
              <w:t>1,209</w:t>
            </w:r>
          </w:p>
        </w:tc>
        <w:tc>
          <w:tcPr>
            <w:tcW w:w="420" w:type="dxa"/>
            <w:vAlign w:val="bottom"/>
            <w:gridSpan w:val="2"/>
            <w:shd w:val="clear" w:color="auto" w:fill="CCEEFF"/>
          </w:tcPr>
          <w:p>
            <w:pPr>
              <w:ind w:left="200"/>
              <w:spacing w:after="0" w:line="195"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3"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Global-E Online Ltd. was incorporated on February 21, 2013 under the laws of the state of Israel and commenced operations at that time.</w:t>
      </w:r>
    </w:p>
    <w:p>
      <w:pPr>
        <w:spacing w:after="0" w:line="203" w:lineRule="exact"/>
        <w:rPr>
          <w:sz w:val="20"/>
          <w:szCs w:val="20"/>
          <w:color w:val="auto"/>
        </w:rPr>
      </w:pPr>
    </w:p>
    <w:p>
      <w:pPr>
        <w:ind w:left="160" w:right="20" w:firstLine="546"/>
        <w:spacing w:after="0" w:line="248" w:lineRule="auto"/>
        <w:rPr>
          <w:sz w:val="20"/>
          <w:szCs w:val="20"/>
          <w:color w:val="auto"/>
        </w:rPr>
      </w:pPr>
      <w:r>
        <w:rPr>
          <w:rFonts w:ascii="Arial" w:cs="Arial" w:eastAsia="Arial" w:hAnsi="Arial"/>
          <w:sz w:val="17"/>
          <w:szCs w:val="17"/>
          <w:color w:val="auto"/>
        </w:rPr>
        <w:t>The company and its subsidiaries (together, “Global-E”, the “Company”) offer a leading platform to enable and accelerate global, direct-to-consumer (“D2C”) cross-border e-commerce. The platform was purpose-built for international shoppers to buy seamlessly online and for merchants to sell from, and to, anywhere in the world. The Company’s platform localizes the shopper experience in an effort to make international transactions as seamless as domestic ones. The platform increases the conversion of international traffic into sales by removing much of the complexity associated with international e-commerce. The platform provides an integrated solution that creates a localized and frictionless shopper experience and is simple to manage, flexible to adjust and smart in its local market insights and best practices. The vast capabilities of the Company’s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85" w:lineRule="exact"/>
        <w:rPr>
          <w:sz w:val="20"/>
          <w:szCs w:val="20"/>
          <w:color w:val="auto"/>
        </w:rPr>
      </w:pPr>
    </w:p>
    <w:p>
      <w:pPr>
        <w:ind w:left="160" w:right="6980" w:firstLine="7"/>
        <w:spacing w:after="0" w:line="369" w:lineRule="auto"/>
        <w:tabs>
          <w:tab w:leader="none" w:pos="35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Global-E Online Ltd. and its wholly owned subsidiaries. All intercompany balances and transactions have been eliminated in consolidation.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prior period amounts have been reclassified in order to conform to the current period presentation.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and accompanying notes. Significant items subject to such estimates and assumptions include, but are not limited to, the allocation of transaction price among various performance obligations, the estimated customer life on deferred contract acquisition costs, the allowance for doubtful accounts, the fair value of financial assets and liabilities; including accounting and fair value of derivatives, the fair value of acquired intangible assets and goodwill, the useful lives of acquired intangible assets and property and equipment, share-based compensation including the determination of the fair value of the Company’s ordinary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3"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The functional currency of the Company is the U.S. dollar. Accordingly, foreign currency assets and liabilities are remeasured into U.S. dollars at the end-of-period exchange rates except for non-monetary assets and liabilities, which are measured at historical exchange rates. Revenue and expenses are remeasured each day at the exchange rate in effect on the day the transaction occurred.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23"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short-term deposits, accounts receivable and marketable securities. The Company maintains its cash, cash equivalents, restricted cash, and short-term deposits with high-quality financial institutions mainly in the U.S., UK and Israel, the composition and maturities of which are regularly monitored by the Company.</w:t>
      </w:r>
    </w:p>
    <w:p>
      <w:pPr>
        <w:spacing w:after="0" w:line="202"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In the years ended December 31, 2018, 2019 and 2020, the revenue generated by the Company’s largest customer was $12,843, $16,219 and $ 24,534, respectively. As of December 31, 2019 and 2020, the net amount due to the Company’s largest customer was $9,570 and $8,264,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3" w:lineRule="exact"/>
        <w:rPr>
          <w:sz w:val="20"/>
          <w:szCs w:val="20"/>
          <w:color w:val="auto"/>
        </w:rPr>
      </w:pPr>
    </w:p>
    <w:p>
      <w:pPr>
        <w:jc w:val="both"/>
        <w:ind w:left="160" w:right="80" w:firstLine="546"/>
        <w:spacing w:after="0" w:line="257" w:lineRule="auto"/>
        <w:rPr>
          <w:sz w:val="20"/>
          <w:szCs w:val="20"/>
          <w:color w:val="auto"/>
        </w:rPr>
      </w:pPr>
      <w:r>
        <w:rPr>
          <w:rFonts w:ascii="Arial" w:cs="Arial" w:eastAsia="Arial" w:hAnsi="Arial"/>
          <w:sz w:val="17"/>
          <w:szCs w:val="17"/>
          <w:color w:val="auto"/>
        </w:rPr>
        <w:t>Cash and cash equivalents consist of cash in banks. The Company considers all highly liquid investments, with an original maturity of three months or less at the date of purchase, to be cash equivalents. The Company maintains certain cash amounts restricted as to its withdrawal or use. The Company’s restricted cash primarily consists of security deposits collateralizing the Company’s operating leases.</w:t>
      </w:r>
    </w:p>
    <w:p>
      <w:pPr>
        <w:spacing w:after="0" w:line="188"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4"/>
        </w:trPr>
        <w:tc>
          <w:tcPr>
            <w:tcW w:w="81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9,530</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5,034</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68,637</w:t>
            </w:r>
          </w:p>
        </w:tc>
        <w:tc>
          <w:tcPr>
            <w:tcW w:w="60" w:type="dxa"/>
            <w:vAlign w:val="bottom"/>
            <w:shd w:val="clear" w:color="auto" w:fill="CCEEFF"/>
          </w:tcPr>
          <w:p>
            <w:pPr>
              <w:spacing w:after="0"/>
              <w:rPr>
                <w:sz w:val="16"/>
                <w:szCs w:val="16"/>
                <w:color w:val="auto"/>
              </w:rPr>
            </w:pPr>
          </w:p>
        </w:tc>
      </w:tr>
      <w:tr>
        <w:trPr>
          <w:trHeight w:val="201"/>
        </w:trPr>
        <w:tc>
          <w:tcPr>
            <w:tcW w:w="8160" w:type="dxa"/>
            <w:vAlign w:val="bottom"/>
          </w:tcPr>
          <w:p>
            <w:pPr>
              <w:spacing w:after="0" w:line="201" w:lineRule="exact"/>
              <w:rPr>
                <w:sz w:val="20"/>
                <w:szCs w:val="20"/>
                <w:color w:val="auto"/>
              </w:rPr>
            </w:pPr>
            <w:r>
              <w:rPr>
                <w:rFonts w:ascii="Arial" w:cs="Arial" w:eastAsia="Arial" w:hAnsi="Arial"/>
                <w:sz w:val="18"/>
                <w:szCs w:val="18"/>
                <w:color w:val="auto"/>
              </w:rPr>
              <w:t>Cash and cash equivalents included in funds receivable</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3,947</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8"/>
              </w:rPr>
              <w:t>15,138</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spacing w:after="0" w:line="201" w:lineRule="exact"/>
              <w:rPr>
                <w:sz w:val="20"/>
                <w:szCs w:val="20"/>
                <w:color w:val="auto"/>
              </w:rPr>
            </w:pPr>
            <w:r>
              <w:rPr>
                <w:rFonts w:ascii="Arial" w:cs="Arial" w:eastAsia="Arial" w:hAnsi="Arial"/>
                <w:sz w:val="18"/>
                <w:szCs w:val="18"/>
                <w:color w:val="auto"/>
              </w:rPr>
              <w:t>16,193</w:t>
            </w:r>
          </w:p>
        </w:tc>
      </w:tr>
      <w:tr>
        <w:trPr>
          <w:trHeight w:val="201"/>
        </w:trPr>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cash included in other assets, noncurrent</w:t>
            </w:r>
          </w:p>
        </w:tc>
        <w:tc>
          <w:tcPr>
            <w:tcW w:w="1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197</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7"/>
                <w:szCs w:val="17"/>
                <w:color w:val="auto"/>
              </w:rPr>
            </w:pPr>
          </w:p>
        </w:tc>
      </w:tr>
      <w:tr>
        <w:trPr>
          <w:trHeight w:val="207"/>
        </w:trPr>
        <w:tc>
          <w:tcPr>
            <w:tcW w:w="816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13,646</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20,369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spacing w:after="0"/>
              <w:rPr>
                <w:sz w:val="20"/>
                <w:szCs w:val="20"/>
                <w:color w:val="auto"/>
              </w:rPr>
            </w:pPr>
            <w:r>
              <w:rPr>
                <w:rFonts w:ascii="Arial" w:cs="Arial" w:eastAsia="Arial" w:hAnsi="Arial"/>
                <w:sz w:val="18"/>
                <w:szCs w:val="18"/>
                <w:color w:val="auto"/>
              </w:rPr>
              <w:t>85,033</w:t>
            </w:r>
          </w:p>
        </w:tc>
      </w:tr>
      <w:tr>
        <w:trPr>
          <w:trHeight w:val="20"/>
        </w:trPr>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3" w:lineRule="exact"/>
        <w:rPr>
          <w:sz w:val="20"/>
          <w:szCs w:val="20"/>
          <w:color w:val="auto"/>
        </w:rPr>
      </w:pPr>
    </w:p>
    <w:p>
      <w:pPr>
        <w:ind w:left="160" w:right="140" w:firstLine="546"/>
        <w:spacing w:after="0" w:line="250" w:lineRule="auto"/>
        <w:rPr>
          <w:sz w:val="20"/>
          <w:szCs w:val="20"/>
          <w:color w:val="auto"/>
        </w:rPr>
      </w:pPr>
      <w:r>
        <w:rPr>
          <w:rFonts w:ascii="Arial" w:cs="Arial" w:eastAsia="Arial" w:hAnsi="Arial"/>
          <w:sz w:val="17"/>
          <w:szCs w:val="17"/>
          <w:color w:val="auto"/>
        </w:rPr>
        <w:t>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 The Company carries these securities at fair value and records unrealized gains and losses, net of taxes, in accumulated other comprehensive income, which is reflected as a component of shareholders’ deficit. The Company periodically evaluates its marketable securities to assess whether those with unrealized loss positions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60"/>
        <w:spacing w:after="0" w:line="232" w:lineRule="auto"/>
        <w:rPr>
          <w:sz w:val="20"/>
          <w:szCs w:val="20"/>
          <w:color w:val="auto"/>
        </w:rPr>
      </w:pPr>
      <w:r>
        <w:rPr>
          <w:rFonts w:ascii="Arial" w:cs="Arial" w:eastAsia="Arial" w:hAnsi="Arial"/>
          <w:sz w:val="18"/>
          <w:szCs w:val="18"/>
          <w:color w:val="auto"/>
        </w:rPr>
        <w:t>are other-than-temporarily impaired. If the cost of an individual security exceeds its fair value, the Company evaluates, among other factors, general market conditions, the duration and extent to which the fair value is less than the cost basis, and the Company’s intent and ability to hold the security. If the Company believes that a decline in fair value is determined to be other-than-temporary, the Company writes down the security to fair value. Realized gains and losses and declines in fair value judged to be other than temporary</w:t>
      </w:r>
    </w:p>
    <w:p>
      <w:pPr>
        <w:spacing w:after="0" w:line="2"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on available-for-sale marketable securities are reported in interest income, net in the Consolidated Statements of Operations. In the year ended December 31, 2020 the Company did not record any other than temporary impairment in its Consolidated Statements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Three levels of inputs may be used to measure fair value: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08" w:lineRule="exact"/>
        <w:rPr>
          <w:sz w:val="20"/>
          <w:szCs w:val="20"/>
          <w:color w:val="auto"/>
        </w:rPr>
      </w:pPr>
    </w:p>
    <w:p>
      <w:pPr>
        <w:ind w:left="160" w:right="320" w:firstLine="546"/>
        <w:spacing w:after="0" w:line="237"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Financial instruments consist of cash and cash equivalents, restricted cash, short-term deposits, accounts receivables, accounts payables, accrued liabilities, warrants to convertible preferred shares and marketable securities. Short-term deposits, Cash and cash equivalents, accounts receivable, accounts payable, and accrued liabilities are stated at their carrying value, which approximates fair value due to the short time to the expected receipt or payment date. Warrants exercisable for preferred shares and marketable securities are stated at fair value on a recurring basis. See note 12.</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2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The Company accounts for comprehensive income in accordance with Accounting Standards Codification No. 220, “Comprehensive Income” (“ASC No. 220”). This statement establishes standards for the reporting and display of comprehensive income and its components in a full set of general-purpose financial statements. Comprehensive income generally represents all changes in shareholders’ deficit during the period except those resulting from investments by, or distributions to shareholders.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total accumulated other comprehensive income was comprised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 December 31, 2020</w:t>
            </w:r>
          </w:p>
        </w:tc>
      </w:tr>
      <w:tr>
        <w:trPr>
          <w:trHeight w:val="154"/>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76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Unrealized gain on marketable securities</w:t>
            </w:r>
          </w:p>
        </w:tc>
        <w:tc>
          <w:tcPr>
            <w:tcW w:w="6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3780" w:type="dxa"/>
            <w:vAlign w:val="bottom"/>
            <w:gridSpan w:val="2"/>
            <w:shd w:val="clear" w:color="auto" w:fill="CCEEFF"/>
          </w:tcPr>
          <w:p>
            <w:pPr>
              <w:ind w:left="3560"/>
              <w:spacing w:after="0" w:line="201" w:lineRule="exact"/>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ind w:left="2280"/>
              <w:spacing w:after="0" w:line="201" w:lineRule="exact"/>
              <w:rPr>
                <w:sz w:val="20"/>
                <w:szCs w:val="20"/>
                <w:color w:val="auto"/>
              </w:rPr>
            </w:pPr>
            <w:r>
              <w:rPr>
                <w:rFonts w:ascii="Arial" w:cs="Arial" w:eastAsia="Arial" w:hAnsi="Arial"/>
                <w:sz w:val="18"/>
                <w:szCs w:val="18"/>
                <w:color w:val="auto"/>
              </w:rPr>
              <w:t>—</w:t>
            </w:r>
          </w:p>
        </w:tc>
      </w:tr>
      <w:tr>
        <w:trPr>
          <w:trHeight w:val="207"/>
        </w:trPr>
        <w:tc>
          <w:tcPr>
            <w:tcW w:w="20" w:type="dxa"/>
            <w:vAlign w:val="bottom"/>
          </w:tcPr>
          <w:p>
            <w:pPr>
              <w:spacing w:after="0"/>
              <w:rPr>
                <w:sz w:val="18"/>
                <w:szCs w:val="18"/>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Net current period other comprehensive income</w:t>
            </w:r>
          </w:p>
        </w:tc>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ind w:left="2240"/>
              <w:spacing w:after="0" w:line="201" w:lineRule="exact"/>
              <w:rPr>
                <w:sz w:val="20"/>
                <w:szCs w:val="20"/>
                <w:color w:val="auto"/>
              </w:rPr>
            </w:pPr>
            <w:r>
              <w:rPr>
                <w:rFonts w:ascii="Arial" w:cs="Arial" w:eastAsia="Arial" w:hAnsi="Arial"/>
                <w:sz w:val="18"/>
                <w:szCs w:val="18"/>
                <w:color w:val="auto"/>
                <w:w w:val="93"/>
              </w:rPr>
              <w:t>111</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accumulated other comprehensive income</w:t>
            </w:r>
          </w:p>
        </w:tc>
        <w:tc>
          <w:tcPr>
            <w:tcW w:w="3780" w:type="dxa"/>
            <w:vAlign w:val="bottom"/>
            <w:gridSpan w:val="2"/>
            <w:shd w:val="clear" w:color="auto" w:fill="CCEEFF"/>
          </w:tcPr>
          <w:p>
            <w:pPr>
              <w:ind w:left="3560"/>
              <w:spacing w:after="0" w:line="201" w:lineRule="exact"/>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2240"/>
              <w:spacing w:after="0" w:line="201" w:lineRule="exact"/>
              <w:rPr>
                <w:sz w:val="20"/>
                <w:szCs w:val="20"/>
                <w:color w:val="auto"/>
              </w:rPr>
            </w:pPr>
            <w:r>
              <w:rPr>
                <w:rFonts w:ascii="Arial" w:cs="Arial" w:eastAsia="Arial" w:hAnsi="Arial"/>
                <w:sz w:val="18"/>
                <w:szCs w:val="18"/>
                <w:color w:val="auto"/>
                <w:w w:val="93"/>
              </w:rPr>
              <w:t>111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Arial" w:cs="Arial" w:eastAsia="Arial" w:hAnsi="Arial"/>
                <w:sz w:val="18"/>
                <w:szCs w:val="18"/>
                <w:color w:val="auto"/>
              </w:rPr>
              <w:t>F-11</w:t>
            </w: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Accounts receivable are recorded at the invoiced amount and amounts for which revenue has been recognized but not invoiced, net of allowance for doubtful accounts.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doubtful accounts when identified. The allowance of doubtful accounts was not material for the periods presented.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3" w:lineRule="exact"/>
        <w:rPr>
          <w:sz w:val="20"/>
          <w:szCs w:val="20"/>
          <w:color w:val="auto"/>
        </w:rPr>
      </w:pPr>
    </w:p>
    <w:p>
      <w:pPr>
        <w:ind w:left="160" w:right="380" w:firstLine="546"/>
        <w:spacing w:after="0" w:line="268"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respective assets. Expenditures for maintenance and repairs are expensed as incurred.</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8"/>
                <w:szCs w:val="18"/>
                <w:color w:val="auto"/>
              </w:rPr>
              <w:t>Computer and software</w:t>
            </w:r>
          </w:p>
        </w:tc>
        <w:tc>
          <w:tcPr>
            <w:tcW w:w="4620" w:type="dxa"/>
            <w:vAlign w:val="bottom"/>
          </w:tcPr>
          <w:p>
            <w:pPr>
              <w:jc w:val="center"/>
              <w:ind w:left="2331"/>
              <w:spacing w:after="0"/>
              <w:rPr>
                <w:sz w:val="20"/>
                <w:szCs w:val="20"/>
                <w:color w:val="auto"/>
              </w:rPr>
            </w:pPr>
            <w:r>
              <w:rPr>
                <w:rFonts w:ascii="Arial" w:cs="Arial" w:eastAsia="Arial" w:hAnsi="Arial"/>
                <w:sz w:val="18"/>
                <w:szCs w:val="18"/>
                <w:color w:val="auto"/>
              </w:rPr>
              <w:t>3 years</w:t>
            </w:r>
          </w:p>
        </w:tc>
      </w:tr>
      <w:tr>
        <w:trPr>
          <w:trHeight w:val="201"/>
        </w:trPr>
        <w:tc>
          <w:tcPr>
            <w:tcW w:w="4840" w:type="dxa"/>
            <w:vAlign w:val="bottom"/>
          </w:tcPr>
          <w:p>
            <w:pPr>
              <w:spacing w:after="0" w:line="201" w:lineRule="exact"/>
              <w:rPr>
                <w:sz w:val="20"/>
                <w:szCs w:val="20"/>
                <w:color w:val="auto"/>
              </w:rPr>
            </w:pPr>
            <w:r>
              <w:rPr>
                <w:rFonts w:ascii="Arial" w:cs="Arial" w:eastAsia="Arial" w:hAnsi="Arial"/>
                <w:sz w:val="18"/>
                <w:szCs w:val="18"/>
                <w:color w:val="auto"/>
              </w:rPr>
              <w:t>Furniture and office equipment</w:t>
            </w:r>
          </w:p>
        </w:tc>
        <w:tc>
          <w:tcPr>
            <w:tcW w:w="4620" w:type="dxa"/>
            <w:vAlign w:val="bottom"/>
          </w:tcPr>
          <w:p>
            <w:pPr>
              <w:jc w:val="center"/>
              <w:ind w:left="2331"/>
              <w:spacing w:after="0" w:line="201" w:lineRule="exact"/>
              <w:rPr>
                <w:sz w:val="20"/>
                <w:szCs w:val="20"/>
                <w:color w:val="auto"/>
              </w:rPr>
            </w:pPr>
            <w:r>
              <w:rPr>
                <w:rFonts w:ascii="Arial" w:cs="Arial" w:eastAsia="Arial" w:hAnsi="Arial"/>
                <w:sz w:val="18"/>
                <w:szCs w:val="18"/>
                <w:color w:val="auto"/>
                <w:w w:val="98"/>
              </w:rPr>
              <w:t>3 – 7 years</w:t>
            </w:r>
          </w:p>
        </w:tc>
      </w:tr>
      <w:tr>
        <w:trPr>
          <w:trHeight w:val="201"/>
        </w:trPr>
        <w:tc>
          <w:tcPr>
            <w:tcW w:w="48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4620" w:type="dxa"/>
            <w:vAlign w:val="bottom"/>
          </w:tcPr>
          <w:p>
            <w:pPr>
              <w:jc w:val="center"/>
              <w:ind w:left="2331"/>
              <w:spacing w:after="0" w:line="201" w:lineRule="exact"/>
              <w:rPr>
                <w:sz w:val="20"/>
                <w:szCs w:val="20"/>
                <w:color w:val="auto"/>
              </w:rPr>
            </w:pPr>
            <w:r>
              <w:rPr>
                <w:rFonts w:ascii="Arial" w:cs="Arial" w:eastAsia="Arial" w:hAnsi="Arial"/>
                <w:sz w:val="18"/>
                <w:szCs w:val="18"/>
                <w:color w:val="auto"/>
                <w:w w:val="98"/>
              </w:rPr>
              <w:t>Shorter of remaining lease</w:t>
            </w:r>
          </w:p>
        </w:tc>
      </w:tr>
      <w:tr>
        <w:trPr>
          <w:trHeight w:val="213"/>
        </w:trPr>
        <w:tc>
          <w:tcPr>
            <w:tcW w:w="4840" w:type="dxa"/>
            <w:vAlign w:val="bottom"/>
          </w:tcPr>
          <w:p>
            <w:pPr>
              <w:spacing w:after="0"/>
              <w:rPr>
                <w:sz w:val="18"/>
                <w:szCs w:val="18"/>
                <w:color w:val="auto"/>
              </w:rPr>
            </w:pPr>
          </w:p>
        </w:tc>
        <w:tc>
          <w:tcPr>
            <w:tcW w:w="4620" w:type="dxa"/>
            <w:vAlign w:val="bottom"/>
          </w:tcPr>
          <w:p>
            <w:pPr>
              <w:jc w:val="center"/>
              <w:ind w:left="2331"/>
              <w:spacing w:after="0"/>
              <w:rPr>
                <w:sz w:val="20"/>
                <w:szCs w:val="20"/>
                <w:color w:val="auto"/>
              </w:rPr>
            </w:pPr>
            <w:r>
              <w:rPr>
                <w:rFonts w:ascii="Arial" w:cs="Arial" w:eastAsia="Arial" w:hAnsi="Arial"/>
                <w:sz w:val="18"/>
                <w:szCs w:val="18"/>
                <w:color w:val="auto"/>
                <w:w w:val="99"/>
              </w:rPr>
              <w:t>term or estimated useful life</w:t>
            </w:r>
          </w:p>
        </w:tc>
      </w:tr>
    </w:tbl>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Company evaluates the recoverability of long-lived assets, including property and equipment and intangible assets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the Company’s business strategy. Recoverability of these assets is measured by a comparison of the carrying amounts to the future undiscounted cash flows the assets are expected to generate. If such review indicates that the carrying amount of long-lived assets is not recoverable, the carrying amount of such assets is reduced to fair value. There were no impairment charges to long-lived assets during the periods presented.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Costs related to software acquired, developed, or modified solely to meet the Company’s internal requirements, with no substantive plans to market such software at the time of development are capitalized. Costs incurred during the preliminary planning and evaluation stage of the project and during the post implementation operational stage are expensed as incurred. Costs incurred during the application development stage of the project are capitalized. Maintenance costs are expensed as incurred.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revenues are comprised of:</w:t>
      </w:r>
    </w:p>
    <w:p>
      <w:pPr>
        <w:spacing w:after="0" w:line="114" w:lineRule="exact"/>
        <w:rPr>
          <w:sz w:val="20"/>
          <w:szCs w:val="20"/>
          <w:color w:val="auto"/>
        </w:rPr>
      </w:pPr>
    </w:p>
    <w:p>
      <w:pPr>
        <w:jc w:val="both"/>
        <w:ind w:left="1340" w:hanging="638"/>
        <w:spacing w:after="0" w:line="268" w:lineRule="auto"/>
        <w:tabs>
          <w:tab w:leader="none" w:pos="1340"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Service Fees—The Company provides merchants a cross-border e-commerce platform which enables to sell their products to consumers worldwide. Revenue is generated as a percentage of the value of transactions that flow through our platform.</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6" w:right="5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340" w:right="760" w:hanging="638"/>
        <w:spacing w:after="0" w:line="239" w:lineRule="auto"/>
        <w:tabs>
          <w:tab w:leader="none" w:pos="1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Fulfillment services—The Company offers shipping, handling, and other global delivery services in order to deliver merchants’ goods to consumers.</w:t>
      </w:r>
    </w:p>
    <w:p>
      <w:pPr>
        <w:spacing w:after="0" w:line="203" w:lineRule="exact"/>
        <w:rPr>
          <w:sz w:val="20"/>
          <w:szCs w:val="20"/>
          <w:color w:val="auto"/>
        </w:rPr>
      </w:pPr>
    </w:p>
    <w:p>
      <w:pPr>
        <w:jc w:val="both"/>
        <w:ind w:left="160" w:right="360" w:firstLine="546"/>
        <w:spacing w:after="0" w:line="237" w:lineRule="auto"/>
        <w:rPr>
          <w:sz w:val="20"/>
          <w:szCs w:val="20"/>
          <w:color w:val="auto"/>
        </w:rPr>
      </w:pPr>
      <w:r>
        <w:rPr>
          <w:rFonts w:ascii="Arial" w:cs="Arial" w:eastAsia="Arial" w:hAnsi="Arial"/>
          <w:sz w:val="18"/>
          <w:szCs w:val="18"/>
          <w:color w:val="auto"/>
        </w:rPr>
        <w:t>The Company elected to adopt Accounting Standards Codification (“ASC”) Topic 606, Revenue from Contracts with Customers (“ASC 606”), effective as of January 1, 2018, utilizing the full retrospective method of adoption. Accordingly, the consolidated financial statements for the years ended December 31, 2018, 2019 and 2020 are presented under ASC 606.</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was no material impact to the Company’s consolidated financial statements as a result of this adoption.</w:t>
      </w:r>
    </w:p>
    <w:p>
      <w:pPr>
        <w:spacing w:after="0" w:line="208"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are delivered. The amount of revenue recognized reflects the consideration that the Company expects to receive in exchange for these goods or services. To achieve the core principle of this standard, the Company applied the following five steps: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9"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Company determines that it has a contract with a 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9"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 The Company offers its platform service solution on a standalone basis. Fulfillment services are offered on an optional basis. Customers may choose to utilize or cease utilizing fulfillment services, either in whole or for select markets, at any time and from time to time.</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9"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spacing w:after="0" w:line="29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9"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selling price (“SSP”). To determine SSP, the Company maximizes the use of observable standalone sales and observable data, where available. In instances where performance obligations do not have observable standalone sales, the Company uses the expected cost-plus margin approach to estimate the standalone selling price based on a defined matrix that takes into consideration, among others, the weight, volume and shipping lane of the package. The Company also utilizes available information that may include market conditions, pricing strategies, and other observable inputs. In some cases, the Company provides the platform service solution on a standalone basis. (i.e., without the fulfillment services) since fulfillment service is optional. As for the fulfillment services, the Company provides such services only alongside the platform service solution.</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9"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spacing w:after="0" w:line="203"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spacing w:after="0" w:line="109" w:lineRule="exact"/>
        <w:rPr>
          <w:sz w:val="20"/>
          <w:szCs w:val="20"/>
          <w:color w:val="auto"/>
        </w:rPr>
      </w:pPr>
    </w:p>
    <w:p>
      <w:pPr>
        <w:ind w:left="1340" w:hanging="638"/>
        <w:spacing w:after="0" w:line="234" w:lineRule="auto"/>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Service Fees—the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 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p>
      <w:pPr>
        <w:spacing w:after="0" w:line="111" w:lineRule="exact"/>
        <w:rPr>
          <w:rFonts w:ascii="Arial" w:cs="Arial" w:eastAsia="Arial" w:hAnsi="Arial"/>
          <w:sz w:val="18"/>
          <w:szCs w:val="18"/>
          <w:color w:val="auto"/>
        </w:rPr>
      </w:pPr>
    </w:p>
    <w:p>
      <w:pPr>
        <w:ind w:left="1340" w:right="60" w:hanging="638"/>
        <w:spacing w:after="0" w:line="251" w:lineRule="auto"/>
        <w:tabs>
          <w:tab w:leader="none" w:pos="1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Fulfillment services—the service is recognized over the shipment time starting upon the dispatch to the carrier until it reaches the consumer. The Company determined it acts as a principal since it is the primary obligor to fulfill its promise to its customers, controls the services (i.e. the Company directs other parties to provide services on its behalf), has discretion in determining the carrier it uses to provide the service and bears the risk of loss if the actual cost of the fulfillment service will exceed the fee. Therefore, revenues derived from the fulfillment services are presented on a gross basis.</w:t>
      </w:r>
    </w:p>
    <w:p>
      <w:pPr>
        <w:spacing w:after="0" w:line="195"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The Company elected to apply the optional exemption under ASC 606 not to disclose the remaining performance obligations that relate to contracts with an original expected duration of one year or less.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revenue by category:</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4"/>
        </w:trPr>
        <w:tc>
          <w:tcPr>
            <w:tcW w:w="2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89"/>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89"/>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1"/>
        </w:trPr>
        <w:tc>
          <w:tcPr>
            <w:tcW w:w="2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ind w:left="20"/>
              <w:spacing w:after="0" w:line="141" w:lineRule="exact"/>
              <w:rPr>
                <w:sz w:val="20"/>
                <w:szCs w:val="20"/>
                <w:color w:val="auto"/>
              </w:rPr>
            </w:pPr>
            <w:r>
              <w:rPr>
                <w:rFonts w:ascii="Arial" w:cs="Arial" w:eastAsia="Arial" w:hAnsi="Arial"/>
                <w:sz w:val="14"/>
                <w:szCs w:val="14"/>
                <w:b w:val="1"/>
                <w:bCs w:val="1"/>
                <w:color w:val="auto"/>
                <w:w w:val="97"/>
              </w:rPr>
              <w:t>Percentage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ind w:left="20"/>
              <w:spacing w:after="0" w:line="141" w:lineRule="exact"/>
              <w:rPr>
                <w:sz w:val="20"/>
                <w:szCs w:val="20"/>
                <w:color w:val="auto"/>
              </w:rPr>
            </w:pPr>
            <w:r>
              <w:rPr>
                <w:rFonts w:ascii="Arial" w:cs="Arial" w:eastAsia="Arial" w:hAnsi="Arial"/>
                <w:sz w:val="14"/>
                <w:szCs w:val="14"/>
                <w:b w:val="1"/>
                <w:bCs w:val="1"/>
                <w:color w:val="auto"/>
                <w:w w:val="97"/>
              </w:rPr>
              <w:t>Percentage</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line="141" w:lineRule="exact"/>
              <w:rPr>
                <w:sz w:val="20"/>
                <w:szCs w:val="20"/>
                <w:color w:val="auto"/>
              </w:rPr>
            </w:pPr>
            <w:r>
              <w:rPr>
                <w:rFonts w:ascii="Arial" w:cs="Arial" w:eastAsia="Arial" w:hAnsi="Arial"/>
                <w:sz w:val="14"/>
                <w:szCs w:val="14"/>
                <w:b w:val="1"/>
                <w:bCs w:val="1"/>
                <w:color w:val="auto"/>
                <w:w w:val="97"/>
              </w:rPr>
              <w:t>Percentage</w:t>
            </w:r>
          </w:p>
        </w:tc>
        <w:tc>
          <w:tcPr>
            <w:tcW w:w="220" w:type="dxa"/>
            <w:vAlign w:val="bottom"/>
          </w:tcPr>
          <w:p>
            <w:pPr>
              <w:spacing w:after="0"/>
              <w:rPr>
                <w:sz w:val="12"/>
                <w:szCs w:val="12"/>
                <w:color w:val="auto"/>
              </w:rPr>
            </w:pPr>
          </w:p>
        </w:tc>
      </w:tr>
      <w:tr>
        <w:trPr>
          <w:trHeight w:val="174"/>
        </w:trPr>
        <w:tc>
          <w:tcPr>
            <w:tcW w:w="2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Revenue</w:t>
            </w:r>
          </w:p>
        </w:tc>
        <w:tc>
          <w:tcPr>
            <w:tcW w:w="3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of Revenue</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4"/>
        </w:trPr>
        <w:tc>
          <w:tcPr>
            <w:tcW w:w="2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6"/>
          </w:tcPr>
          <w:p>
            <w:pPr>
              <w:jc w:val="right"/>
              <w:ind w:right="220"/>
              <w:spacing w:after="0" w:line="154" w:lineRule="exact"/>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1"/>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Service fees</w:t>
            </w:r>
          </w:p>
        </w:tc>
        <w:tc>
          <w:tcPr>
            <w:tcW w:w="1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12,802</w:t>
            </w:r>
          </w:p>
        </w:tc>
        <w:tc>
          <w:tcPr>
            <w:tcW w:w="13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33%</w:t>
            </w:r>
          </w:p>
        </w:tc>
        <w:tc>
          <w:tcPr>
            <w:tcW w:w="10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23,498</w:t>
            </w:r>
          </w:p>
        </w:tc>
        <w:tc>
          <w:tcPr>
            <w:tcW w:w="16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49,927</w:t>
            </w:r>
          </w:p>
        </w:tc>
        <w:tc>
          <w:tcPr>
            <w:tcW w:w="13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w:t>
            </w:r>
          </w:p>
        </w:tc>
      </w:tr>
      <w:tr>
        <w:trPr>
          <w:trHeight w:val="201"/>
        </w:trPr>
        <w:tc>
          <w:tcPr>
            <w:tcW w:w="2760" w:type="dxa"/>
            <w:vAlign w:val="bottom"/>
          </w:tcPr>
          <w:p>
            <w:pPr>
              <w:spacing w:after="0" w:line="201" w:lineRule="exact"/>
              <w:rPr>
                <w:sz w:val="20"/>
                <w:szCs w:val="20"/>
                <w:color w:val="auto"/>
              </w:rPr>
            </w:pPr>
            <w:r>
              <w:rPr>
                <w:rFonts w:ascii="Arial" w:cs="Arial" w:eastAsia="Arial" w:hAnsi="Arial"/>
                <w:sz w:val="18"/>
                <w:szCs w:val="18"/>
                <w:color w:val="auto"/>
              </w:rPr>
              <w:t>Fulfillment services</w:t>
            </w:r>
          </w:p>
        </w:tc>
        <w:tc>
          <w:tcPr>
            <w:tcW w:w="124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25,838</w:t>
            </w:r>
          </w:p>
        </w:tc>
        <w:tc>
          <w:tcPr>
            <w:tcW w:w="136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67%</w:t>
            </w:r>
          </w:p>
        </w:tc>
        <w:tc>
          <w:tcPr>
            <w:tcW w:w="102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42,354</w:t>
            </w:r>
          </w:p>
        </w:tc>
        <w:tc>
          <w:tcPr>
            <w:tcW w:w="16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64%</w:t>
            </w:r>
          </w:p>
        </w:tc>
        <w:tc>
          <w:tcPr>
            <w:tcW w:w="7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86,448</w:t>
            </w:r>
          </w:p>
        </w:tc>
        <w:tc>
          <w:tcPr>
            <w:tcW w:w="13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63%</w:t>
            </w:r>
          </w:p>
        </w:tc>
      </w:tr>
      <w:tr>
        <w:trPr>
          <w:trHeight w:val="27"/>
        </w:trPr>
        <w:tc>
          <w:tcPr>
            <w:tcW w:w="2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2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revenue</w:t>
            </w:r>
          </w:p>
        </w:tc>
        <w:tc>
          <w:tcPr>
            <w:tcW w:w="1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38,640</w:t>
            </w:r>
          </w:p>
        </w:tc>
        <w:tc>
          <w:tcPr>
            <w:tcW w:w="13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100%</w:t>
            </w:r>
          </w:p>
        </w:tc>
        <w:tc>
          <w:tcPr>
            <w:tcW w:w="10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65,852</w:t>
            </w:r>
          </w:p>
        </w:tc>
        <w:tc>
          <w:tcPr>
            <w:tcW w:w="16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136,375</w:t>
            </w:r>
          </w:p>
        </w:tc>
        <w:tc>
          <w:tcPr>
            <w:tcW w:w="13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100%</w:t>
            </w:r>
          </w:p>
        </w:tc>
      </w:tr>
      <w:tr>
        <w:trPr>
          <w:trHeight w:val="20"/>
        </w:trPr>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Company’s revenues from service fees provided on a standalone basis were $ 178, $1,002 and $2,627 for the years ended December 31, 2018, 2019 and 2020, respectively.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revenue by merchant outbound region:</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4"/>
        </w:trPr>
        <w:tc>
          <w:tcPr>
            <w:tcW w:w="2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89"/>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643"/>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1"/>
        </w:trPr>
        <w:tc>
          <w:tcPr>
            <w:tcW w:w="2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line="141"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line="141" w:lineRule="exact"/>
              <w:rPr>
                <w:sz w:val="20"/>
                <w:szCs w:val="20"/>
                <w:color w:val="auto"/>
              </w:rPr>
            </w:pPr>
            <w:r>
              <w:rPr>
                <w:rFonts w:ascii="Arial" w:cs="Arial" w:eastAsia="Arial" w:hAnsi="Arial"/>
                <w:sz w:val="14"/>
                <w:szCs w:val="14"/>
                <w:b w:val="1"/>
                <w:bCs w:val="1"/>
                <w:color w:val="auto"/>
                <w:w w:val="97"/>
              </w:rPr>
              <w:t>Percentage</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line="141" w:lineRule="exact"/>
              <w:rPr>
                <w:sz w:val="20"/>
                <w:szCs w:val="20"/>
                <w:color w:val="auto"/>
              </w:rPr>
            </w:pPr>
            <w:r>
              <w:rPr>
                <w:rFonts w:ascii="Arial" w:cs="Arial" w:eastAsia="Arial" w:hAnsi="Arial"/>
                <w:sz w:val="14"/>
                <w:szCs w:val="14"/>
                <w:b w:val="1"/>
                <w:bCs w:val="1"/>
                <w:color w:val="auto"/>
                <w:w w:val="97"/>
              </w:rPr>
              <w:t>Percentage</w:t>
            </w:r>
          </w:p>
        </w:tc>
        <w:tc>
          <w:tcPr>
            <w:tcW w:w="220" w:type="dxa"/>
            <w:vAlign w:val="bottom"/>
          </w:tcPr>
          <w:p>
            <w:pPr>
              <w:spacing w:after="0"/>
              <w:rPr>
                <w:sz w:val="12"/>
                <w:szCs w:val="12"/>
                <w:color w:val="auto"/>
              </w:rPr>
            </w:pPr>
          </w:p>
        </w:tc>
      </w:tr>
      <w:tr>
        <w:trPr>
          <w:trHeight w:val="174"/>
        </w:trPr>
        <w:tc>
          <w:tcPr>
            <w:tcW w:w="2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3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4"/>
        </w:trPr>
        <w:tc>
          <w:tcPr>
            <w:tcW w:w="2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6"/>
          </w:tcPr>
          <w:p>
            <w:pPr>
              <w:jc w:val="center"/>
              <w:ind w:right="180"/>
              <w:spacing w:after="0" w:line="154" w:lineRule="exact"/>
              <w:rPr>
                <w:sz w:val="20"/>
                <w:szCs w:val="20"/>
                <w:color w:val="auto"/>
              </w:rPr>
            </w:pPr>
            <w:r>
              <w:rPr>
                <w:rFonts w:ascii="Arial" w:cs="Arial" w:eastAsia="Arial" w:hAnsi="Arial"/>
                <w:sz w:val="14"/>
                <w:szCs w:val="14"/>
                <w:b w:val="1"/>
                <w:bCs w:val="1"/>
                <w:color w:val="auto"/>
              </w:rPr>
              <w:t>(in thousands, except percentages)</w:t>
            </w: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1"/>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Kingdom</w:t>
            </w:r>
          </w:p>
        </w:tc>
        <w:tc>
          <w:tcPr>
            <w:tcW w:w="19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35,128</w:t>
            </w:r>
          </w:p>
        </w:tc>
        <w:tc>
          <w:tcPr>
            <w:tcW w:w="13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91%</w:t>
            </w:r>
          </w:p>
        </w:tc>
        <w:tc>
          <w:tcPr>
            <w:tcW w:w="10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51,799</w:t>
            </w:r>
          </w:p>
        </w:tc>
        <w:tc>
          <w:tcPr>
            <w:tcW w:w="16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79%</w:t>
            </w:r>
          </w:p>
        </w:tc>
        <w:tc>
          <w:tcPr>
            <w:tcW w:w="7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80,122</w:t>
            </w:r>
          </w:p>
        </w:tc>
        <w:tc>
          <w:tcPr>
            <w:tcW w:w="13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59%</w:t>
            </w:r>
          </w:p>
        </w:tc>
      </w:tr>
      <w:tr>
        <w:trPr>
          <w:trHeight w:val="201"/>
        </w:trPr>
        <w:tc>
          <w:tcPr>
            <w:tcW w:w="2720" w:type="dxa"/>
            <w:vAlign w:val="bottom"/>
          </w:tcPr>
          <w:p>
            <w:pPr>
              <w:spacing w:after="0" w:line="201" w:lineRule="exact"/>
              <w:rPr>
                <w:sz w:val="20"/>
                <w:szCs w:val="20"/>
                <w:color w:val="auto"/>
              </w:rPr>
            </w:pPr>
            <w:r>
              <w:rPr>
                <w:rFonts w:ascii="Arial" w:cs="Arial" w:eastAsia="Arial" w:hAnsi="Arial"/>
                <w:sz w:val="18"/>
                <w:szCs w:val="18"/>
                <w:color w:val="auto"/>
              </w:rPr>
              <w:t>United States</w:t>
            </w:r>
          </w:p>
        </w:tc>
        <w:tc>
          <w:tcPr>
            <w:tcW w:w="1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1,919</w:t>
            </w:r>
          </w:p>
        </w:tc>
        <w:tc>
          <w:tcPr>
            <w:tcW w:w="13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5%</w:t>
            </w:r>
          </w:p>
        </w:tc>
        <w:tc>
          <w:tcPr>
            <w:tcW w:w="10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9,529</w:t>
            </w:r>
          </w:p>
        </w:tc>
        <w:tc>
          <w:tcPr>
            <w:tcW w:w="168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34,140</w:t>
            </w:r>
          </w:p>
        </w:tc>
        <w:tc>
          <w:tcPr>
            <w:tcW w:w="13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25%</w:t>
            </w:r>
          </w:p>
        </w:tc>
      </w:tr>
      <w:tr>
        <w:trPr>
          <w:trHeight w:val="201"/>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European Union</w:t>
            </w:r>
          </w:p>
        </w:tc>
        <w:tc>
          <w:tcPr>
            <w:tcW w:w="19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1,091</w:t>
            </w:r>
          </w:p>
        </w:tc>
        <w:tc>
          <w:tcPr>
            <w:tcW w:w="13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4,344</w:t>
            </w:r>
          </w:p>
        </w:tc>
        <w:tc>
          <w:tcPr>
            <w:tcW w:w="16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21,269</w:t>
            </w:r>
          </w:p>
        </w:tc>
        <w:tc>
          <w:tcPr>
            <w:tcW w:w="13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r>
      <w:tr>
        <w:trPr>
          <w:trHeight w:val="201"/>
        </w:trPr>
        <w:tc>
          <w:tcPr>
            <w:tcW w:w="2720" w:type="dxa"/>
            <w:vAlign w:val="bottom"/>
          </w:tcPr>
          <w:p>
            <w:pPr>
              <w:spacing w:after="0" w:line="201" w:lineRule="exact"/>
              <w:rPr>
                <w:sz w:val="20"/>
                <w:szCs w:val="20"/>
                <w:color w:val="auto"/>
              </w:rPr>
            </w:pPr>
            <w:r>
              <w:rPr>
                <w:rFonts w:ascii="Arial" w:cs="Arial" w:eastAsia="Arial" w:hAnsi="Arial"/>
                <w:sz w:val="18"/>
                <w:szCs w:val="18"/>
                <w:color w:val="auto"/>
              </w:rPr>
              <w:t>Israel</w:t>
            </w:r>
          </w:p>
        </w:tc>
        <w:tc>
          <w:tcPr>
            <w:tcW w:w="128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502</w:t>
            </w:r>
          </w:p>
        </w:tc>
        <w:tc>
          <w:tcPr>
            <w:tcW w:w="13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180</w:t>
            </w:r>
          </w:p>
        </w:tc>
        <w:tc>
          <w:tcPr>
            <w:tcW w:w="360" w:type="dxa"/>
            <w:vAlign w:val="bottom"/>
          </w:tcPr>
          <w:p>
            <w:pPr>
              <w:spacing w:after="0"/>
              <w:rPr>
                <w:sz w:val="17"/>
                <w:szCs w:val="17"/>
                <w:color w:val="auto"/>
              </w:rPr>
            </w:pPr>
          </w:p>
        </w:tc>
        <w:tc>
          <w:tcPr>
            <w:tcW w:w="13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844</w:t>
            </w:r>
          </w:p>
        </w:tc>
        <w:tc>
          <w:tcPr>
            <w:tcW w:w="40" w:type="dxa"/>
            <w:vAlign w:val="bottom"/>
          </w:tcPr>
          <w:p>
            <w:pPr>
              <w:spacing w:after="0"/>
              <w:rPr>
                <w:sz w:val="17"/>
                <w:szCs w:val="17"/>
                <w:color w:val="auto"/>
              </w:rPr>
            </w:pPr>
          </w:p>
        </w:tc>
        <w:tc>
          <w:tcPr>
            <w:tcW w:w="13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w:t>
            </w:r>
          </w:p>
        </w:tc>
      </w:tr>
      <w:tr>
        <w:trPr>
          <w:trHeight w:val="27"/>
        </w:trPr>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2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revenue</w:t>
            </w:r>
          </w:p>
        </w:tc>
        <w:tc>
          <w:tcPr>
            <w:tcW w:w="19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38,640</w:t>
            </w:r>
          </w:p>
        </w:tc>
        <w:tc>
          <w:tcPr>
            <w:tcW w:w="13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65,852</w:t>
            </w:r>
          </w:p>
        </w:tc>
        <w:tc>
          <w:tcPr>
            <w:tcW w:w="168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136,375</w:t>
            </w:r>
          </w:p>
        </w:tc>
        <w:tc>
          <w:tcPr>
            <w:tcW w:w="13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100%</w:t>
            </w:r>
          </w:p>
        </w:tc>
      </w:tr>
      <w:tr>
        <w:trPr>
          <w:trHeight w:val="20"/>
        </w:trPr>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23"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The Company capitalizes sales commissions paid to sales personnel that are incremental to the acquisition of customer contracts. These costs are recorded as deferred contract acquisition costs on the consolidated balance sheets. The Company determines whether costs should be deferred based on its sales compensation plans and if the commissions are incremental and would not have occurred absent the customer contract.</w:t>
      </w:r>
    </w:p>
    <w:p>
      <w:pPr>
        <w:spacing w:after="0" w:line="202"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Sales commissions paid upon the initial acquisition of a customer contract for sales personnel are amortized over an estimated period of benefit of five years. The Company determines the period of benefit for sales commissions paid for the acquisition of the initial customer contract by taking into consideration the estimated technological life of the Company’s solution and other factors.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Amortization of sales commissions are consistent with each performance obligation and are included in sales and marketing expense in the consolidated statements of operations. The Company has applied the practical expedient in ASC 606 to expense costs as incurred for costs to obtain a contract with a customer when the amortization period would have been one year or less.</w:t>
      </w:r>
    </w:p>
    <w:p>
      <w:pPr>
        <w:spacing w:after="0" w:line="203" w:lineRule="exact"/>
        <w:rPr>
          <w:sz w:val="20"/>
          <w:szCs w:val="20"/>
          <w:color w:val="auto"/>
        </w:rPr>
      </w:pPr>
    </w:p>
    <w:p>
      <w:pPr>
        <w:ind w:left="160" w:right="600" w:firstLine="546"/>
        <w:spacing w:after="0" w:line="237"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560" w:type="dxa"/>
            <w:vAlign w:val="bottom"/>
          </w:tcPr>
          <w:p>
            <w:pPr>
              <w:spacing w:after="0"/>
              <w:rPr>
                <w:sz w:val="13"/>
                <w:szCs w:val="13"/>
                <w:color w:val="auto"/>
              </w:rPr>
            </w:pPr>
          </w:p>
        </w:tc>
        <w:tc>
          <w:tcPr>
            <w:tcW w:w="1220" w:type="dxa"/>
            <w:vAlign w:val="bottom"/>
            <w:gridSpan w:val="4"/>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9"/>
              </w:rPr>
              <w:t>$318</w:t>
            </w:r>
          </w:p>
        </w:tc>
        <w:tc>
          <w:tcPr>
            <w:tcW w:w="7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$ 563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560" w:type="dxa"/>
            <w:vAlign w:val="bottom"/>
          </w:tcPr>
          <w:p>
            <w:pPr>
              <w:spacing w:after="0" w:line="201" w:lineRule="exact"/>
              <w:rPr>
                <w:sz w:val="20"/>
                <w:szCs w:val="20"/>
                <w:color w:val="auto"/>
              </w:rPr>
            </w:pPr>
            <w:r>
              <w:rPr>
                <w:rFonts w:ascii="Arial" w:cs="Arial" w:eastAsia="Arial" w:hAnsi="Arial"/>
                <w:sz w:val="18"/>
                <w:szCs w:val="18"/>
                <w:color w:val="auto"/>
              </w:rPr>
              <w:t>Additions to deferred contract acquisition costs</w:t>
            </w:r>
          </w:p>
        </w:tc>
        <w:tc>
          <w:tcPr>
            <w:tcW w:w="6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343</w:t>
            </w:r>
          </w:p>
        </w:tc>
        <w:tc>
          <w:tcPr>
            <w:tcW w:w="7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contract acquisition costs</w:t>
            </w:r>
          </w:p>
        </w:tc>
        <w:tc>
          <w:tcPr>
            <w:tcW w:w="6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(98)</w:t>
            </w:r>
          </w:p>
        </w:tc>
        <w:tc>
          <w:tcPr>
            <w:tcW w:w="7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Ending balance</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2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$ 987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contract acquisition costs (to be recognized in next 12 months included in other current assets)</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$143</w:t>
            </w: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$ 264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560" w:type="dxa"/>
            <w:vAlign w:val="bottom"/>
          </w:tcPr>
          <w:p>
            <w:pPr>
              <w:spacing w:after="0" w:line="201" w:lineRule="exact"/>
              <w:rPr>
                <w:sz w:val="20"/>
                <w:szCs w:val="20"/>
                <w:color w:val="auto"/>
              </w:rPr>
            </w:pPr>
            <w:r>
              <w:rPr>
                <w:rFonts w:ascii="Arial" w:cs="Arial" w:eastAsia="Arial" w:hAnsi="Arial"/>
                <w:sz w:val="18"/>
                <w:szCs w:val="18"/>
                <w:color w:val="auto"/>
              </w:rPr>
              <w:t>Deferred contract acquisition costs, noncurrent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deferred contract acquisition costs</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Cost of revenue primarily consists of expenses related to fulfillment of its services, which mainly include shipping costs, acquiring costs, payroll and allocated overhead. Overhead is allocated to cost of revenue based on applicable headcount.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Research and development costs include personnel-related expenses associated with the Company’s development personnel responsible for the design, development and testing of its products, cost of development environments and tools, and allocated overhead. Research and development costs are expensed as incurred.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123" w:lineRule="exact"/>
        <w:rPr>
          <w:sz w:val="20"/>
          <w:szCs w:val="20"/>
          <w:color w:val="auto"/>
        </w:rPr>
      </w:pPr>
    </w:p>
    <w:p>
      <w:pPr>
        <w:ind w:left="160" w:right="700" w:firstLine="546"/>
        <w:spacing w:after="0" w:line="239" w:lineRule="auto"/>
        <w:rPr>
          <w:sz w:val="20"/>
          <w:szCs w:val="20"/>
          <w:color w:val="auto"/>
        </w:rPr>
      </w:pPr>
      <w:r>
        <w:rPr>
          <w:rFonts w:ascii="Arial" w:cs="Arial" w:eastAsia="Arial" w:hAnsi="Arial"/>
          <w:sz w:val="18"/>
          <w:szCs w:val="18"/>
          <w:color w:val="auto"/>
        </w:rPr>
        <w:t>Sales and Marketing costs include mainly personnel-related expenses, sales commissions, direct marketing, events, public relations and allocated overhead. Overhead is allocated to sales and marketing based on applicable headcount.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General and administrative expenses primarily consist of personnel-related expenses, including share-based compensation expenses, associated primarily with our finance, legal, human resources and other operational and administrative functions, professional fees for external legal, accounting and other consulting services, and allocated overhead. We expect to increase the size of our general and administrative function to support the growth of our business, as a result, we expect the dollar amount of our general and administrative expenses to increase for the foreseeable future.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3"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Share-based compensation expense related to share awards is recognized based on the fair value of the awards granted. The fair value of each option award is estimated on the grant date using the Black-Scholes option pricing model. The Black-Scholes option pricing model requires the input of</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highly subjective assumptions, including the fair value of the underlying ordinary shares, the expected term of the option, the expected volatility of the price of the Company’s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 xml:space="preserve">The Company is subject to income taxes in Israel, the U.S., U.K and other foreign jurisdictions. These foreign jurisdictions may have different statutory rates than in Israel. Income taxes are accounted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The financial effect of changes in tax laws or rates is accounted for in the period of enactment. Valuation allowances are provided when necessary to reduce deferred tax assets to the amount expected to be realized.</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(including net interest and penalties),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Earnings (Loss) Per Share Attributable to Ordinary Shareholders</w:t>
      </w:r>
    </w:p>
    <w:p>
      <w:pPr>
        <w:spacing w:after="0" w:line="123"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The Company computes net earnings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ordinary shares, on a pro-rata basis assuming conversion of all convertible preferred shares into ordinary shares. These participating securities do not contractually require the holders of such shares to participate in the Company’s losses. During the periods when the Company was in a net loss position, the net loss attributable to common shareholders was not allocated to the convertible preferred shares under the two-class method as these securities do not have a contractual obligation to share in our losses. The Company’s basic net earnings (loss) per share is calculated by dividing net earnings (loss) attributable to ordinary shareholders by the weighted-average number of shares of ordinary shares outstanding for the period, without consideration of potentially dilutive securities.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diluted net earnings (loss) per share is calculated by giving effect to all potentially dilutive securities outstanding for the period using the treasury share method or the if-converted method based on the nature of such securities. During the periods when there is a net loss attributable to common shareholders, potentially dilutive common share equivalents have been excluded from the calculation of diluted net loss per share attributable to common shareholders as their effect is anti-dilutive.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The Company’s chief operating decision maker allocates resources and assesses performance based upon discrete financial information at the consolidated level.</w:t>
      </w:r>
    </w:p>
    <w:p>
      <w:pPr>
        <w:spacing w:after="0" w:line="202"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Revenue by geographical region can be found in the revenue recognition disclosures in Note 2 above. The following table presents the Company’s property and equipment, net of depreciation and amortization, by geographic region:</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8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88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gridSpan w:val="2"/>
          </w:tcPr>
          <w:p>
            <w:pPr>
              <w:jc w:val="center"/>
              <w:ind w:left="302"/>
              <w:spacing w:after="0" w:line="154"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8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Israel</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$359</w:t>
            </w:r>
          </w:p>
        </w:tc>
        <w:tc>
          <w:tcPr>
            <w:tcW w:w="112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$348</w:t>
            </w: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7"/>
                <w:szCs w:val="17"/>
                <w:color w:val="auto"/>
              </w:rPr>
            </w:pPr>
          </w:p>
        </w:tc>
      </w:tr>
      <w:tr>
        <w:trPr>
          <w:trHeight w:val="201"/>
        </w:trPr>
        <w:tc>
          <w:tcPr>
            <w:tcW w:w="8880" w:type="dxa"/>
            <w:vAlign w:val="bottom"/>
          </w:tcPr>
          <w:p>
            <w:pPr>
              <w:spacing w:after="0" w:line="201" w:lineRule="exact"/>
              <w:rPr>
                <w:sz w:val="20"/>
                <w:szCs w:val="20"/>
                <w:color w:val="auto"/>
              </w:rPr>
            </w:pPr>
            <w:r>
              <w:rPr>
                <w:rFonts w:ascii="Arial" w:cs="Arial" w:eastAsia="Arial" w:hAnsi="Arial"/>
                <w:sz w:val="18"/>
                <w:szCs w:val="18"/>
                <w:color w:val="auto"/>
              </w:rPr>
              <w:t>United Kingdom</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136</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149</w:t>
            </w:r>
          </w:p>
        </w:tc>
        <w:tc>
          <w:tcPr>
            <w:tcW w:w="60" w:type="dxa"/>
            <w:vAlign w:val="bottom"/>
          </w:tcPr>
          <w:p>
            <w:pPr>
              <w:spacing w:after="0"/>
              <w:rPr>
                <w:sz w:val="17"/>
                <w:szCs w:val="17"/>
                <w:color w:val="auto"/>
              </w:rPr>
            </w:pPr>
          </w:p>
        </w:tc>
      </w:tr>
      <w:tr>
        <w:trPr>
          <w:trHeight w:val="201"/>
        </w:trPr>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 of world</w:t>
            </w: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64</w:t>
            </w:r>
          </w:p>
        </w:tc>
      </w:tr>
      <w:tr>
        <w:trPr>
          <w:trHeight w:val="20"/>
        </w:trPr>
        <w:tc>
          <w:tcPr>
            <w:tcW w:w="8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88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404</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496</w:t>
            </w: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717</w:t>
            </w:r>
          </w:p>
        </w:tc>
        <w:tc>
          <w:tcPr>
            <w:tcW w:w="60" w:type="dxa"/>
            <w:vAlign w:val="bottom"/>
          </w:tcPr>
          <w:p>
            <w:pPr>
              <w:spacing w:after="0"/>
              <w:rPr>
                <w:sz w:val="18"/>
                <w:szCs w:val="18"/>
                <w:color w:val="auto"/>
              </w:rPr>
            </w:pPr>
          </w:p>
        </w:tc>
      </w:tr>
      <w:tr>
        <w:trPr>
          <w:trHeight w:val="20"/>
        </w:trPr>
        <w:tc>
          <w:tcPr>
            <w:tcW w:w="8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In the ordinary course of business, the Company may be subject from time to time to various proceedings, lawsuits, disputes, or claims.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Israeli Severance Pay</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The Company has elected to include its employees in Israel under Section 14 of the Severance Pay Law, under which these employees are entitled only to monthly deposits made in their name with insurance companies, at a rate of 8.33% of their monthly salary. These payments release the Company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2019 and 2020, the Company recorded $646 and $838, respectively, in severance expenses related to these employees.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3" w:lineRule="exact"/>
        <w:rPr>
          <w:sz w:val="20"/>
          <w:szCs w:val="20"/>
          <w:color w:val="auto"/>
        </w:rPr>
      </w:pPr>
    </w:p>
    <w:p>
      <w:pPr>
        <w:ind w:left="160" w:right="300" w:firstLine="546"/>
        <w:spacing w:after="0" w:line="236"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IPO. Upon consummation of the IPO, the deferred offering costs will be reclassified to shareholders’ (deficit) equity and recorded against the proceeds from the offering. In the event the offering is aborted, deferred offering costs will be expensed. As of December 31, 2020, the Company has capitalized $150.</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Warrants liabilities to preferred shares</w:t>
      </w:r>
    </w:p>
    <w:p>
      <w:pPr>
        <w:spacing w:after="0" w:line="12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Warrants to purchase the Company’s convertible preferred and common stock are classified as a liability on the balance sheet and measured at fair value. The Company measures the warrants at fair value by applying the Option Pricing Method (“OPM”) in each reporting period until they are exercised or expired, with changes in the fair value being recognized in the Company’s statement of operations as financial income or expense, as appropriate.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Funds receivable and payable to customers</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Funds receivable represent cash received or settled from end-customers via third-party payment service providers, which flows through a Company bank account for payment to the Company’s customers. This cash and related receivables represent the total amount due to the Company’s customers and as such, a liability for the same amount is recorded to funds payable to customers.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 June 2018, the FASB issued ASU 2018-07, “Compensation—Stock Compensation (Topic 718): Improvements to Nonemployee Share-Based Payment Accounting” (ASU 2018-07). ASU 2018-07 was issued to simplify several aspects of the accounting for nonemployee share-based payment transactions resulting from expanding the scope of Topic 718, “Compensation—Stock Compensation”, to include share -based payment transactions for acquiring goods and services from nonemployees. The amendments specify that Topic 718 applies to all share-based payment transactions in which a grantor acquires goods or services to be used or consumed in a grantor’s own operations by issuing share-based payment awards. The Company has adopted the standard at January 1, 2019, which did not have a material impact on the consolidated financial statements.</w:t>
      </w:r>
    </w:p>
    <w:p>
      <w:pPr>
        <w:spacing w:after="0" w:line="206"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February 2016, the FASB issued ASU 2016-02, Leases (Topic 842). This new standard introduced a number of changes, primarily the recognition of lease assets and lease liabilities by lessees for those leases classified as operating leases. The new standard retained the distinction between finance leases and operating leases and the classification criteria between the two types remains substantially similar. Also, lessor accounting remained largely unchanged from previous guidance.</w:t>
      </w:r>
    </w:p>
    <w:p>
      <w:pPr>
        <w:spacing w:after="0" w:line="202"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The standard requires a modified retrospective transition approach to recognize and measure leases at the initial application. The Company adopted the standard as of January 1, 2019, using a</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modified retrospective transition approach and elected to use the effective date as the date of initial application. The Company adopted the “package of practical expedients”, which permits it not to reassess under the new standard its prior conclusions about lease identification, lease classification and initial direct costs.</w:t>
      </w:r>
    </w:p>
    <w:p>
      <w:pPr>
        <w:spacing w:after="0" w:line="203"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The standard did not have a material impact on the Company’s consolidated balance sheets which resulted in the recognition of right of use (“ROU”) assets and lease liabilities of $793 and $803, respectively, on January 1, 2019. See note 6.</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new guidance was adopted by the Company on January 1, 2020 with no impact on its consolidated financial statements and related disclosures.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issued accounting standards, not yet adopted by the Company</w:t>
      </w:r>
    </w:p>
    <w:p>
      <w:pPr>
        <w:spacing w:after="0" w:line="123"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350 -40):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204"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6" w:right="5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Balance Sheet Components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3. Property and Equipment, Net</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Property and equipment, net consisted of the following:</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9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4"/>
        </w:trPr>
        <w:tc>
          <w:tcPr>
            <w:tcW w:w="9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13"/>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1"/>
        </w:trPr>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Computer and software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998</w:t>
            </w:r>
          </w:p>
        </w:tc>
      </w:tr>
      <w:tr>
        <w:trPr>
          <w:trHeight w:val="201"/>
        </w:trPr>
        <w:tc>
          <w:tcPr>
            <w:tcW w:w="9140" w:type="dxa"/>
            <w:vAlign w:val="bottom"/>
          </w:tcPr>
          <w:p>
            <w:pPr>
              <w:spacing w:after="0" w:line="201" w:lineRule="exact"/>
              <w:rPr>
                <w:sz w:val="20"/>
                <w:szCs w:val="20"/>
                <w:color w:val="auto"/>
              </w:rPr>
            </w:pPr>
            <w:r>
              <w:rPr>
                <w:rFonts w:ascii="Arial" w:cs="Arial" w:eastAsia="Arial" w:hAnsi="Arial"/>
                <w:sz w:val="18"/>
                <w:szCs w:val="18"/>
                <w:color w:val="auto"/>
              </w:rPr>
              <w:t>Furniture and office equipment</w:t>
            </w:r>
          </w:p>
        </w:tc>
        <w:tc>
          <w:tcPr>
            <w:tcW w:w="100" w:type="dxa"/>
            <w:vAlign w:val="bottom"/>
          </w:tcPr>
          <w:p>
            <w:pPr>
              <w:spacing w:after="0"/>
              <w:rPr>
                <w:sz w:val="17"/>
                <w:szCs w:val="17"/>
                <w:color w:val="auto"/>
              </w:rPr>
            </w:pP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140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162</w:t>
            </w:r>
          </w:p>
        </w:tc>
      </w:tr>
      <w:tr>
        <w:trPr>
          <w:trHeight w:val="201"/>
        </w:trPr>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263</w:t>
            </w:r>
          </w:p>
        </w:tc>
      </w:tr>
      <w:tr>
        <w:trPr>
          <w:trHeight w:val="20"/>
        </w:trPr>
        <w:tc>
          <w:tcPr>
            <w:tcW w:w="9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1,423</w:t>
            </w:r>
          </w:p>
        </w:tc>
      </w:tr>
      <w:tr>
        <w:trPr>
          <w:trHeight w:val="201"/>
        </w:trPr>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(545)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(706)</w:t>
            </w:r>
          </w:p>
        </w:tc>
      </w:tr>
      <w:tr>
        <w:trPr>
          <w:trHeight w:val="20"/>
        </w:trPr>
        <w:tc>
          <w:tcPr>
            <w:tcW w:w="9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Depreciation and amortization expense were $162, $171 and $235 for the years ended December 31, 2018, 2019 and 2020, respectively. During the year ended December 31, 2020, the Company wrote-off $74 of fully depreciated assets.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81"/>
        </w:trPr>
        <w:tc>
          <w:tcPr>
            <w:tcW w:w="9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76"/>
              <w:spacing w:after="0" w:line="181" w:lineRule="exact"/>
              <w:rPr>
                <w:sz w:val="20"/>
                <w:szCs w:val="20"/>
                <w:color w:val="auto"/>
              </w:rPr>
            </w:pPr>
            <w:r>
              <w:rPr>
                <w:rFonts w:ascii="Arial" w:cs="Arial" w:eastAsia="Arial" w:hAnsi="Arial"/>
                <w:sz w:val="16"/>
                <w:szCs w:val="16"/>
                <w:b w:val="1"/>
                <w:bCs w:val="1"/>
                <w:color w:val="auto"/>
              </w:rPr>
              <w:t>2019</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52"/>
              <w:spacing w:after="0" w:line="181"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r>
      <w:tr>
        <w:trPr>
          <w:trHeight w:val="154"/>
        </w:trPr>
        <w:tc>
          <w:tcPr>
            <w:tcW w:w="9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ind w:left="260"/>
              <w:spacing w:after="0" w:line="154"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1"/>
        </w:trPr>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1,455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3,769</w:t>
            </w:r>
          </w:p>
        </w:tc>
      </w:tr>
      <w:tr>
        <w:trPr>
          <w:trHeight w:val="201"/>
        </w:trPr>
        <w:tc>
          <w:tcPr>
            <w:tcW w:w="9180" w:type="dxa"/>
            <w:vAlign w:val="bottom"/>
          </w:tcPr>
          <w:p>
            <w:pPr>
              <w:spacing w:after="0" w:line="201" w:lineRule="exact"/>
              <w:rPr>
                <w:sz w:val="20"/>
                <w:szCs w:val="20"/>
                <w:color w:val="auto"/>
              </w:rPr>
            </w:pPr>
            <w:r>
              <w:rPr>
                <w:rFonts w:ascii="Arial" w:cs="Arial" w:eastAsia="Arial" w:hAnsi="Arial"/>
                <w:sz w:val="18"/>
                <w:szCs w:val="18"/>
                <w:color w:val="auto"/>
              </w:rPr>
              <w:t>Accrued indirect taxes and related liabilities</w:t>
            </w:r>
          </w:p>
        </w:tc>
        <w:tc>
          <w:tcPr>
            <w:tcW w:w="10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6,325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15,301</w:t>
            </w:r>
          </w:p>
        </w:tc>
      </w:tr>
      <w:tr>
        <w:trPr>
          <w:trHeight w:val="201"/>
        </w:trPr>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2,159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4,589</w:t>
            </w:r>
          </w:p>
        </w:tc>
      </w:tr>
      <w:tr>
        <w:trPr>
          <w:trHeight w:val="201"/>
        </w:trPr>
        <w:tc>
          <w:tcPr>
            <w:tcW w:w="9180" w:type="dxa"/>
            <w:vAlign w:val="bottom"/>
          </w:tcPr>
          <w:p>
            <w:pPr>
              <w:spacing w:after="0" w:line="201" w:lineRule="exact"/>
              <w:rPr>
                <w:sz w:val="20"/>
                <w:szCs w:val="20"/>
                <w:color w:val="auto"/>
              </w:rPr>
            </w:pPr>
            <w:r>
              <w:rPr>
                <w:rFonts w:ascii="Arial" w:cs="Arial" w:eastAsia="Arial" w:hAnsi="Arial"/>
                <w:sz w:val="18"/>
                <w:szCs w:val="18"/>
                <w:color w:val="auto"/>
              </w:rPr>
              <w:t>Advancements from customers</w:t>
            </w:r>
          </w:p>
        </w:tc>
        <w:tc>
          <w:tcPr>
            <w:tcW w:w="100" w:type="dxa"/>
            <w:vAlign w:val="bottom"/>
          </w:tcPr>
          <w:p>
            <w:pPr>
              <w:spacing w:after="0"/>
              <w:rPr>
                <w:sz w:val="17"/>
                <w:szCs w:val="17"/>
                <w:color w:val="auto"/>
              </w:rPr>
            </w:pPr>
          </w:p>
        </w:tc>
        <w:tc>
          <w:tcPr>
            <w:tcW w:w="9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4,417</w:t>
            </w:r>
          </w:p>
        </w:tc>
      </w:tr>
      <w:tr>
        <w:trPr>
          <w:trHeight w:val="201"/>
        </w:trPr>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1,356</w:t>
            </w:r>
          </w:p>
        </w:tc>
      </w:tr>
      <w:tr>
        <w:trPr>
          <w:trHeight w:val="20"/>
        </w:trPr>
        <w:tc>
          <w:tcPr>
            <w:tcW w:w="9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91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29,432</w:t>
            </w: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Convertible Preferred shares, shareholders’ Deficit and Equity incentive Plan</w:t>
      </w:r>
    </w:p>
    <w:p>
      <w:pPr>
        <w:spacing w:after="0" w:line="136" w:lineRule="exact"/>
        <w:rPr>
          <w:sz w:val="20"/>
          <w:szCs w:val="20"/>
          <w:color w:val="auto"/>
        </w:rPr>
      </w:pPr>
    </w:p>
    <w:p>
      <w:pPr>
        <w:ind w:left="1340" w:hanging="638"/>
        <w:spacing w:after="0"/>
        <w:tabs>
          <w:tab w:leader="none" w:pos="1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General:</w:t>
      </w:r>
    </w:p>
    <w:p>
      <w:pPr>
        <w:spacing w:after="0" w:line="101" w:lineRule="exact"/>
        <w:rPr>
          <w:sz w:val="20"/>
          <w:szCs w:val="20"/>
          <w:color w:val="auto"/>
        </w:rPr>
      </w:pPr>
    </w:p>
    <w:p>
      <w:pPr>
        <w:ind w:left="720" w:right="240"/>
        <w:spacing w:after="0" w:line="239" w:lineRule="auto"/>
        <w:rPr>
          <w:sz w:val="20"/>
          <w:szCs w:val="20"/>
          <w:color w:val="auto"/>
        </w:rPr>
      </w:pPr>
      <w:r>
        <w:rPr>
          <w:rFonts w:ascii="Arial" w:cs="Arial" w:eastAsia="Arial" w:hAnsi="Arial"/>
          <w:sz w:val="18"/>
          <w:szCs w:val="18"/>
          <w:color w:val="auto"/>
        </w:rPr>
        <w:t>The ordinary shares entitle their holders to receive notice to participate and vote in general meetings of the Company, the right to share in distributions upon liquidation of the Company, and to receive dividends, if declared.</w:t>
      </w:r>
    </w:p>
    <w:p>
      <w:pPr>
        <w:spacing w:after="0" w:line="96" w:lineRule="exact"/>
        <w:rPr>
          <w:sz w:val="20"/>
          <w:szCs w:val="20"/>
          <w:color w:val="auto"/>
        </w:rPr>
      </w:pPr>
    </w:p>
    <w:p>
      <w:pPr>
        <w:jc w:val="both"/>
        <w:ind w:left="720" w:right="80"/>
        <w:spacing w:after="0" w:line="237" w:lineRule="auto"/>
        <w:rPr>
          <w:sz w:val="20"/>
          <w:szCs w:val="20"/>
          <w:color w:val="auto"/>
        </w:rPr>
      </w:pPr>
      <w:r>
        <w:rPr>
          <w:rFonts w:ascii="Arial" w:cs="Arial" w:eastAsia="Arial" w:hAnsi="Arial"/>
          <w:sz w:val="18"/>
          <w:szCs w:val="18"/>
          <w:color w:val="auto"/>
        </w:rPr>
        <w:t>On March 21, 2021, the Company’s shareholders approved the change to the par value of the Company’s ordinary and convertible preferred shares share capital from NIS 0.01 par value to no par value. The change in par value has not yet been filed with and by the Israel Corporate Registrar, which filing is declarative in nature.</w:t>
      </w:r>
    </w:p>
    <w:p>
      <w:pPr>
        <w:spacing w:after="0" w:line="96"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On March 21, 2021, the Company’s shareholders approved a share split of the Company’s ordinary shares at a ratio of 1-to 600. As a result of the share split, (i) every one authorized, issued and outstanding ordinary share was increased to six hundred (600) authorized, issued and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right="60"/>
        <w:spacing w:after="0" w:line="235" w:lineRule="auto"/>
        <w:rPr>
          <w:sz w:val="20"/>
          <w:szCs w:val="20"/>
          <w:color w:val="auto"/>
        </w:rPr>
      </w:pPr>
      <w:r>
        <w:rPr>
          <w:rFonts w:ascii="Arial" w:cs="Arial" w:eastAsia="Arial" w:hAnsi="Arial"/>
          <w:sz w:val="18"/>
          <w:szCs w:val="18"/>
          <w:color w:val="auto"/>
        </w:rPr>
        <w:t>outstanding ordinary shares, (ii) the number of ordinary shares into which each outstanding option to purchase an ordinary share is exercisable was proportionally increased on a 1-to 600 basis, (iii) all share prices and exercise prices were proportionally decreased. All of the share numbers, share prices, and exercise prices have been adjusted within these consolidated financial statements, on a retroactive basis, to reflect this 1-to 600 share split, and (iv) the conversion ratio for the convertible preferred shares to ordinary shares was updated to a 1-to 600 basis.</w:t>
      </w:r>
    </w:p>
    <w:p>
      <w:pPr>
        <w:spacing w:after="0" w:line="97" w:lineRule="exact"/>
        <w:rPr>
          <w:sz w:val="20"/>
          <w:szCs w:val="20"/>
          <w:color w:val="auto"/>
        </w:rPr>
      </w:pPr>
    </w:p>
    <w:p>
      <w:pPr>
        <w:ind w:left="720" w:right="360"/>
        <w:spacing w:after="0" w:line="239" w:lineRule="auto"/>
        <w:rPr>
          <w:sz w:val="20"/>
          <w:szCs w:val="20"/>
          <w:color w:val="auto"/>
        </w:rPr>
      </w:pPr>
      <w:r>
        <w:rPr>
          <w:rFonts w:ascii="Arial" w:cs="Arial" w:eastAsia="Arial" w:hAnsi="Arial"/>
          <w:sz w:val="18"/>
          <w:szCs w:val="18"/>
          <w:color w:val="auto"/>
        </w:rPr>
        <w:t>All references to ordinary and convertible preferred shares amounts and per share amounts have been retroactively restated to reflect the change in par value as if it had taken place as of the beginning of the earliest period presented.</w:t>
      </w:r>
    </w:p>
    <w:p>
      <w:pPr>
        <w:spacing w:after="0" w:line="109" w:lineRule="exact"/>
        <w:rPr>
          <w:sz w:val="20"/>
          <w:szCs w:val="20"/>
          <w:color w:val="auto"/>
        </w:rPr>
      </w:pPr>
    </w:p>
    <w:p>
      <w:pPr>
        <w:ind w:left="1340" w:hanging="638"/>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 options plans:</w:t>
      </w:r>
    </w:p>
    <w:p>
      <w:pPr>
        <w:spacing w:after="0" w:line="208"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In 2013, the Company adopted the Global-e Online Ltd. 2013 Share Incentive Plan (“2013 Plan”), under which the Company may grant various forms of equity incentive compensation at the discretion of the board of directors, including share options. The awards have varying terms, but generally vest over four years. Share options expire 10 years after the date of grant. The Company issues new ordinary shares upon exercise of share options.</w:t>
      </w:r>
    </w:p>
    <w:p>
      <w:pPr>
        <w:spacing w:after="0" w:line="202"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In February 2019, the Company extended the contractual term for all share option grants from 7 years to 10 years. The Company concluded that the extension of the contractual term for all share option grants modified the terms of all outstanding share options held by employees and nonemployees.</w:t>
      </w:r>
    </w:p>
    <w:p>
      <w:pPr>
        <w:spacing w:after="0" w:line="203" w:lineRule="exact"/>
        <w:rPr>
          <w:sz w:val="20"/>
          <w:szCs w:val="20"/>
          <w:color w:val="auto"/>
        </w:rPr>
      </w:pPr>
    </w:p>
    <w:p>
      <w:pPr>
        <w:ind w:left="160" w:right="820" w:firstLine="546"/>
        <w:spacing w:after="0" w:line="239" w:lineRule="auto"/>
        <w:rPr>
          <w:sz w:val="20"/>
          <w:szCs w:val="20"/>
          <w:color w:val="auto"/>
        </w:rPr>
      </w:pPr>
      <w:r>
        <w:rPr>
          <w:rFonts w:ascii="Arial" w:cs="Arial" w:eastAsia="Arial" w:hAnsi="Arial"/>
          <w:sz w:val="18"/>
          <w:szCs w:val="18"/>
          <w:color w:val="auto"/>
        </w:rPr>
        <w:t>As of December 31, 2018, 2019 and 2020, the Company’s board of directors had authorized 10,606,800, 10,606,800 and 15,888,600 ordinary shares to be reserved for the grant of awards under the 2013 Plan, respectively.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summary of share option activity under the Company’s equity incentive plan and related information is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jc w:val="center"/>
              <w:ind w:right="141"/>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jc w:val="center"/>
              <w:ind w:right="141"/>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28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141"/>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528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Available for</w:t>
            </w:r>
          </w:p>
        </w:tc>
        <w:tc>
          <w:tcPr>
            <w:tcW w:w="24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108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Exercise</w:t>
            </w:r>
          </w:p>
        </w:tc>
        <w:tc>
          <w:tcPr>
            <w:tcW w:w="1060" w:type="dxa"/>
            <w:vAlign w:val="bottom"/>
          </w:tcPr>
          <w:p>
            <w:pPr>
              <w:jc w:val="right"/>
              <w:ind w:right="161"/>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52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 Options</w:t>
            </w:r>
          </w:p>
        </w:tc>
        <w:tc>
          <w:tcPr>
            <w:tcW w:w="260" w:type="dxa"/>
            <w:vAlign w:val="bottom"/>
          </w:tcPr>
          <w:p>
            <w:pPr>
              <w:spacing w:after="0"/>
              <w:rPr>
                <w:sz w:val="15"/>
                <w:szCs w:val="15"/>
                <w:color w:val="auto"/>
              </w:rPr>
            </w:pPr>
          </w:p>
        </w:tc>
        <w:tc>
          <w:tcPr>
            <w:tcW w:w="820" w:type="dxa"/>
            <w:vAlign w:val="bottom"/>
          </w:tcPr>
          <w:p>
            <w:pPr>
              <w:jc w:val="center"/>
              <w:ind w:right="293"/>
              <w:spacing w:after="0"/>
              <w:rPr>
                <w:sz w:val="20"/>
                <w:szCs w:val="20"/>
                <w:color w:val="auto"/>
              </w:rPr>
            </w:pPr>
            <w:r>
              <w:rPr>
                <w:rFonts w:ascii="Arial" w:cs="Arial" w:eastAsia="Arial" w:hAnsi="Arial"/>
                <w:sz w:val="14"/>
                <w:szCs w:val="14"/>
                <w:b w:val="1"/>
                <w:bCs w:val="1"/>
                <w:color w:val="auto"/>
              </w:rPr>
              <w:t>Price</w:t>
            </w:r>
          </w:p>
        </w:tc>
        <w:tc>
          <w:tcPr>
            <w:tcW w:w="1060" w:type="dxa"/>
            <w:vAlign w:val="bottom"/>
          </w:tcPr>
          <w:p>
            <w:pPr>
              <w:jc w:val="right"/>
              <w:ind w:right="181"/>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r>
      <w:tr>
        <w:trPr>
          <w:trHeight w:val="154"/>
        </w:trPr>
        <w:tc>
          <w:tcPr>
            <w:tcW w:w="5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60" w:type="dxa"/>
            <w:vAlign w:val="bottom"/>
            <w:tcBorders>
              <w:top w:val="single" w:sz="8" w:color="auto"/>
            </w:tcBorders>
            <w:gridSpan w:val="6"/>
          </w:tcPr>
          <w:p>
            <w:pPr>
              <w:jc w:val="right"/>
              <w:spacing w:after="0" w:line="154" w:lineRule="exact"/>
              <w:rPr>
                <w:sz w:val="20"/>
                <w:szCs w:val="20"/>
                <w:color w:val="auto"/>
              </w:rPr>
            </w:pPr>
            <w:r>
              <w:rPr>
                <w:rFonts w:ascii="Arial" w:cs="Arial" w:eastAsia="Arial" w:hAnsi="Arial"/>
                <w:sz w:val="14"/>
                <w:szCs w:val="14"/>
                <w:b w:val="1"/>
                <w:bCs w:val="1"/>
                <w:color w:val="auto"/>
              </w:rPr>
              <w:t>(in thousands, except share, life and per share data)</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2019</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1,452,000</w:t>
            </w:r>
          </w:p>
        </w:tc>
        <w:tc>
          <w:tcPr>
            <w:tcW w:w="142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9,154,800</w:t>
            </w: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0.71</w:t>
            </w:r>
          </w:p>
        </w:tc>
        <w:tc>
          <w:tcPr>
            <w:tcW w:w="1060" w:type="dxa"/>
            <w:vAlign w:val="bottom"/>
            <w:shd w:val="clear" w:color="auto" w:fill="CCEEFF"/>
          </w:tcPr>
          <w:p>
            <w:pPr>
              <w:jc w:val="right"/>
              <w:ind w:right="161"/>
              <w:spacing w:after="0" w:line="201" w:lineRule="exact"/>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548.54</w:t>
            </w:r>
          </w:p>
        </w:tc>
      </w:tr>
      <w:tr>
        <w:trPr>
          <w:trHeight w:val="20"/>
        </w:trPr>
        <w:tc>
          <w:tcPr>
            <w:tcW w:w="5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280" w:type="dxa"/>
            <w:vAlign w:val="bottom"/>
          </w:tcPr>
          <w:p>
            <w:pPr>
              <w:ind w:left="360"/>
              <w:spacing w:after="0"/>
              <w:rPr>
                <w:sz w:val="20"/>
                <w:szCs w:val="20"/>
                <w:color w:val="auto"/>
              </w:rPr>
            </w:pPr>
            <w:r>
              <w:rPr>
                <w:rFonts w:ascii="Arial" w:cs="Arial" w:eastAsia="Arial" w:hAnsi="Arial"/>
                <w:sz w:val="18"/>
                <w:szCs w:val="18"/>
                <w:color w:val="auto"/>
              </w:rPr>
              <w:t>Shares Authorized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5,281,800</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5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(5,473,800)</w:t>
            </w:r>
          </w:p>
        </w:tc>
        <w:tc>
          <w:tcPr>
            <w:tcW w:w="142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5,473,800</w:t>
            </w: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3.58</w:t>
            </w:r>
          </w:p>
        </w:tc>
        <w:tc>
          <w:tcPr>
            <w:tcW w:w="1060" w:type="dxa"/>
            <w:vAlign w:val="bottom"/>
            <w:shd w:val="clear" w:color="auto" w:fill="CCEEFF"/>
          </w:tcPr>
          <w:p>
            <w:pPr>
              <w:jc w:val="right"/>
              <w:ind w:right="161"/>
              <w:spacing w:after="0" w:line="201" w:lineRule="exact"/>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44,948.34</w:t>
            </w:r>
          </w:p>
        </w:tc>
      </w:tr>
      <w:tr>
        <w:trPr>
          <w:trHeight w:val="201"/>
        </w:trPr>
        <w:tc>
          <w:tcPr>
            <w:tcW w:w="5280" w:type="dxa"/>
            <w:vAlign w:val="bottom"/>
          </w:tcPr>
          <w:p>
            <w:pPr>
              <w:ind w:left="360"/>
              <w:spacing w:after="0" w:line="201" w:lineRule="exact"/>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2,040,600</w:t>
            </w:r>
          </w:p>
        </w:tc>
        <w:tc>
          <w:tcPr>
            <w:tcW w:w="142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(2,040,600)</w:t>
            </w:r>
          </w:p>
        </w:tc>
        <w:tc>
          <w:tcPr>
            <w:tcW w:w="260" w:type="dxa"/>
            <w:vAlign w:val="bottom"/>
          </w:tcPr>
          <w:p>
            <w:pPr>
              <w:ind w:left="1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3"/>
              <w:spacing w:after="0" w:line="201" w:lineRule="exact"/>
              <w:rPr>
                <w:sz w:val="20"/>
                <w:szCs w:val="20"/>
                <w:color w:val="auto"/>
              </w:rPr>
            </w:pPr>
            <w:r>
              <w:rPr>
                <w:rFonts w:ascii="Arial" w:cs="Arial" w:eastAsia="Arial" w:hAnsi="Arial"/>
                <w:sz w:val="18"/>
                <w:szCs w:val="18"/>
                <w:color w:val="auto"/>
              </w:rPr>
              <w:t>0.26</w:t>
            </w:r>
          </w:p>
        </w:tc>
        <w:tc>
          <w:tcPr>
            <w:tcW w:w="106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6,929.84</w:t>
            </w:r>
          </w:p>
        </w:tc>
        <w:tc>
          <w:tcPr>
            <w:tcW w:w="60" w:type="dxa"/>
            <w:vAlign w:val="bottom"/>
          </w:tcPr>
          <w:p>
            <w:pPr>
              <w:spacing w:after="0"/>
              <w:rPr>
                <w:sz w:val="17"/>
                <w:szCs w:val="17"/>
                <w:color w:val="auto"/>
              </w:rPr>
            </w:pPr>
          </w:p>
        </w:tc>
      </w:tr>
      <w:tr>
        <w:trPr>
          <w:trHeight w:val="201"/>
        </w:trPr>
        <w:tc>
          <w:tcPr>
            <w:tcW w:w="5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65,400</w:t>
            </w:r>
          </w:p>
        </w:tc>
        <w:tc>
          <w:tcPr>
            <w:tcW w:w="142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(65,400)</w:t>
            </w: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1.34</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5280" w:type="dxa"/>
            <w:vAlign w:val="bottom"/>
          </w:tcPr>
          <w:p>
            <w:pPr>
              <w:ind w:left="360"/>
              <w:spacing w:after="0"/>
              <w:rPr>
                <w:sz w:val="20"/>
                <w:szCs w:val="20"/>
                <w:color w:val="auto"/>
              </w:rPr>
            </w:pPr>
            <w:r>
              <w:rPr>
                <w:rFonts w:ascii="Arial" w:cs="Arial" w:eastAsia="Arial" w:hAnsi="Arial"/>
                <w:sz w:val="18"/>
                <w:szCs w:val="18"/>
                <w:color w:val="auto"/>
              </w:rPr>
              <w:t>Balance as of December 31, 2020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12,522,600</w:t>
            </w:r>
          </w:p>
        </w:tc>
        <w:tc>
          <w:tcPr>
            <w:tcW w:w="20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2.04</w:t>
            </w:r>
          </w:p>
        </w:tc>
        <w:tc>
          <w:tcPr>
            <w:tcW w:w="1060" w:type="dxa"/>
            <w:vAlign w:val="bottom"/>
          </w:tcPr>
          <w:p>
            <w:pPr>
              <w:jc w:val="right"/>
              <w:ind w:right="161"/>
              <w:spacing w:after="0"/>
              <w:rPr>
                <w:sz w:val="20"/>
                <w:szCs w:val="20"/>
                <w:color w:val="auto"/>
              </w:rPr>
            </w:pPr>
            <w:r>
              <w:rPr>
                <w:rFonts w:ascii="Arial" w:cs="Arial" w:eastAsia="Arial" w:hAnsi="Arial"/>
                <w:sz w:val="18"/>
                <w:szCs w:val="18"/>
                <w:color w:val="auto"/>
              </w:rPr>
              <w:t>7.83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122,449.00</w:t>
            </w:r>
          </w:p>
        </w:tc>
        <w:tc>
          <w:tcPr>
            <w:tcW w:w="60" w:type="dxa"/>
            <w:vAlign w:val="bottom"/>
          </w:tcPr>
          <w:p>
            <w:pPr>
              <w:spacing w:after="0"/>
              <w:rPr>
                <w:sz w:val="18"/>
                <w:szCs w:val="18"/>
                <w:color w:val="auto"/>
              </w:rPr>
            </w:pPr>
          </w:p>
        </w:tc>
      </w:tr>
      <w:tr>
        <w:trPr>
          <w:trHeight w:val="201"/>
        </w:trPr>
        <w:tc>
          <w:tcPr>
            <w:tcW w:w="5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Exercisable as of December 31, 2020</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5,035,200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0.68</w:t>
            </w:r>
          </w:p>
        </w:tc>
        <w:tc>
          <w:tcPr>
            <w:tcW w:w="1060" w:type="dxa"/>
            <w:vAlign w:val="bottom"/>
            <w:shd w:val="clear" w:color="auto" w:fill="CCEEFF"/>
          </w:tcPr>
          <w:p>
            <w:pPr>
              <w:jc w:val="right"/>
              <w:ind w:right="161"/>
              <w:spacing w:after="0" w:line="201" w:lineRule="exact"/>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56,084.01</w:t>
            </w:r>
          </w:p>
        </w:tc>
      </w:tr>
      <w:tr>
        <w:trPr>
          <w:trHeight w:val="20"/>
        </w:trPr>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2018, 2019 and 2020, was $0.16, $0.13 and $3.05, respectively. As of December 31,</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2020, unrecognized share-based compensation cost related to unvested share options was $15,281, which is expected to be recognized over a weighted-average period 2.94 years.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6660" w:type="dxa"/>
            <w:vAlign w:val="bottom"/>
          </w:tcPr>
          <w:p>
            <w:pPr>
              <w:spacing w:after="0"/>
              <w:rPr>
                <w:sz w:val="15"/>
                <w:szCs w:val="15"/>
                <w:color w:val="auto"/>
              </w:rPr>
            </w:pPr>
          </w:p>
        </w:tc>
        <w:tc>
          <w:tcPr>
            <w:tcW w:w="11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2018</w:t>
            </w:r>
          </w:p>
        </w:tc>
        <w:tc>
          <w:tcPr>
            <w:tcW w:w="1400" w:type="dxa"/>
            <w:vAlign w:val="bottom"/>
            <w:gridSpan w:val="2"/>
          </w:tcPr>
          <w:p>
            <w:pPr>
              <w:jc w:val="center"/>
              <w:ind w:left="156"/>
              <w:spacing w:after="0" w:line="181"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2020</w:t>
            </w:r>
          </w:p>
        </w:tc>
      </w:tr>
      <w:tr>
        <w:trPr>
          <w:trHeight w:val="194"/>
        </w:trPr>
        <w:tc>
          <w:tcPr>
            <w:tcW w:w="6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Expected term (years)</w:t>
            </w:r>
          </w:p>
        </w:tc>
        <w:tc>
          <w:tcPr>
            <w:tcW w:w="11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6"/>
              </w:rPr>
              <w:t>6.11</w:t>
            </w: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6"/>
              </w:rPr>
              <w:t>6.11</w:t>
            </w: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6"/>
              </w:rPr>
              <w:t>6.11</w:t>
            </w:r>
          </w:p>
        </w:tc>
      </w:tr>
      <w:tr>
        <w:trPr>
          <w:trHeight w:val="201"/>
        </w:trPr>
        <w:tc>
          <w:tcPr>
            <w:tcW w:w="6660" w:type="dxa"/>
            <w:vAlign w:val="bottom"/>
          </w:tcPr>
          <w:p>
            <w:pPr>
              <w:spacing w:after="0" w:line="201" w:lineRule="exact"/>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7"/>
              </w:rPr>
              <w:t>72.7%</w:t>
            </w:r>
          </w:p>
        </w:tc>
        <w:tc>
          <w:tcPr>
            <w:tcW w:w="1400" w:type="dxa"/>
            <w:vAlign w:val="bottom"/>
            <w:gridSpan w:val="2"/>
          </w:tcPr>
          <w:p>
            <w:pPr>
              <w:jc w:val="center"/>
              <w:ind w:left="136"/>
              <w:spacing w:after="0" w:line="201" w:lineRule="exact"/>
              <w:rPr>
                <w:sz w:val="20"/>
                <w:szCs w:val="20"/>
                <w:color w:val="auto"/>
              </w:rPr>
            </w:pPr>
            <w:r>
              <w:rPr>
                <w:rFonts w:ascii="Arial" w:cs="Arial" w:eastAsia="Arial" w:hAnsi="Arial"/>
                <w:sz w:val="18"/>
                <w:szCs w:val="18"/>
                <w:color w:val="auto"/>
                <w:w w:val="97"/>
              </w:rPr>
              <w:t>70.0%</w:t>
            </w: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70.0%</w:t>
            </w:r>
          </w:p>
        </w:tc>
      </w:tr>
      <w:tr>
        <w:trPr>
          <w:trHeight w:val="201"/>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2.6% - 3.0%</w:t>
            </w:r>
          </w:p>
        </w:tc>
        <w:tc>
          <w:tcPr>
            <w:tcW w:w="1400" w:type="dxa"/>
            <w:vAlign w:val="bottom"/>
            <w:gridSpan w:val="2"/>
            <w:shd w:val="clear" w:color="auto" w:fill="CCEEFF"/>
          </w:tcPr>
          <w:p>
            <w:pPr>
              <w:jc w:val="center"/>
              <w:ind w:left="136"/>
              <w:spacing w:after="0" w:line="201" w:lineRule="exact"/>
              <w:rPr>
                <w:sz w:val="20"/>
                <w:szCs w:val="20"/>
                <w:color w:val="auto"/>
              </w:rPr>
            </w:pPr>
            <w:r>
              <w:rPr>
                <w:rFonts w:ascii="Arial" w:cs="Arial" w:eastAsia="Arial" w:hAnsi="Arial"/>
                <w:sz w:val="18"/>
                <w:szCs w:val="18"/>
                <w:color w:val="auto"/>
                <w:w w:val="99"/>
              </w:rPr>
              <w:t>1.7% - 2.6%</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0.37% - 1.45%</w:t>
            </w:r>
          </w:p>
        </w:tc>
      </w:tr>
      <w:tr>
        <w:trPr>
          <w:trHeight w:val="213"/>
        </w:trPr>
        <w:tc>
          <w:tcPr>
            <w:tcW w:w="6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center"/>
              <w:ind w:left="156"/>
              <w:spacing w:after="0"/>
              <w:rPr>
                <w:sz w:val="20"/>
                <w:szCs w:val="20"/>
                <w:color w:val="auto"/>
              </w:rPr>
            </w:pPr>
            <w:r>
              <w:rPr>
                <w:rFonts w:ascii="Arial" w:cs="Arial" w:eastAsia="Arial" w:hAnsi="Arial"/>
                <w:sz w:val="18"/>
                <w:szCs w:val="18"/>
                <w:color w:val="auto"/>
                <w:w w:val="97"/>
              </w:rPr>
              <w:t>0.0%</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0.0%</w:t>
            </w:r>
          </w:p>
        </w:tc>
      </w:tr>
    </w:tbl>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92" w:lineRule="exact"/>
        <w:rPr>
          <w:sz w:val="20"/>
          <w:szCs w:val="20"/>
          <w:color w:val="auto"/>
        </w:rPr>
      </w:pPr>
    </w:p>
    <w:p>
      <w:pPr>
        <w:ind w:left="920" w:right="80" w:hanging="218"/>
        <w:spacing w:after="0" w:line="295" w:lineRule="auto"/>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Fair Value of Ordinary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Company’s ordinary shares are not publicly traded, the fair value was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board of directors, with input from management and valuation reports prepared by third-party valuation specialists.</w:t>
      </w:r>
    </w:p>
    <w:p>
      <w:pPr>
        <w:spacing w:after="0" w:line="41" w:lineRule="exact"/>
        <w:rPr>
          <w:rFonts w:ascii="Arial" w:cs="Arial" w:eastAsia="Arial" w:hAnsi="Arial"/>
          <w:sz w:val="17"/>
          <w:szCs w:val="17"/>
          <w:color w:val="auto"/>
        </w:rPr>
      </w:pPr>
    </w:p>
    <w:p>
      <w:pPr>
        <w:ind w:left="920" w:right="360" w:hanging="218"/>
        <w:spacing w:after="0" w:line="249" w:lineRule="auto"/>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risk-free rate for the expected term of the options is based on the Black-Scholes option-pricing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on the yields of U.S. Treasury securities with maturities appropriate for the expected term of employee share option awards.</w:t>
      </w:r>
    </w:p>
    <w:p>
      <w:pPr>
        <w:spacing w:after="0" w:line="77" w:lineRule="exact"/>
        <w:rPr>
          <w:rFonts w:ascii="Arial" w:cs="Arial" w:eastAsia="Arial" w:hAnsi="Arial"/>
          <w:sz w:val="18"/>
          <w:szCs w:val="18"/>
          <w:color w:val="auto"/>
        </w:rPr>
      </w:pPr>
    </w:p>
    <w:p>
      <w:pPr>
        <w:ind w:left="920" w:hanging="218"/>
        <w:spacing w:after="0" w:line="249" w:lineRule="auto"/>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The expected term represents the period that options are expected to be outstanding. For option grants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to be “plain vanilla,” the Company determines the expected term using the simplified method. The simplified method deems the term to be the average of the time-to-vesting and the contractual life of the options.</w:t>
      </w:r>
    </w:p>
    <w:p>
      <w:pPr>
        <w:spacing w:after="0" w:line="77" w:lineRule="exact"/>
        <w:rPr>
          <w:rFonts w:ascii="Arial" w:cs="Arial" w:eastAsia="Arial" w:hAnsi="Arial"/>
          <w:sz w:val="18"/>
          <w:szCs w:val="18"/>
          <w:color w:val="auto"/>
        </w:rPr>
      </w:pPr>
    </w:p>
    <w:p>
      <w:pPr>
        <w:ind w:left="920" w:right="160" w:hanging="218"/>
        <w:spacing w:after="0" w:line="249" w:lineRule="auto"/>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 Since the Company has no trading history of its ordinary shares, the expected volatility is derived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historical share volatilities of several unrelated public companies within the Company’s industry that the Company considers to be comparable to its own business over a period equivalent to the option’s expected term.</w:t>
      </w:r>
    </w:p>
    <w:p>
      <w:pPr>
        <w:spacing w:after="0" w:line="77" w:lineRule="exact"/>
        <w:rPr>
          <w:rFonts w:ascii="Arial" w:cs="Arial" w:eastAsia="Arial" w:hAnsi="Arial"/>
          <w:sz w:val="18"/>
          <w:szCs w:val="18"/>
          <w:color w:val="auto"/>
        </w:rPr>
      </w:pPr>
    </w:p>
    <w:p>
      <w:pPr>
        <w:ind w:left="920" w:right="380" w:hanging="218"/>
        <w:spacing w:after="0" w:line="265" w:lineRule="auto"/>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Expected Dividend Yield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never declared or paid any cash dividends and does not presently plan to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dividends in the foreseeable future. As a result, an expected dividend yield of zero percent was used.</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share-based compensation expense by line item in the accompanying consolidated statements of operations is summarized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44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44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6"/>
          </w:tcPr>
          <w:p>
            <w:pPr>
              <w:jc w:val="right"/>
              <w:ind w:right="120"/>
              <w:spacing w:after="0" w:line="154"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4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r>
      <w:tr>
        <w:trPr>
          <w:trHeight w:val="201"/>
        </w:trPr>
        <w:tc>
          <w:tcPr>
            <w:tcW w:w="4480" w:type="dxa"/>
            <w:vAlign w:val="bottom"/>
          </w:tcPr>
          <w:p>
            <w:pPr>
              <w:spacing w:after="0" w:line="201" w:lineRule="exact"/>
              <w:rPr>
                <w:sz w:val="20"/>
                <w:szCs w:val="20"/>
                <w:color w:val="auto"/>
              </w:rPr>
            </w:pPr>
            <w:r>
              <w:rPr>
                <w:rFonts w:ascii="Arial" w:cs="Arial" w:eastAsia="Arial" w:hAnsi="Arial"/>
                <w:sz w:val="18"/>
                <w:szCs w:val="18"/>
                <w:color w:val="auto"/>
              </w:rPr>
              <w:t>Research and development</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507</w:t>
            </w:r>
          </w:p>
        </w:tc>
        <w:tc>
          <w:tcPr>
            <w:tcW w:w="6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9"/>
              </w:rPr>
              <w:t>118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2,997</w:t>
            </w:r>
          </w:p>
        </w:tc>
      </w:tr>
      <w:tr>
        <w:trPr>
          <w:trHeight w:val="27"/>
        </w:trPr>
        <w:tc>
          <w:tcPr>
            <w:tcW w:w="44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4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share-based compensation expense</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4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3"/>
              </w:rPr>
              <w:t>219</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9"/>
              </w:rPr>
              <w:t>221</w:t>
            </w:r>
          </w:p>
        </w:tc>
        <w:tc>
          <w:tcPr>
            <w:tcW w:w="3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3,956</w:t>
            </w:r>
          </w:p>
        </w:tc>
      </w:tr>
      <w:tr>
        <w:trPr>
          <w:trHeight w:val="20"/>
        </w:trPr>
        <w:tc>
          <w:tcPr>
            <w:tcW w:w="4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4480" w:type="dxa"/>
            <w:vAlign w:val="bottom"/>
          </w:tcPr>
          <w:p>
            <w:pPr>
              <w:spacing w:after="0"/>
              <w:rPr>
                <w:sz w:val="24"/>
                <w:szCs w:val="24"/>
                <w:color w:val="auto"/>
              </w:rPr>
            </w:pPr>
          </w:p>
        </w:tc>
        <w:tc>
          <w:tcPr>
            <w:tcW w:w="4320" w:type="dxa"/>
            <w:vAlign w:val="bottom"/>
            <w:gridSpan w:val="2"/>
          </w:tcPr>
          <w:p>
            <w:pPr>
              <w:jc w:val="right"/>
              <w:ind w:right="3080"/>
              <w:spacing w:after="0"/>
              <w:rPr>
                <w:sz w:val="20"/>
                <w:szCs w:val="20"/>
                <w:color w:val="auto"/>
              </w:rPr>
            </w:pPr>
            <w:r>
              <w:rPr>
                <w:rFonts w:ascii="Arial" w:cs="Arial" w:eastAsia="Arial" w:hAnsi="Arial"/>
                <w:sz w:val="18"/>
                <w:szCs w:val="18"/>
                <w:color w:val="auto"/>
              </w:rPr>
              <w:t>F-23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 Convertible Preferred Shares</w:t>
      </w:r>
    </w:p>
    <w:p>
      <w:pPr>
        <w:spacing w:after="0" w:line="119" w:lineRule="exact"/>
        <w:rPr>
          <w:sz w:val="20"/>
          <w:szCs w:val="20"/>
          <w:color w:val="auto"/>
        </w:rPr>
      </w:pPr>
    </w:p>
    <w:p>
      <w:pPr>
        <w:ind w:left="160" w:right="640" w:firstLine="546"/>
        <w:spacing w:after="0" w:line="239" w:lineRule="auto"/>
        <w:rPr>
          <w:sz w:val="20"/>
          <w:szCs w:val="20"/>
          <w:color w:val="auto"/>
        </w:rPr>
      </w:pPr>
      <w:r>
        <w:rPr>
          <w:rFonts w:ascii="Arial" w:cs="Arial" w:eastAsia="Arial" w:hAnsi="Arial"/>
          <w:sz w:val="18"/>
          <w:szCs w:val="18"/>
          <w:color w:val="auto"/>
        </w:rPr>
        <w:t>In April 2020, the Company issued 23,706 shares of Series E convertible preferred shares (“Series E Preferred Shares”) for $2,498.65 per share for total gross proceeds of $59,294. Issuance costs were $473.</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Convertible preferred shares at December 31, 2019 consisted of the following:</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Designated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40"/>
              <w:spacing w:after="0" w:line="141" w:lineRule="exact"/>
              <w:rPr>
                <w:sz w:val="20"/>
                <w:szCs w:val="20"/>
                <w:color w:val="auto"/>
              </w:rPr>
            </w:pPr>
            <w:r>
              <w:rPr>
                <w:rFonts w:ascii="Arial" w:cs="Arial" w:eastAsia="Arial" w:hAnsi="Arial"/>
                <w:sz w:val="14"/>
                <w:szCs w:val="14"/>
                <w:b w:val="1"/>
                <w:bCs w:val="1"/>
                <w:color w:val="auto"/>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Issued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Preference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tcBorders>
              <w:top w:val="single" w:sz="8" w:color="auto"/>
            </w:tcBorders>
            <w:gridSpan w:val="13"/>
          </w:tcPr>
          <w:p>
            <w:pPr>
              <w:jc w:val="center"/>
              <w:ind w:right="20"/>
              <w:spacing w:after="0" w:line="154" w:lineRule="exact"/>
              <w:rPr>
                <w:sz w:val="20"/>
                <w:szCs w:val="20"/>
                <w:color w:val="auto"/>
              </w:rPr>
            </w:pPr>
            <w:r>
              <w:rPr>
                <w:rFonts w:ascii="Arial" w:cs="Arial" w:eastAsia="Arial" w:hAnsi="Arial"/>
                <w:sz w:val="14"/>
                <w:szCs w:val="14"/>
                <w:b w:val="1"/>
                <w:bCs w:val="1"/>
                <w:color w:val="auto"/>
              </w:rPr>
              <w:t>(in thousands, except share data)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w:t>
            </w:r>
          </w:p>
        </w:tc>
        <w:tc>
          <w:tcPr>
            <w:tcW w:w="92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19,298</w:t>
            </w:r>
          </w:p>
        </w:tc>
        <w:tc>
          <w:tcPr>
            <w:tcW w:w="1440" w:type="dxa"/>
            <w:vAlign w:val="bottom"/>
            <w:gridSpan w:val="5"/>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19,298</w:t>
            </w:r>
          </w:p>
        </w:tc>
        <w:tc>
          <w:tcPr>
            <w:tcW w:w="2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A-1</w:t>
            </w:r>
          </w:p>
        </w:tc>
        <w:tc>
          <w:tcPr>
            <w:tcW w:w="9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20,364</w:t>
            </w:r>
          </w:p>
        </w:tc>
        <w:tc>
          <w:tcPr>
            <w:tcW w:w="1440" w:type="dxa"/>
            <w:vAlign w:val="bottom"/>
            <w:gridSpan w:val="5"/>
          </w:tcPr>
          <w:p>
            <w:pPr>
              <w:jc w:val="right"/>
              <w:ind w:right="280"/>
              <w:spacing w:after="0" w:line="201" w:lineRule="exact"/>
              <w:rPr>
                <w:sz w:val="20"/>
                <w:szCs w:val="20"/>
                <w:color w:val="auto"/>
              </w:rPr>
            </w:pPr>
            <w:r>
              <w:rPr>
                <w:rFonts w:ascii="Arial" w:cs="Arial" w:eastAsia="Arial" w:hAnsi="Arial"/>
                <w:sz w:val="18"/>
                <w:szCs w:val="18"/>
                <w:color w:val="auto"/>
              </w:rPr>
              <w:t>20,364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92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37,361</w:t>
            </w:r>
          </w:p>
        </w:tc>
        <w:tc>
          <w:tcPr>
            <w:tcW w:w="1440" w:type="dxa"/>
            <w:vAlign w:val="bottom"/>
            <w:gridSpan w:val="5"/>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37,361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B-2</w:t>
            </w:r>
          </w:p>
        </w:tc>
        <w:tc>
          <w:tcPr>
            <w:tcW w:w="9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17,792</w:t>
            </w:r>
          </w:p>
        </w:tc>
        <w:tc>
          <w:tcPr>
            <w:tcW w:w="1440" w:type="dxa"/>
            <w:vAlign w:val="bottom"/>
            <w:gridSpan w:val="5"/>
          </w:tcPr>
          <w:p>
            <w:pPr>
              <w:jc w:val="right"/>
              <w:ind w:right="280"/>
              <w:spacing w:after="0" w:line="201" w:lineRule="exact"/>
              <w:rPr>
                <w:sz w:val="20"/>
                <w:szCs w:val="20"/>
                <w:color w:val="auto"/>
              </w:rPr>
            </w:pPr>
            <w:r>
              <w:rPr>
                <w:rFonts w:ascii="Arial" w:cs="Arial" w:eastAsia="Arial" w:hAnsi="Arial"/>
                <w:sz w:val="18"/>
                <w:szCs w:val="18"/>
                <w:color w:val="auto"/>
              </w:rPr>
              <w:t>17,792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92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15,822</w:t>
            </w:r>
          </w:p>
        </w:tc>
        <w:tc>
          <w:tcPr>
            <w:tcW w:w="1440" w:type="dxa"/>
            <w:vAlign w:val="bottom"/>
            <w:gridSpan w:val="5"/>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15,822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D-1</w:t>
            </w: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27,758</w:t>
            </w:r>
          </w:p>
        </w:tc>
        <w:tc>
          <w:tcPr>
            <w:tcW w:w="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4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27,758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convertible preferred shares</w:t>
            </w:r>
          </w:p>
        </w:tc>
        <w:tc>
          <w:tcPr>
            <w:tcW w:w="92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138,395</w:t>
            </w:r>
          </w:p>
        </w:tc>
        <w:tc>
          <w:tcPr>
            <w:tcW w:w="1440" w:type="dxa"/>
            <w:vAlign w:val="bottom"/>
            <w:gridSpan w:val="5"/>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138,395</w:t>
            </w:r>
          </w:p>
        </w:tc>
        <w:tc>
          <w:tcPr>
            <w:tcW w:w="2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53,982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540"/>
              <w:spacing w:after="0"/>
              <w:rPr>
                <w:sz w:val="20"/>
                <w:szCs w:val="20"/>
                <w:color w:val="auto"/>
              </w:rPr>
            </w:pPr>
            <w:r>
              <w:rPr>
                <w:rFonts w:ascii="Arial" w:cs="Arial" w:eastAsia="Arial" w:hAnsi="Arial"/>
                <w:sz w:val="18"/>
                <w:szCs w:val="18"/>
                <w:color w:val="auto"/>
              </w:rPr>
              <w:t>Convertible preferred shares at December 31, 2020 consisted of the following:</w:t>
            </w: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920" w:type="dxa"/>
            <w:vAlign w:val="bottom"/>
            <w:gridSpan w:val="4"/>
          </w:tcPr>
          <w:p>
            <w:pPr>
              <w:jc w:val="center"/>
              <w:ind w:right="140"/>
              <w:spacing w:after="0" w:line="141" w:lineRule="exact"/>
              <w:rPr>
                <w:sz w:val="20"/>
                <w:szCs w:val="20"/>
                <w:color w:val="auto"/>
              </w:rPr>
            </w:pPr>
            <w:r>
              <w:rPr>
                <w:rFonts w:ascii="Arial" w:cs="Arial" w:eastAsia="Arial" w:hAnsi="Arial"/>
                <w:sz w:val="14"/>
                <w:szCs w:val="14"/>
                <w:b w:val="1"/>
                <w:bCs w:val="1"/>
                <w:color w:val="auto"/>
              </w:rPr>
              <w:t>Designated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Aggregate</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Issued and</w:t>
            </w:r>
          </w:p>
        </w:tc>
        <w:tc>
          <w:tcPr>
            <w:tcW w:w="60" w:type="dxa"/>
            <w:vAlign w:val="bottom"/>
          </w:tcPr>
          <w:p>
            <w:pPr>
              <w:spacing w:after="0"/>
              <w:rPr>
                <w:sz w:val="13"/>
                <w:szCs w:val="13"/>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5"/>
                <w:szCs w:val="15"/>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5"/>
                <w:szCs w:val="15"/>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12"/>
          </w:tcPr>
          <w:p>
            <w:pPr>
              <w:jc w:val="center"/>
              <w:ind w:right="11"/>
              <w:spacing w:after="0" w:line="154" w:lineRule="exact"/>
              <w:rPr>
                <w:sz w:val="20"/>
                <w:szCs w:val="20"/>
                <w:color w:val="auto"/>
              </w:rPr>
            </w:pPr>
            <w:r>
              <w:rPr>
                <w:rFonts w:ascii="Arial" w:cs="Arial" w:eastAsia="Arial" w:hAnsi="Arial"/>
                <w:sz w:val="14"/>
                <w:szCs w:val="14"/>
                <w:b w:val="1"/>
                <w:bCs w:val="1"/>
                <w:color w:val="auto"/>
              </w:rPr>
              <w:t>(in thousands, except share data)</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w:t>
            </w:r>
          </w:p>
        </w:tc>
        <w:tc>
          <w:tcPr>
            <w:tcW w:w="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19,298</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19,298</w:t>
            </w:r>
          </w:p>
        </w:tc>
        <w:tc>
          <w:tcPr>
            <w:tcW w:w="2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9"/>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2,050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A-1</w:t>
            </w:r>
          </w:p>
        </w:tc>
        <w:tc>
          <w:tcPr>
            <w:tcW w:w="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20,364</w:t>
            </w:r>
          </w:p>
        </w:tc>
        <w:tc>
          <w:tcPr>
            <w:tcW w:w="60" w:type="dxa"/>
            <w:vAlign w:val="bottom"/>
          </w:tcPr>
          <w:p>
            <w:pPr>
              <w:spacing w:after="0"/>
              <w:rPr>
                <w:sz w:val="17"/>
                <w:szCs w:val="17"/>
                <w:color w:val="auto"/>
              </w:rPr>
            </w:pPr>
          </w:p>
        </w:tc>
        <w:tc>
          <w:tcPr>
            <w:tcW w:w="116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20,364</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37,361</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37,361</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B-2</w:t>
            </w:r>
          </w:p>
        </w:tc>
        <w:tc>
          <w:tcPr>
            <w:tcW w:w="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17,792</w:t>
            </w:r>
          </w:p>
        </w:tc>
        <w:tc>
          <w:tcPr>
            <w:tcW w:w="60" w:type="dxa"/>
            <w:vAlign w:val="bottom"/>
          </w:tcPr>
          <w:p>
            <w:pPr>
              <w:spacing w:after="0"/>
              <w:rPr>
                <w:sz w:val="17"/>
                <w:szCs w:val="17"/>
                <w:color w:val="auto"/>
              </w:rPr>
            </w:pPr>
          </w:p>
        </w:tc>
        <w:tc>
          <w:tcPr>
            <w:tcW w:w="116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17,792</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15,822</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15,822</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8,432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rPr>
              <w:t>Series D-1</w:t>
            </w:r>
          </w:p>
        </w:tc>
        <w:tc>
          <w:tcPr>
            <w:tcW w:w="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27,758</w:t>
            </w:r>
          </w:p>
        </w:tc>
        <w:tc>
          <w:tcPr>
            <w:tcW w:w="60" w:type="dxa"/>
            <w:vAlign w:val="bottom"/>
          </w:tcPr>
          <w:p>
            <w:pPr>
              <w:spacing w:after="0"/>
              <w:rPr>
                <w:sz w:val="17"/>
                <w:szCs w:val="17"/>
                <w:color w:val="auto"/>
              </w:rPr>
            </w:pPr>
          </w:p>
        </w:tc>
        <w:tc>
          <w:tcPr>
            <w:tcW w:w="116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27,758</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w:t>
            </w:r>
          </w:p>
        </w:tc>
        <w:tc>
          <w:tcPr>
            <w:tcW w:w="80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23,706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23,706</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59,294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40" w:type="dxa"/>
            <w:vAlign w:val="bottom"/>
            <w:gridSpan w:val="2"/>
          </w:tcPr>
          <w:p>
            <w:pPr>
              <w:spacing w:after="0"/>
              <w:rPr>
                <w:sz w:val="20"/>
                <w:szCs w:val="20"/>
                <w:color w:val="auto"/>
              </w:rPr>
            </w:pPr>
            <w:r>
              <w:rPr>
                <w:rFonts w:ascii="Arial" w:cs="Arial" w:eastAsia="Arial" w:hAnsi="Arial"/>
                <w:sz w:val="18"/>
                <w:szCs w:val="18"/>
                <w:color w:val="auto"/>
              </w:rPr>
              <w:t>Total convertible preferred shares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162,101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162,101</w:t>
            </w:r>
          </w:p>
        </w:tc>
        <w:tc>
          <w:tcPr>
            <w:tcW w:w="28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$ 113,276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holders of the convertible preferred shares have the following rights, preferences and privileges:</w:t>
      </w:r>
    </w:p>
    <w:p>
      <w:pPr>
        <w:spacing w:after="0" w:line="101" w:lineRule="exact"/>
        <w:rPr>
          <w:sz w:val="20"/>
          <w:szCs w:val="20"/>
          <w:color w:val="auto"/>
        </w:rPr>
      </w:pPr>
    </w:p>
    <w:p>
      <w:pPr>
        <w:jc w:val="both"/>
        <w:ind w:left="720" w:right="40"/>
        <w:spacing w:after="0" w:line="237" w:lineRule="auto"/>
        <w:rPr>
          <w:sz w:val="20"/>
          <w:szCs w:val="20"/>
          <w:color w:val="auto"/>
        </w:rPr>
      </w:pPr>
      <w:r>
        <w:rPr>
          <w:rFonts w:ascii="Arial" w:cs="Arial" w:eastAsia="Arial" w:hAnsi="Arial"/>
          <w:sz w:val="18"/>
          <w:szCs w:val="18"/>
          <w:color w:val="auto"/>
        </w:rPr>
        <w:t>Dividend and liquidation participation right—in the event of any distribution of proceeds or assets, whether voluntary or involuntary, by way of distribution of dividend or other participation right (“Liquidation Event”), the distribution of such assets or dividend shall be made according to the following provisions, order and preference.</w:t>
      </w:r>
    </w:p>
    <w:p>
      <w:pPr>
        <w:spacing w:after="0" w:line="96" w:lineRule="exact"/>
        <w:rPr>
          <w:sz w:val="20"/>
          <w:szCs w:val="20"/>
          <w:color w:val="auto"/>
        </w:rPr>
      </w:pPr>
    </w:p>
    <w:p>
      <w:pPr>
        <w:ind w:left="720" w:right="220"/>
        <w:spacing w:after="0" w:line="237" w:lineRule="auto"/>
        <w:rPr>
          <w:sz w:val="20"/>
          <w:szCs w:val="20"/>
          <w:color w:val="auto"/>
        </w:rPr>
      </w:pPr>
      <w:r>
        <w:rPr>
          <w:rFonts w:ascii="Arial" w:cs="Arial" w:eastAsia="Arial" w:hAnsi="Arial"/>
          <w:sz w:val="18"/>
          <w:szCs w:val="18"/>
          <w:color w:val="auto"/>
        </w:rPr>
        <w:t>Subject to the provisions, order and preference explained below, the profits of the Company shall be distributable to the shareholders of the Company according to the proportion of the par value of the shares held by them at the date so appointed by the Company, without regard to the premium paid in excess of the nominal value.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6"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right="40"/>
        <w:spacing w:after="0" w:line="246" w:lineRule="auto"/>
        <w:rPr>
          <w:sz w:val="20"/>
          <w:szCs w:val="20"/>
          <w:color w:val="auto"/>
        </w:rPr>
      </w:pPr>
      <w:r>
        <w:rPr>
          <w:rFonts w:ascii="Arial" w:cs="Arial" w:eastAsia="Arial" w:hAnsi="Arial"/>
          <w:sz w:val="17"/>
          <w:szCs w:val="17"/>
          <w:color w:val="auto"/>
        </w:rPr>
        <w:t>In connection with any Liquidation Event or distribution of any dividends or assets, the proceeds will be distributed as follows: the holders of Series E Preferred Shares receive the greater of: (A) if the Liquidation Event occurs within three (3) years after the issue date of the Series E Preferred Shares (the “Series E Closing”, which took place on April 30, 2020), one and five tenths times</w:t>
      </w:r>
    </w:p>
    <w:p>
      <w:pPr>
        <w:spacing w:after="0" w:line="1" w:lineRule="exact"/>
        <w:rPr>
          <w:sz w:val="20"/>
          <w:szCs w:val="20"/>
          <w:color w:val="auto"/>
        </w:rPr>
      </w:pPr>
    </w:p>
    <w:p>
      <w:pPr>
        <w:ind w:left="720"/>
        <w:spacing w:after="0" w:line="233" w:lineRule="auto"/>
        <w:rPr>
          <w:sz w:val="20"/>
          <w:szCs w:val="20"/>
          <w:color w:val="auto"/>
        </w:rPr>
      </w:pPr>
      <w:r>
        <w:rPr>
          <w:rFonts w:ascii="Arial" w:cs="Arial" w:eastAsia="Arial" w:hAnsi="Arial"/>
          <w:sz w:val="18"/>
          <w:szCs w:val="18"/>
          <w:color w:val="auto"/>
        </w:rPr>
        <w:t>(1.50x) the original issue price of the Series E convertible preferred shares (“Original Series E Issue Price”), plus any dividends declared but unpaid thereon, less any amount previously paid as dividends or otherwise in preference on such shares, and (B) if the Liquidation Event occurs after the lapse of three (3) years after the Series E Closing, one and three tenths times (1.30x) the Original Series E Issue Price plus any dividends declared but unpaid thereon, less any amount previously paid as dividends or otherwise in preference on such shares and (ii) such amount per share as would have been payable had all the shares of Series E Preferred Shares been converted into ordinary shares immediately prior to such Liquidation Event; thereafter, holders of Series D-1 Preferred Shares get a 1.25X preference; thereafter, holders of Series C convertible preferred shares (“Series C Preferred Shares”), Series B-1 convertible shares (“Series B-1 Preferred Shares”) and Series B-2 convertible preferred shares (“Series B-2 Preferred Shares”) (together), Series A-1 convertible preferred shares (“Series A-1 Preferred Shares”) and Series A convertible preferred shares (“Series A Preferred Shares”) (in such order) get a 1X preference (in each case calculated based on the original issue price of such convertible preferred shares and plus any dividends declared but unpaid thereon, less any amount previously paid as dividends or otherwise in preference on such shares); and thereafter all preferred shares and ordinary shares get the residual on a pro rata basis, subject to a 2.25X cap for the Series D-1 Preferred Shares, a 2X cap for the Series C Preferred Shares, a 2.4X cap for the Series B-1 Preferred Shares and the Series B-2 Preferred Shares and a 3X cap for the Series A Preferred Shares and the Series A-1 Preferred Shares; in each case where the foregoing caps are met, the holders of such preferred shares will be entitled to receive the greater of (a) such cap less amounts previously paid in preference on such shares and (b) such amount per share as would have been payable had all shares of such class been converted into ordinary shares. Notwithstanding the foregoing, if the Company issues preferred shares that are senior to the Series D-1 Preferred Shares and, upon a Liquidation Event, the Series D-1 Preferred Shares would have received (not accounting for the issuance of such senior preferred shares) an amount that is (i) less than 2.25X and (ii) more than the amount they would have received giving effect to the more senior preferred, then the holders of Series D-1 Preferred Shares will get, prior to the more senior preferred shares, an amount equal to the excess of the preceding clause (ii) relative to clause (i), provided that in any event the amount paid to the Series D-1 Preferred Shares will be subject to a 2.25X cap.</w:t>
      </w:r>
    </w:p>
    <w:p>
      <w:pPr>
        <w:spacing w:after="0" w:line="99" w:lineRule="exact"/>
        <w:rPr>
          <w:sz w:val="20"/>
          <w:szCs w:val="20"/>
          <w:color w:val="auto"/>
        </w:rPr>
      </w:pPr>
    </w:p>
    <w:p>
      <w:pPr>
        <w:ind w:left="720" w:right="360"/>
        <w:spacing w:after="0" w:line="246" w:lineRule="auto"/>
        <w:rPr>
          <w:sz w:val="20"/>
          <w:szCs w:val="20"/>
          <w:color w:val="auto"/>
        </w:rPr>
      </w:pPr>
      <w:r>
        <w:rPr>
          <w:rFonts w:ascii="Arial" w:cs="Arial" w:eastAsia="Arial" w:hAnsi="Arial"/>
          <w:sz w:val="17"/>
          <w:szCs w:val="17"/>
          <w:color w:val="auto"/>
        </w:rPr>
        <w:t>Conversion rights and automatic conversion—Each preferred share shall automatically be converted into Ordinary Shares in accordance with the then applicable conversion ratio (with the Conversion Ratio in connection with the IPO being 600 Ordinary Shares for 1 Preferred Share) upon the earlier of: (i) the consummation of a qualifying IPO (“QIPO”), provided, however, that</w:t>
      </w:r>
    </w:p>
    <w:p>
      <w:pPr>
        <w:spacing w:after="0" w:line="1" w:lineRule="exact"/>
        <w:rPr>
          <w:sz w:val="20"/>
          <w:szCs w:val="20"/>
          <w:color w:val="auto"/>
        </w:rPr>
      </w:pPr>
    </w:p>
    <w:p>
      <w:pPr>
        <w:ind w:left="720" w:hanging="7"/>
        <w:spacing w:after="0" w:line="234" w:lineRule="auto"/>
        <w:tabs>
          <w:tab w:leader="none" w:pos="10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(x) if the QIPO occurs within three (3) years after the Series E Closing and the price per share in the QIPO is less than one and five tenths times (1.50x) the Original Series E Issue Price, then the conversion price of the Series E Preferred Shares shall be adjusted, upon the closing of such QIPO, such that each Series E Preferred Share shall be converted into such number of Ordinary Shares equal to a fraction, the numerator of which is a number equal to one and five tenths times (1.50x) the Original Series E Issue Price, and the denominator of which is the price per Ordinary Share at which the Company’s Ordinary Shares are offered to the public in the QIPO, and (y) if the QIPO occurs after the lapse of three (3) years after the Series E Closing and the price per share in the QIPO is less than one and three tenths times (1.30x) the Original Series E Issue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40"/>
          </w:cols>
          <w:pgMar w:left="320" w:top="456"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spacing w:after="0" w:line="247" w:lineRule="auto"/>
        <w:rPr>
          <w:sz w:val="20"/>
          <w:szCs w:val="20"/>
          <w:color w:val="auto"/>
        </w:rPr>
      </w:pPr>
      <w:r>
        <w:rPr>
          <w:rFonts w:ascii="Arial" w:cs="Arial" w:eastAsia="Arial" w:hAnsi="Arial"/>
          <w:sz w:val="17"/>
          <w:szCs w:val="17"/>
          <w:color w:val="auto"/>
        </w:rPr>
        <w:t>Price, then the conversion price of the Series E Preferred Shares shall be adjusted, upon the closing of such QIPO, such that each Series E Preferred Share shall be converted into such number of Ordinary Shares equal to a fraction, the numerator of which is a number equal to one and three tenths times (1.30x) the Original Series E Issue Price, and the denominator of which is the price per Ordinary Share at which the Company’s Ordinary Shares are offered to the public in the QIPO, and (B) if the price per share in the QIPO is less than two and twenty-five one-hundredths times (2.25x) the original issue price of the Series) D-1 Preferred Shares (“Original Series D-1 Issue Price”), then the conversion price shall be adjusted, upon the closing of such QIPO, such that each Series D-1 Preferred Share, shall be converted into a number of Ordinary Shares equal to a fraction, the numerator of which is a number equal to two and twenty-five one-hundredths times (2.25x) the Original Series D-1 Issue Price, and the denominator of which is the price per Ordinary Share at which the Company’s Ordinary Shares are offered to the public in the QIPO; (ii) with respect to the Series C Preferred Shares, Series B-1 Preferred Shares, Series B-2 Preferred Shares, Series A-1 Preferred Shares, and Series A Preferred Shares (collectively, the “Preferred C/B-1/B-2/A-1/A Shares”), the affirmative vote or written consent of the holders of at least 70% of the then outstanding Preferred C/B-1/B-2/A-1/A Shares, on an as converted basis, voting as a single class; (iii) with respect to the Series E Preferred Shares, the affirmative vote or written consent of the Preferred E Majority; (iv) with respect to the Series D-1 Preferred Shares, the affirmative vote or written consent of the holders of a majority of the then outstanding Series D-1 Preferred Shares; or (v) with respect to all Preferred Shares, the affirmative vote or written consent of the super majority voting rights—Each holder of convertible preferred shares is entitled to the number of votes equal to the number of ordinary shares into which such shares of convertible preferred shares could be converted at the record date.</w:t>
      </w:r>
    </w:p>
    <w:p>
      <w:pPr>
        <w:spacing w:after="0" w:line="97" w:lineRule="exact"/>
        <w:rPr>
          <w:sz w:val="20"/>
          <w:szCs w:val="20"/>
          <w:color w:val="auto"/>
        </w:rPr>
      </w:pPr>
    </w:p>
    <w:p>
      <w:pPr>
        <w:ind w:left="720" w:right="40"/>
        <w:spacing w:after="0" w:line="247" w:lineRule="auto"/>
        <w:rPr>
          <w:sz w:val="20"/>
          <w:szCs w:val="20"/>
          <w:color w:val="auto"/>
        </w:rPr>
      </w:pPr>
      <w:r>
        <w:rPr>
          <w:rFonts w:ascii="Arial" w:cs="Arial" w:eastAsia="Arial" w:hAnsi="Arial"/>
          <w:sz w:val="17"/>
          <w:szCs w:val="17"/>
          <w:color w:val="auto"/>
        </w:rPr>
        <w:t>Founders no sale—Until the earlier of an IPO or a Merger and Acquisition, no Founder shall transfer any of its equity securities; provided, however, that as of the lapse of twenty-four (24) months from the Series E Closing (the “Drop Date”), each Founder shall be entitled to transfer up to twelve and a half percent (12.5%) of such Founder’s shareholdings (as of immediately prior to the Series E Closing) in the aggregate; and provided, further, that any such transfer by a Founder shall be subject to the Rights of First Refusal and Co-Sale Rights. For the avoidance of doubt, the Founders will not be entitled to transfer shares that are subject to any reverse vesting terms. Notwithstanding the above, a Founder may transfer its equity securities to certain permitted transferees and in connection with an IPO or a Merger and Acquisition. Additionally, this shall not apply to (i) any equity securities purchased or acquired by the Founder for consideration after the Series E Closing, and (ii) any secondary sale by the Founders approved by the Board, with the affirmative vote or written consent of the Preferred Directors Majority Customary right of first refusal—On the basis of all or nothing; shareholders holding at least 3% have such right, and co-sale rights (to which only the founders are subject, other than with respect to a permitted transferee). Upon the transfer of shares in violation of the co-sale right and/or the right of first offer (a “Prohibited Transfer”), the other shareholders who have the right of first offer or the co-sale rights, in addition to remedies under applicable law, will have a put option against the transferor as to such number of shares each such shareholder would have been entitled to transfer to the third-party transferee had the Prohibited Transfer been effected in compliance with the articles; and the transferor will reimburse each such other shareholder for its fees and expenses, including reasonable legal fees and expenses.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40"/>
          </w:cols>
          <w:pgMar w:left="320" w:top="456"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the following ordinary shares reserved for future issuance:</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2620" w:type="dxa"/>
            <w:vAlign w:val="bottom"/>
            <w:gridSpan w:val="4"/>
          </w:tcPr>
          <w:p>
            <w:pPr>
              <w:ind w:left="8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3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7"/>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9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4"/>
        </w:trPr>
        <w:tc>
          <w:tcPr>
            <w:tcW w:w="8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Conversion of convertible preferred shares</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83,037,000</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97,260,600</w:t>
            </w:r>
          </w:p>
        </w:tc>
        <w:tc>
          <w:tcPr>
            <w:tcW w:w="60" w:type="dxa"/>
            <w:vAlign w:val="bottom"/>
            <w:shd w:val="clear" w:color="auto" w:fill="CCEEFF"/>
          </w:tcPr>
          <w:p>
            <w:pPr>
              <w:spacing w:after="0"/>
              <w:rPr>
                <w:sz w:val="16"/>
                <w:szCs w:val="16"/>
                <w:color w:val="auto"/>
              </w:rPr>
            </w:pPr>
          </w:p>
        </w:tc>
      </w:tr>
      <w:tr>
        <w:trPr>
          <w:trHeight w:val="201"/>
        </w:trPr>
        <w:tc>
          <w:tcPr>
            <w:tcW w:w="8300" w:type="dxa"/>
            <w:vAlign w:val="bottom"/>
          </w:tcPr>
          <w:p>
            <w:pPr>
              <w:spacing w:after="0" w:line="201" w:lineRule="exact"/>
              <w:rPr>
                <w:sz w:val="20"/>
                <w:szCs w:val="20"/>
                <w:color w:val="auto"/>
              </w:rPr>
            </w:pPr>
            <w:r>
              <w:rPr>
                <w:rFonts w:ascii="Arial" w:cs="Arial" w:eastAsia="Arial" w:hAnsi="Arial"/>
                <w:sz w:val="18"/>
                <w:szCs w:val="18"/>
                <w:color w:val="auto"/>
              </w:rPr>
              <w:t>Outstanding share options</w:t>
            </w: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9,154,800</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12,522,600</w:t>
            </w:r>
          </w:p>
        </w:tc>
        <w:tc>
          <w:tcPr>
            <w:tcW w:w="60" w:type="dxa"/>
            <w:vAlign w:val="bottom"/>
          </w:tcPr>
          <w:p>
            <w:pPr>
              <w:spacing w:after="0"/>
              <w:rPr>
                <w:sz w:val="17"/>
                <w:szCs w:val="17"/>
                <w:color w:val="auto"/>
              </w:rPr>
            </w:pPr>
          </w:p>
        </w:tc>
      </w:tr>
      <w:tr>
        <w:trPr>
          <w:trHeight w:val="201"/>
        </w:trPr>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Remaining shares available for future issuance under the 2013 Plan</w:t>
            </w:r>
          </w:p>
        </w:tc>
        <w:tc>
          <w:tcPr>
            <w:tcW w:w="12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1,452,000</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3,366,000</w:t>
            </w:r>
          </w:p>
        </w:tc>
      </w:tr>
      <w:tr>
        <w:trPr>
          <w:trHeight w:val="207"/>
        </w:trPr>
        <w:tc>
          <w:tcPr>
            <w:tcW w:w="8300" w:type="dxa"/>
            <w:vAlign w:val="bottom"/>
          </w:tcPr>
          <w:p>
            <w:pPr>
              <w:ind w:left="360"/>
              <w:spacing w:after="0"/>
              <w:rPr>
                <w:sz w:val="20"/>
                <w:szCs w:val="20"/>
                <w:color w:val="auto"/>
              </w:rPr>
            </w:pPr>
            <w:r>
              <w:rPr>
                <w:rFonts w:ascii="Arial" w:cs="Arial" w:eastAsia="Arial" w:hAnsi="Arial"/>
                <w:sz w:val="18"/>
                <w:szCs w:val="18"/>
                <w:color w:val="auto"/>
              </w:rPr>
              <w:t>Total shares of ordinary shares reserved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93,643,800</w:t>
            </w:r>
          </w:p>
        </w:tc>
        <w:tc>
          <w:tcPr>
            <w:tcW w:w="1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113,149,200</w:t>
            </w: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Third Party Share Transactions</w:t>
      </w:r>
    </w:p>
    <w:p>
      <w:pPr>
        <w:spacing w:after="0" w:line="123"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In April and November 2020, the Company recorded $1,346 and $809, respectively, of share-based compensation expenses associated with the two secondary share purchase transactions during the year ended December 31, 2020.</w:t>
      </w:r>
    </w:p>
    <w:p>
      <w:pPr>
        <w:spacing w:after="0" w:line="20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secondary share purchase transactions were executed among certain of the Company’s founders, employees, and shareholders. The April 2020 secondary share purchase transaction was consummated concurrently with the issuance of the Company’s Series E convertible preferred shares. The Company assessed the impact of these transactions as holders of economic interest in the Company acquired shares from the Company’s employees and founders at a price in excess of fair value of such shares. Accordingly, the Company recognized such excess value as share-based compensation expense.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Leases</w:t>
      </w:r>
    </w:p>
    <w:p>
      <w:pPr>
        <w:spacing w:after="0" w:line="123" w:lineRule="exact"/>
        <w:rPr>
          <w:sz w:val="20"/>
          <w:szCs w:val="20"/>
          <w:color w:val="auto"/>
        </w:rPr>
      </w:pPr>
    </w:p>
    <w:p>
      <w:pPr>
        <w:jc w:val="both"/>
        <w:ind w:left="160" w:right="360" w:firstLine="546"/>
        <w:spacing w:after="0" w:line="257" w:lineRule="auto"/>
        <w:rPr>
          <w:sz w:val="20"/>
          <w:szCs w:val="20"/>
          <w:color w:val="auto"/>
        </w:rPr>
      </w:pPr>
      <w:r>
        <w:rPr>
          <w:rFonts w:ascii="Arial" w:cs="Arial" w:eastAsia="Arial" w:hAnsi="Arial"/>
          <w:sz w:val="17"/>
          <w:szCs w:val="17"/>
          <w:color w:val="auto"/>
        </w:rPr>
        <w:t>On January 1, 2019, the Company adopted Topic 842 and elected the available practical expedient to recognize the cumulative effect of initially adopting Topic 842 as an adjustment to the opening balance sheet of the period of adoption (i.e., January 1, 2019). In addition, the Company elected not to apply the transition requirements for leases for which the lease term is less than 12 months.</w:t>
      </w:r>
    </w:p>
    <w:p>
      <w:pPr>
        <w:spacing w:after="0" w:line="188"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The Company`s leases include offices worldwide, as well as car leases, which are all classified as operating leases. Certain leases include renewal options that are under the Company`s sole discretion. The renewal options were included in the ROU and liability calculation if it was reasonably certain that the Company will exercise the option.</w:t>
      </w:r>
    </w:p>
    <w:p>
      <w:pPr>
        <w:spacing w:after="0" w:line="20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The components of lease expense and supplemental cash flow information related to leases for the years ended December 31, 2019 and 2020 were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39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81"/>
        </w:trPr>
        <w:tc>
          <w:tcPr>
            <w:tcW w:w="39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Components of lease expenses</w:t>
            </w:r>
          </w:p>
        </w:tc>
        <w:tc>
          <w:tcPr>
            <w:tcW w:w="3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8"/>
                <w:szCs w:val="18"/>
                <w:color w:val="auto"/>
              </w:rPr>
              <w:t>Operating lease cost</w:t>
            </w:r>
          </w:p>
        </w:tc>
        <w:tc>
          <w:tcPr>
            <w:tcW w:w="3300" w:type="dxa"/>
            <w:vAlign w:val="bottom"/>
            <w:gridSpan w:val="2"/>
          </w:tcPr>
          <w:p>
            <w:pPr>
              <w:ind w:left="3120"/>
              <w:spacing w:after="0" w:line="201" w:lineRule="exact"/>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200"/>
              <w:spacing w:after="0" w:line="201" w:lineRule="exact"/>
              <w:rPr>
                <w:sz w:val="20"/>
                <w:szCs w:val="20"/>
                <w:color w:val="auto"/>
              </w:rPr>
            </w:pPr>
            <w:r>
              <w:rPr>
                <w:rFonts w:ascii="Arial" w:cs="Arial" w:eastAsia="Arial" w:hAnsi="Arial"/>
                <w:sz w:val="18"/>
                <w:szCs w:val="18"/>
                <w:color w:val="auto"/>
              </w:rPr>
              <w:t>655</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1,023</w:t>
            </w:r>
          </w:p>
        </w:tc>
      </w:tr>
      <w:tr>
        <w:trPr>
          <w:trHeight w:val="201"/>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lease</w:t>
            </w:r>
          </w:p>
        </w:tc>
        <w:tc>
          <w:tcPr>
            <w:tcW w:w="3300" w:type="dxa"/>
            <w:vAlign w:val="bottom"/>
            <w:gridSpan w:val="2"/>
            <w:shd w:val="clear" w:color="auto" w:fill="CCEEFF"/>
          </w:tcPr>
          <w:p>
            <w:pPr>
              <w:ind w:left="3120"/>
              <w:spacing w:after="0" w:line="201"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200"/>
              <w:spacing w:after="0" w:line="201"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w:t>
            </w:r>
          </w:p>
        </w:tc>
      </w:tr>
      <w:tr>
        <w:trPr>
          <w:trHeight w:val="20"/>
        </w:trPr>
        <w:tc>
          <w:tcPr>
            <w:tcW w:w="3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3980" w:type="dxa"/>
            <w:vAlign w:val="bottom"/>
          </w:tcPr>
          <w:p>
            <w:pPr>
              <w:spacing w:after="0" w:line="195" w:lineRule="exact"/>
              <w:rPr>
                <w:sz w:val="20"/>
                <w:szCs w:val="20"/>
                <w:color w:val="auto"/>
              </w:rPr>
            </w:pPr>
            <w:r>
              <w:rPr>
                <w:rFonts w:ascii="Arial" w:cs="Arial" w:eastAsia="Arial" w:hAnsi="Arial"/>
                <w:sz w:val="18"/>
                <w:szCs w:val="18"/>
                <w:color w:val="auto"/>
              </w:rPr>
              <w:t>Total lease expenses</w:t>
            </w:r>
          </w:p>
        </w:tc>
        <w:tc>
          <w:tcPr>
            <w:tcW w:w="3300" w:type="dxa"/>
            <w:vAlign w:val="bottom"/>
            <w:gridSpan w:val="2"/>
          </w:tcPr>
          <w:p>
            <w:pPr>
              <w:ind w:left="3120"/>
              <w:spacing w:after="0" w:line="195" w:lineRule="exact"/>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200"/>
              <w:spacing w:after="0" w:line="195" w:lineRule="exact"/>
              <w:rPr>
                <w:sz w:val="20"/>
                <w:szCs w:val="20"/>
                <w:color w:val="auto"/>
              </w:rPr>
            </w:pPr>
            <w:r>
              <w:rPr>
                <w:rFonts w:ascii="Arial" w:cs="Arial" w:eastAsia="Arial" w:hAnsi="Arial"/>
                <w:sz w:val="18"/>
                <w:szCs w:val="18"/>
                <w:color w:val="auto"/>
              </w:rPr>
              <w:t>677</w:t>
            </w: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1,089</w:t>
            </w:r>
          </w:p>
        </w:tc>
      </w:tr>
      <w:tr>
        <w:trPr>
          <w:trHeight w:val="20"/>
        </w:trPr>
        <w:tc>
          <w:tcPr>
            <w:tcW w:w="3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980" w:type="dxa"/>
            <w:vAlign w:val="bottom"/>
          </w:tcPr>
          <w:p>
            <w:pPr>
              <w:spacing w:after="0"/>
              <w:rPr>
                <w:sz w:val="24"/>
                <w:szCs w:val="24"/>
                <w:color w:val="auto"/>
              </w:rPr>
            </w:pPr>
          </w:p>
        </w:tc>
        <w:tc>
          <w:tcPr>
            <w:tcW w:w="3300" w:type="dxa"/>
            <w:vAlign w:val="bottom"/>
            <w:gridSpan w:val="2"/>
          </w:tcPr>
          <w:p>
            <w:pPr>
              <w:ind w:left="1300"/>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54"/>
        </w:trPr>
        <w:tc>
          <w:tcPr>
            <w:tcW w:w="65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w w:val="99"/>
              </w:rPr>
              <w:t>December 31, 2019</w:t>
            </w:r>
          </w:p>
        </w:tc>
        <w:tc>
          <w:tcPr>
            <w:tcW w:w="114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w w:val="99"/>
              </w:rPr>
              <w:t>December 31, 2020</w:t>
            </w:r>
          </w:p>
        </w:tc>
        <w:tc>
          <w:tcPr>
            <w:tcW w:w="60" w:type="dxa"/>
            <w:vAlign w:val="bottom"/>
            <w:tcBorders>
              <w:bottom w:val="single" w:sz="8" w:color="CCEEFF"/>
            </w:tcBorders>
          </w:tcPr>
          <w:p>
            <w:pPr>
              <w:spacing w:after="0"/>
              <w:rPr>
                <w:sz w:val="13"/>
                <w:szCs w:val="13"/>
                <w:color w:val="auto"/>
              </w:rPr>
            </w:pPr>
          </w:p>
        </w:tc>
      </w:tr>
      <w:tr>
        <w:trPr>
          <w:trHeight w:val="181"/>
        </w:trPr>
        <w:tc>
          <w:tcPr>
            <w:tcW w:w="658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6580" w:type="dxa"/>
            <w:vAlign w:val="bottom"/>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140"/>
              <w:spacing w:after="0" w:line="201" w:lineRule="exact"/>
              <w:rPr>
                <w:sz w:val="20"/>
                <w:szCs w:val="20"/>
                <w:color w:val="auto"/>
              </w:rPr>
            </w:pPr>
            <w:r>
              <w:rPr>
                <w:rFonts w:ascii="Arial" w:cs="Arial" w:eastAsia="Arial" w:hAnsi="Arial"/>
                <w:sz w:val="18"/>
                <w:szCs w:val="18"/>
                <w:color w:val="auto"/>
              </w:rPr>
              <w:t>684</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1,017</w:t>
            </w:r>
          </w:p>
        </w:tc>
      </w:tr>
      <w:tr>
        <w:trPr>
          <w:trHeight w:val="20"/>
        </w:trPr>
        <w:tc>
          <w:tcPr>
            <w:tcW w:w="6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65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Supplemental non-cash information related to lease liabilities from obtaining</w:t>
            </w: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6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ROU assets</w:t>
            </w:r>
          </w:p>
        </w:tc>
        <w:tc>
          <w:tcPr>
            <w:tcW w:w="76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140"/>
              <w:spacing w:after="0" w:line="201" w:lineRule="exact"/>
              <w:rPr>
                <w:sz w:val="20"/>
                <w:szCs w:val="20"/>
                <w:color w:val="auto"/>
              </w:rPr>
            </w:pPr>
            <w:r>
              <w:rPr>
                <w:rFonts w:ascii="Arial" w:cs="Arial" w:eastAsia="Arial" w:hAnsi="Arial"/>
                <w:sz w:val="18"/>
                <w:szCs w:val="18"/>
                <w:color w:val="auto"/>
              </w:rPr>
              <w:t>1,209</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3,734</w:t>
            </w:r>
          </w:p>
        </w:tc>
      </w:tr>
      <w:tr>
        <w:trPr>
          <w:trHeight w:val="20"/>
        </w:trPr>
        <w:tc>
          <w:tcPr>
            <w:tcW w:w="6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For the year ended December 31, 2020, the weighted average remaining lease term is 7 years, and the weighted average discount rate is 3.45 percent. The discount rate was determined based on the estimated collateralized borrowing rate of the Company, adjusted to the specific lease term and location of each lease.</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9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9880" w:type="dxa"/>
            <w:vAlign w:val="bottom"/>
          </w:tcPr>
          <w:p>
            <w:pPr>
              <w:spacing w:after="0"/>
              <w:rPr>
                <w:sz w:val="13"/>
                <w:szCs w:val="13"/>
                <w:color w:val="auto"/>
              </w:rPr>
            </w:pPr>
          </w:p>
        </w:tc>
        <w:tc>
          <w:tcPr>
            <w:tcW w:w="9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gridSpan w:val="2"/>
          </w:tcPr>
          <w:p>
            <w:pPr>
              <w:spacing w:after="0"/>
              <w:rPr>
                <w:sz w:val="13"/>
                <w:szCs w:val="13"/>
                <w:color w:val="auto"/>
              </w:rPr>
            </w:pPr>
          </w:p>
        </w:tc>
      </w:tr>
      <w:tr>
        <w:trPr>
          <w:trHeight w:val="201"/>
        </w:trPr>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9880" w:type="dxa"/>
            <w:vAlign w:val="bottom"/>
          </w:tcPr>
          <w:p>
            <w:pPr>
              <w:ind w:left="360"/>
              <w:spacing w:after="0" w:line="201"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941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9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9880" w:type="dxa"/>
            <w:vAlign w:val="bottom"/>
          </w:tcPr>
          <w:p>
            <w:pPr>
              <w:ind w:left="360"/>
              <w:spacing w:after="0" w:line="201"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697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9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9880" w:type="dxa"/>
            <w:vAlign w:val="bottom"/>
          </w:tcPr>
          <w:p>
            <w:pPr>
              <w:ind w:left="360"/>
              <w:spacing w:after="0" w:line="201"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9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1,430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4"/>
        </w:trPr>
        <w:tc>
          <w:tcPr>
            <w:tcW w:w="9880" w:type="dxa"/>
            <w:vAlign w:val="bottom"/>
          </w:tcPr>
          <w:p>
            <w:pPr>
              <w:ind w:left="360"/>
              <w:spacing w:after="0"/>
              <w:rPr>
                <w:sz w:val="20"/>
                <w:szCs w:val="20"/>
                <w:color w:val="auto"/>
              </w:rPr>
            </w:pPr>
            <w:r>
              <w:rPr>
                <w:rFonts w:ascii="Arial" w:cs="Arial" w:eastAsia="Arial" w:hAnsi="Arial"/>
                <w:sz w:val="18"/>
                <w:szCs w:val="18"/>
                <w:color w:val="auto"/>
              </w:rPr>
              <w:t>Total operating lease payments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4,633</w:t>
            </w:r>
          </w:p>
        </w:tc>
        <w:tc>
          <w:tcPr>
            <w:tcW w:w="40" w:type="dxa"/>
            <w:vAlign w:val="bottom"/>
          </w:tcPr>
          <w:p>
            <w:pPr>
              <w:spacing w:after="0"/>
              <w:rPr>
                <w:sz w:val="18"/>
                <w:szCs w:val="18"/>
                <w:color w:val="auto"/>
              </w:rPr>
            </w:pPr>
          </w:p>
        </w:tc>
      </w:tr>
      <w:tr>
        <w:trPr>
          <w:trHeight w:val="201"/>
        </w:trPr>
        <w:tc>
          <w:tcPr>
            <w:tcW w:w="9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 imputed interest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9880" w:type="dxa"/>
            <w:vAlign w:val="bottom"/>
          </w:tcPr>
          <w:p>
            <w:pPr>
              <w:ind w:left="7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4,428</w:t>
            </w:r>
          </w:p>
        </w:tc>
        <w:tc>
          <w:tcPr>
            <w:tcW w:w="40" w:type="dxa"/>
            <w:vAlign w:val="bottom"/>
          </w:tcPr>
          <w:p>
            <w:pPr>
              <w:spacing w:after="0"/>
              <w:rPr>
                <w:sz w:val="18"/>
                <w:szCs w:val="18"/>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7. Income Taxes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Ordinary taxable income in Israel is subject to a corporate tax rate of 23%.</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components of the net profit (loss) before the provision for income taxes were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30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30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2"/>
              <w:spacing w:after="0" w:line="154"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5"/>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30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720" w:type="dxa"/>
            <w:vAlign w:val="bottom"/>
            <w:gridSpan w:val="4"/>
          </w:tcPr>
          <w:p>
            <w:pPr>
              <w:jc w:val="right"/>
              <w:ind w:right="120"/>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Israel</w:t>
            </w:r>
          </w:p>
        </w:tc>
        <w:tc>
          <w:tcPr>
            <w:tcW w:w="65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(11,437)</w:t>
            </w:r>
          </w:p>
        </w:tc>
        <w:tc>
          <w:tcPr>
            <w:tcW w:w="8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(4,932)</w:t>
            </w: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1,293</w:t>
            </w:r>
          </w:p>
        </w:tc>
      </w:tr>
      <w:tr>
        <w:trPr>
          <w:trHeight w:val="201"/>
        </w:trPr>
        <w:tc>
          <w:tcPr>
            <w:tcW w:w="3020" w:type="dxa"/>
            <w:vAlign w:val="bottom"/>
          </w:tcPr>
          <w:p>
            <w:pPr>
              <w:spacing w:after="0" w:line="201" w:lineRule="exact"/>
              <w:rPr>
                <w:sz w:val="20"/>
                <w:szCs w:val="20"/>
                <w:color w:val="auto"/>
              </w:rPr>
            </w:pPr>
            <w:r>
              <w:rPr>
                <w:rFonts w:ascii="Arial" w:cs="Arial" w:eastAsia="Arial" w:hAnsi="Arial"/>
                <w:sz w:val="18"/>
                <w:szCs w:val="18"/>
                <w:color w:val="auto"/>
              </w:rPr>
              <w:t>Foreign</w:t>
            </w:r>
          </w:p>
        </w:tc>
        <w:tc>
          <w:tcPr>
            <w:tcW w:w="560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(106)</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(2,578)</w:t>
            </w: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2,781</w:t>
            </w:r>
          </w:p>
        </w:tc>
      </w:tr>
      <w:tr>
        <w:trPr>
          <w:trHeight w:val="27"/>
        </w:trPr>
        <w:tc>
          <w:tcPr>
            <w:tcW w:w="30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3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w:t>
            </w:r>
          </w:p>
        </w:tc>
        <w:tc>
          <w:tcPr>
            <w:tcW w:w="56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(11,543)</w:t>
            </w:r>
          </w:p>
        </w:tc>
        <w:tc>
          <w:tcPr>
            <w:tcW w:w="8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(7,510)</w:t>
            </w: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4,074</w:t>
            </w:r>
          </w:p>
        </w:tc>
      </w:tr>
      <w:tr>
        <w:trPr>
          <w:trHeight w:val="20"/>
        </w:trPr>
        <w:tc>
          <w:tcPr>
            <w:tcW w:w="3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020" w:type="dxa"/>
            <w:vAlign w:val="bottom"/>
          </w:tcPr>
          <w:p>
            <w:pPr>
              <w:spacing w:after="0"/>
              <w:rPr>
                <w:sz w:val="24"/>
                <w:szCs w:val="24"/>
                <w:color w:val="auto"/>
              </w:rPr>
            </w:pPr>
          </w:p>
        </w:tc>
        <w:tc>
          <w:tcPr>
            <w:tcW w:w="6500" w:type="dxa"/>
            <w:vAlign w:val="bottom"/>
            <w:gridSpan w:val="3"/>
          </w:tcPr>
          <w:p>
            <w:pPr>
              <w:jc w:val="right"/>
              <w:ind w:right="3880"/>
              <w:spacing w:after="0"/>
              <w:rPr>
                <w:sz w:val="20"/>
                <w:szCs w:val="20"/>
                <w:color w:val="auto"/>
              </w:rPr>
            </w:pPr>
            <w:r>
              <w:rPr>
                <w:rFonts w:ascii="Arial" w:cs="Arial" w:eastAsia="Arial" w:hAnsi="Arial"/>
                <w:sz w:val="18"/>
                <w:szCs w:val="18"/>
                <w:color w:val="auto"/>
              </w:rPr>
              <w:t>F-28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provision for income taxes was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right"/>
              <w:ind w:right="240"/>
              <w:spacing w:after="0" w:line="154"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420" w:type="dxa"/>
            <w:vAlign w:val="bottom"/>
          </w:tcPr>
          <w:p>
            <w:pPr>
              <w:ind w:left="340"/>
              <w:spacing w:after="0" w:line="201" w:lineRule="exact"/>
              <w:rPr>
                <w:sz w:val="20"/>
                <w:szCs w:val="20"/>
                <w:color w:val="auto"/>
              </w:rPr>
            </w:pPr>
            <w:r>
              <w:rPr>
                <w:rFonts w:ascii="Arial" w:cs="Arial" w:eastAsia="Arial" w:hAnsi="Arial"/>
                <w:sz w:val="18"/>
                <w:szCs w:val="18"/>
                <w:color w:val="auto"/>
              </w:rPr>
              <w:t>Israel</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w:t>
            </w:r>
          </w:p>
        </w:tc>
      </w:tr>
      <w:tr>
        <w:trPr>
          <w:trHeight w:val="201"/>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current income tax expense</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420" w:type="dxa"/>
            <w:vAlign w:val="bottom"/>
          </w:tcPr>
          <w:p>
            <w:pPr>
              <w:ind w:left="340"/>
              <w:spacing w:after="0" w:line="201" w:lineRule="exact"/>
              <w:rPr>
                <w:sz w:val="20"/>
                <w:szCs w:val="20"/>
                <w:color w:val="auto"/>
              </w:rPr>
            </w:pPr>
            <w:r>
              <w:rPr>
                <w:rFonts w:ascii="Arial" w:cs="Arial" w:eastAsia="Arial" w:hAnsi="Arial"/>
                <w:sz w:val="18"/>
                <w:szCs w:val="18"/>
                <w:color w:val="auto"/>
              </w:rPr>
              <w:t>Israel</w:t>
            </w:r>
          </w:p>
        </w:tc>
        <w:tc>
          <w:tcPr>
            <w:tcW w:w="140" w:type="dxa"/>
            <w:vAlign w:val="bottom"/>
          </w:tcPr>
          <w:p>
            <w:pPr>
              <w:spacing w:after="0"/>
              <w:rPr>
                <w:sz w:val="17"/>
                <w:szCs w:val="17"/>
                <w:color w:val="auto"/>
              </w:rPr>
            </w:pPr>
          </w:p>
        </w:tc>
        <w:tc>
          <w:tcPr>
            <w:tcW w:w="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r>
      <w:tr>
        <w:trPr>
          <w:trHeight w:val="201"/>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deferred income tax (benefit) expense</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84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provision for income taxes</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160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of the Company’s theoretical income tax expense to actual income tax expense is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8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center"/>
              <w:ind w:right="13"/>
              <w:spacing w:after="0" w:line="154"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3"/>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4"/>
        </w:trPr>
        <w:tc>
          <w:tcPr>
            <w:tcW w:w="8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140"/>
              <w:spacing w:after="0" w:line="154"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1"/>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Theoretical income tax expense (benefit)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8"/>
              </w:rPr>
              <w:t>(2,655)</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8"/>
              </w:rPr>
              <w:t>(1,727)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937</w:t>
            </w:r>
          </w:p>
        </w:tc>
      </w:tr>
      <w:tr>
        <w:trPr>
          <w:trHeight w:val="201"/>
        </w:trPr>
        <w:tc>
          <w:tcPr>
            <w:tcW w:w="8100" w:type="dxa"/>
            <w:vAlign w:val="bottom"/>
          </w:tcPr>
          <w:p>
            <w:pPr>
              <w:spacing w:after="0" w:line="201" w:lineRule="exact"/>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2,409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1,506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8"/>
              </w:rPr>
              <w:t>(2,235)</w:t>
            </w:r>
          </w:p>
        </w:tc>
      </w:tr>
      <w:tr>
        <w:trPr>
          <w:trHeight w:val="201"/>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tax rate differentials</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(150)</w:t>
            </w:r>
          </w:p>
        </w:tc>
      </w:tr>
      <w:tr>
        <w:trPr>
          <w:trHeight w:val="201"/>
        </w:trPr>
        <w:tc>
          <w:tcPr>
            <w:tcW w:w="81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910</w:t>
            </w:r>
          </w:p>
        </w:tc>
      </w:tr>
      <w:tr>
        <w:trPr>
          <w:trHeight w:val="201"/>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1,290</w:t>
            </w:r>
          </w:p>
        </w:tc>
      </w:tr>
      <w:tr>
        <w:trPr>
          <w:trHeight w:val="201"/>
        </w:trPr>
        <w:tc>
          <w:tcPr>
            <w:tcW w:w="8100" w:type="dxa"/>
            <w:vAlign w:val="bottom"/>
          </w:tcPr>
          <w:p>
            <w:pPr>
              <w:spacing w:after="0" w:line="201" w:lineRule="exact"/>
              <w:rPr>
                <w:sz w:val="20"/>
                <w:szCs w:val="20"/>
                <w:color w:val="auto"/>
              </w:rPr>
            </w:pPr>
            <w:r>
              <w:rPr>
                <w:rFonts w:ascii="Arial" w:cs="Arial" w:eastAsia="Arial" w:hAnsi="Arial"/>
                <w:sz w:val="18"/>
                <w:szCs w:val="18"/>
                <w:color w:val="auto"/>
              </w:rPr>
              <w:t>Foreign exchange impact</w:t>
            </w: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(357)</w:t>
            </w:r>
          </w:p>
        </w:tc>
      </w:tr>
      <w:tr>
        <w:trPr>
          <w:trHeight w:val="201"/>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w:t>
            </w: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r>
      <w:tr>
        <w:trPr>
          <w:trHeight w:val="20"/>
        </w:trPr>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the significant components of the Company’s deferred tax assets and liabilities: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4"/>
              <w:spacing w:after="0" w:line="154"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center"/>
              <w:ind w:left="354"/>
              <w:spacing w:after="0" w:line="154"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9,064</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6,052</w:t>
            </w: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2,347</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2,889</w:t>
            </w:r>
          </w:p>
        </w:tc>
      </w:tr>
      <w:tr>
        <w:trPr>
          <w:trHeight w:val="201"/>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Leasing liabilities</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331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1,018</w:t>
            </w: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296</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11,903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10,255</w:t>
            </w: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8"/>
              </w:rPr>
              <w:t>(11,490)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(9,255)</w:t>
            </w:r>
          </w:p>
        </w:tc>
      </w:tr>
      <w:tr>
        <w:trPr>
          <w:trHeight w:val="20"/>
        </w:trPr>
        <w:tc>
          <w:tcPr>
            <w:tcW w:w="8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86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Deferred contract acquisition costs</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111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90</w:t>
            </w: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Leasing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322</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957</w:t>
            </w:r>
          </w:p>
        </w:tc>
      </w:tr>
      <w:tr>
        <w:trPr>
          <w:trHeight w:val="201"/>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1,090</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deferred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A valuation allowance is provided when it is more likely than not that the deferred tax assets will not be realized. The Company has established a valuation allowance to offset the deferred tax assets at December 31, 2019 and 2020 due to the uncertainty of realizing future tax benefits from its net operating loss carryforwards and other deferred tax assets. The net change in the total valuation allowance for the year ended December 31, 2020 was a decrease of $2,235.</w:t>
      </w:r>
    </w:p>
    <w:p>
      <w:pPr>
        <w:spacing w:after="0" w:line="202"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As of December 31, 2020, the Company had approximately $23,824 in net operating loss carryforwards in Israel that can be carried forward indefinitely.</w:t>
      </w:r>
    </w:p>
    <w:p>
      <w:pPr>
        <w:spacing w:after="0" w:line="203" w:lineRule="exact"/>
        <w:rPr>
          <w:sz w:val="20"/>
          <w:szCs w:val="20"/>
          <w:color w:val="auto"/>
        </w:rPr>
      </w:pPr>
    </w:p>
    <w:p>
      <w:pPr>
        <w:ind w:left="160" w:right="540" w:firstLine="546"/>
        <w:spacing w:after="0" w:line="239" w:lineRule="auto"/>
        <w:rPr>
          <w:sz w:val="20"/>
          <w:szCs w:val="20"/>
          <w:color w:val="auto"/>
        </w:rPr>
      </w:pPr>
      <w:r>
        <w:rPr>
          <w:rFonts w:ascii="Arial" w:cs="Arial" w:eastAsia="Arial" w:hAnsi="Arial"/>
          <w:sz w:val="18"/>
          <w:szCs w:val="18"/>
          <w:color w:val="auto"/>
        </w:rPr>
        <w:t>The Company has net operating losses from prior tax periods which may be subjected to examination in future periods. As of December 31, 2020, the Company’s tax years until December 31, 2014 are subject to statutes of limitation in Israel.</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did not recognize any uncertain tax positions as of December 31, 2019 and 2020.</w:t>
      </w:r>
    </w:p>
    <w:p>
      <w:pPr>
        <w:spacing w:after="0" w:line="14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10. Net Earnings (Loss) Per Share Attributable to Ordinary Shareholders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ordinary shareholders for the periods presented: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8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60" w:type="dxa"/>
            <w:vAlign w:val="bottom"/>
            <w:tcBorders>
              <w:bottom w:val="single" w:sz="8" w:color="auto"/>
            </w:tcBorders>
          </w:tcPr>
          <w:p>
            <w:pPr>
              <w:jc w:val="right"/>
              <w:ind w:right="295"/>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2"/>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3760" w:type="dxa"/>
            <w:vAlign w:val="bottom"/>
            <w:gridSpan w:val="6"/>
          </w:tcPr>
          <w:p>
            <w:pPr>
              <w:jc w:val="right"/>
              <w:ind w:right="172"/>
              <w:spacing w:after="0" w:line="154"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net profit (loss) per share</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color w:val="auto"/>
                <w:w w:val="95"/>
              </w:rPr>
              <w:t>Numerator:</w:t>
            </w:r>
          </w:p>
        </w:tc>
        <w:tc>
          <w:tcPr>
            <w:tcW w:w="620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Allocation of net profit (loss)</w:t>
            </w: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(11,593)</w:t>
            </w:r>
          </w:p>
        </w:tc>
        <w:tc>
          <w:tcPr>
            <w:tcW w:w="13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(7,544)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80" w:type="dxa"/>
            <w:vAlign w:val="bottom"/>
            <w:gridSpan w:val="3"/>
          </w:tcPr>
          <w:p>
            <w:pPr>
              <w:spacing w:after="0" w:line="201" w:lineRule="exact"/>
              <w:rPr>
                <w:sz w:val="20"/>
                <w:szCs w:val="20"/>
                <w:color w:val="auto"/>
              </w:rPr>
            </w:pPr>
            <w:r>
              <w:rPr>
                <w:rFonts w:ascii="Arial" w:cs="Arial" w:eastAsia="Arial" w:hAnsi="Arial"/>
                <w:sz w:val="18"/>
                <w:szCs w:val="18"/>
                <w:color w:val="auto"/>
              </w:rPr>
              <w:t>Net income allocated to preferred shareholders</w:t>
            </w:r>
          </w:p>
        </w:tc>
        <w:tc>
          <w:tcPr>
            <w:tcW w:w="13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3"/>
          </w:tcPr>
          <w:p>
            <w:pPr>
              <w:ind w:left="8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Allocation of net profit (loss) attributable to Ordinary shareholders</w:t>
            </w: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100" w:type="dxa"/>
            <w:vAlign w:val="bottom"/>
            <w:gridSpan w:val="4"/>
          </w:tcPr>
          <w:p>
            <w:pPr>
              <w:spacing w:after="0"/>
              <w:rPr>
                <w:sz w:val="20"/>
                <w:szCs w:val="20"/>
                <w:color w:val="auto"/>
              </w:rPr>
            </w:pPr>
            <w:r>
              <w:rPr>
                <w:rFonts w:ascii="Arial" w:cs="Arial" w:eastAsia="Arial" w:hAnsi="Arial"/>
                <w:sz w:val="18"/>
                <w:szCs w:val="18"/>
                <w:color w:val="auto"/>
              </w:rPr>
              <w:t>Denominator:</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708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Weighted-average shares used in computing net profit (loss) per share attributable to</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shareholders</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19,366,272</w:t>
            </w:r>
          </w:p>
        </w:tc>
        <w:tc>
          <w:tcPr>
            <w:tcW w:w="13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19,654,276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21,120,208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tcPr>
          <w:p>
            <w:pPr>
              <w:spacing w:after="0" w:line="201" w:lineRule="exact"/>
              <w:rPr>
                <w:sz w:val="20"/>
                <w:szCs w:val="20"/>
                <w:color w:val="auto"/>
              </w:rPr>
            </w:pPr>
            <w:r>
              <w:rPr>
                <w:rFonts w:ascii="Arial" w:cs="Arial" w:eastAsia="Arial" w:hAnsi="Arial"/>
                <w:sz w:val="18"/>
                <w:szCs w:val="18"/>
                <w:color w:val="auto"/>
              </w:rPr>
              <w:t>Basic net profit (loss) per share attributable to Ordinary shareholders</w:t>
            </w:r>
          </w:p>
        </w:tc>
        <w:tc>
          <w:tcPr>
            <w:tcW w:w="13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(0.60)</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(0.38)</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08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net profit (loss) per share</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color w:val="auto"/>
                <w:w w:val="95"/>
              </w:rPr>
              <w:t>Numerator:</w:t>
            </w:r>
          </w:p>
        </w:tc>
        <w:tc>
          <w:tcPr>
            <w:tcW w:w="620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Allocation of net profit (loss) attributable for diluted computation</w:t>
            </w: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(11,593)</w:t>
            </w:r>
          </w:p>
        </w:tc>
        <w:tc>
          <w:tcPr>
            <w:tcW w:w="13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(7,544)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100" w:type="dxa"/>
            <w:vAlign w:val="bottom"/>
            <w:gridSpan w:val="4"/>
          </w:tcPr>
          <w:p>
            <w:pPr>
              <w:spacing w:after="0"/>
              <w:rPr>
                <w:sz w:val="20"/>
                <w:szCs w:val="20"/>
                <w:color w:val="auto"/>
              </w:rPr>
            </w:pPr>
            <w:r>
              <w:rPr>
                <w:rFonts w:ascii="Arial" w:cs="Arial" w:eastAsia="Arial" w:hAnsi="Arial"/>
                <w:sz w:val="18"/>
                <w:szCs w:val="18"/>
                <w:color w:val="auto"/>
              </w:rPr>
              <w:t>Denominator:</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Shares used in computing net earnings per share of ordinary share, basic</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19,366,272</w:t>
            </w:r>
          </w:p>
        </w:tc>
        <w:tc>
          <w:tcPr>
            <w:tcW w:w="13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19,654,276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21,120,208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effect of dilutive securities—effect of stock-based awards</w:t>
            </w:r>
          </w:p>
        </w:tc>
        <w:tc>
          <w:tcPr>
            <w:tcW w:w="13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3"/>
          </w:tcPr>
          <w:p>
            <w:pPr>
              <w:ind w:left="8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7,517,593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Weighted-average shares used in computing net profit (loss) per share attributable to</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shareholders</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19,366,272</w:t>
            </w:r>
          </w:p>
        </w:tc>
        <w:tc>
          <w:tcPr>
            <w:tcW w:w="13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19,654,276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28,637,801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80" w:type="dxa"/>
            <w:vAlign w:val="bottom"/>
            <w:gridSpan w:val="3"/>
          </w:tcPr>
          <w:p>
            <w:pPr>
              <w:spacing w:after="0" w:line="201" w:lineRule="exact"/>
              <w:rPr>
                <w:sz w:val="20"/>
                <w:szCs w:val="20"/>
                <w:color w:val="auto"/>
              </w:rPr>
            </w:pPr>
            <w:r>
              <w:rPr>
                <w:rFonts w:ascii="Arial" w:cs="Arial" w:eastAsia="Arial" w:hAnsi="Arial"/>
                <w:sz w:val="18"/>
                <w:szCs w:val="18"/>
                <w:color w:val="auto"/>
              </w:rPr>
              <w:t>Diluted net profit (loss) per share attributable to ordinary shareholders</w:t>
            </w:r>
          </w:p>
        </w:tc>
        <w:tc>
          <w:tcPr>
            <w:tcW w:w="13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(0.60)</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(0.38)</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40" w:firstLine="546"/>
        <w:spacing w:after="0" w:line="239" w:lineRule="auto"/>
        <w:rPr>
          <w:sz w:val="20"/>
          <w:szCs w:val="20"/>
          <w:color w:val="auto"/>
        </w:rPr>
      </w:pPr>
      <w:r>
        <w:rPr>
          <w:rFonts w:ascii="Arial" w:cs="Arial" w:eastAsia="Arial" w:hAnsi="Arial"/>
          <w:sz w:val="18"/>
          <w:szCs w:val="18"/>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28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7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95"/>
              <w:spacing w:after="0" w:line="181" w:lineRule="exact"/>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3"/>
              <w:spacing w:after="0" w:line="181" w:lineRule="exact"/>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line="181" w:lineRule="exact"/>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194"/>
        </w:trPr>
        <w:tc>
          <w:tcPr>
            <w:tcW w:w="71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Convertible preferred shares</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83,037,000</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83,037,000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92,946,600</w:t>
            </w:r>
          </w:p>
        </w:tc>
        <w:tc>
          <w:tcPr>
            <w:tcW w:w="80" w:type="dxa"/>
            <w:vAlign w:val="bottom"/>
            <w:shd w:val="clear" w:color="auto" w:fill="CCEEFF"/>
          </w:tcPr>
          <w:p>
            <w:pPr>
              <w:spacing w:after="0"/>
              <w:rPr>
                <w:sz w:val="16"/>
                <w:szCs w:val="16"/>
                <w:color w:val="auto"/>
              </w:rPr>
            </w:pPr>
          </w:p>
        </w:tc>
      </w:tr>
      <w:tr>
        <w:trPr>
          <w:trHeight w:val="201"/>
        </w:trPr>
        <w:tc>
          <w:tcPr>
            <w:tcW w:w="7100" w:type="dxa"/>
            <w:vAlign w:val="bottom"/>
          </w:tcPr>
          <w:p>
            <w:pPr>
              <w:spacing w:after="0" w:line="201" w:lineRule="exact"/>
              <w:rPr>
                <w:sz w:val="20"/>
                <w:szCs w:val="20"/>
                <w:color w:val="auto"/>
              </w:rPr>
            </w:pPr>
            <w:r>
              <w:rPr>
                <w:rFonts w:ascii="Arial" w:cs="Arial" w:eastAsia="Arial" w:hAnsi="Arial"/>
                <w:sz w:val="18"/>
                <w:szCs w:val="18"/>
                <w:color w:val="auto"/>
              </w:rPr>
              <w:t>Warrants to convertible shares</w:t>
            </w:r>
          </w:p>
        </w:tc>
        <w:tc>
          <w:tcPr>
            <w:tcW w:w="128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312,600</w:t>
            </w:r>
          </w:p>
        </w:tc>
      </w:tr>
      <w:tr>
        <w:trPr>
          <w:trHeight w:val="201"/>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share options</w:t>
            </w:r>
          </w:p>
        </w:tc>
        <w:tc>
          <w:tcPr>
            <w:tcW w:w="11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8,472,000</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9,154,800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07"/>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91,509,000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92,191,800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93,259,200</w:t>
            </w:r>
          </w:p>
        </w:tc>
      </w:tr>
      <w:tr>
        <w:trPr>
          <w:trHeight w:val="20"/>
        </w:trPr>
        <w:tc>
          <w:tcPr>
            <w:tcW w:w="7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 Party Transactions</w:t>
      </w:r>
    </w:p>
    <w:p>
      <w:pPr>
        <w:spacing w:after="0" w:line="123"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Company is party to a Commercial Letter with DHL International GmbH (“DHL International”), dated March 27, 2017 and amended on December 7, 2020, pursuant to which the Company has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40"/>
        <w:spacing w:after="0" w:line="233" w:lineRule="auto"/>
        <w:rPr>
          <w:sz w:val="20"/>
          <w:szCs w:val="20"/>
          <w:color w:val="auto"/>
        </w:rPr>
      </w:pPr>
      <w:r>
        <w:rPr>
          <w:rFonts w:ascii="Arial" w:cs="Arial" w:eastAsia="Arial" w:hAnsi="Arial"/>
          <w:sz w:val="18"/>
          <w:szCs w:val="18"/>
          <w:color w:val="auto"/>
        </w:rPr>
        <w:t>undertaken to use DHL International exclusively for the provision of express shipping services to our customers, subject to certain exclusions described therein, and DHL International has undertaken certain commitments relating to the prices under which its services are offered to the Company. The current term of the Commercial Letter ends on March 27, 2022 and shall renew automatically thereafter until terminated by either the Company or DHL International upon twelve (12) months’ notice. In addition, the Company is party to a services agreement with DHL International (UK) Limited (“DHL UK”), dated May 21, 2019, under which DHL UK provides the Company with express shipping services relating to the purchase and sale of the Company’s customers’ products. The service agreement continues until terminated by either the Company or DHL UK in accordance with its terms. The consideration paid by the Company to DHL UK pursuant to the service agreement is contingent upon the extent of the shipping services provided. The Company entered similar arrangements with other DHL affiliated entities in the Netherlands, France and Spain. In connection with these arrangements, the Company recorded expenses included in Cost of revenue in the total amount of $16,800, $26,106 and $ 53,861 to DHL affiliated entities in the years ended December 31, 2018, 2019 and 2020, respectively. As of December 31, 2019 and 2020, the balances of accounts payable and accrued expenses in regards to DHL and its affiliated entities were $6,679 and $17,178, respectively (including duties charged by DHL).</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12. Fair Value Measurements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Financial instruments measured at fair value on a recurring basis include warrants to convertible preferred shares.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w:t>
      </w:r>
    </w:p>
    <w:p>
      <w:pPr>
        <w:ind w:left="160"/>
        <w:spacing w:after="0"/>
        <w:rPr>
          <w:sz w:val="20"/>
          <w:szCs w:val="20"/>
          <w:color w:val="auto"/>
        </w:rPr>
      </w:pPr>
      <w:r>
        <w:rPr>
          <w:rFonts w:ascii="Arial" w:cs="Arial" w:eastAsia="Arial" w:hAnsi="Arial"/>
          <w:sz w:val="18"/>
          <w:szCs w:val="18"/>
          <w:color w:val="auto"/>
        </w:rPr>
        <w:t>basis: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10"/>
          </w:tcPr>
          <w:p>
            <w:pPr>
              <w:jc w:val="center"/>
              <w:ind w:right="13"/>
              <w:spacing w:after="0" w:line="154" w:lineRule="exact"/>
              <w:rPr>
                <w:sz w:val="20"/>
                <w:szCs w:val="20"/>
                <w:color w:val="auto"/>
              </w:rPr>
            </w:pPr>
            <w:r>
              <w:rPr>
                <w:rFonts w:ascii="Arial" w:cs="Arial" w:eastAsia="Arial" w:hAnsi="Arial"/>
                <w:sz w:val="14"/>
                <w:szCs w:val="14"/>
                <w:b w:val="1"/>
                <w:bCs w:val="1"/>
                <w:color w:val="auto"/>
              </w:rPr>
              <w:t>Fair value measurements using input type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4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460"/>
              <w:spacing w:after="0" w:line="154"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40" w:type="dxa"/>
            <w:vAlign w:val="bottom"/>
          </w:tcPr>
          <w:p>
            <w:pPr>
              <w:ind w:left="60"/>
              <w:spacing w:after="0" w:line="154"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Assets:</w:t>
            </w:r>
          </w:p>
        </w:tc>
        <w:tc>
          <w:tcPr>
            <w:tcW w:w="66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tcPr>
          <w:p>
            <w:pPr>
              <w:spacing w:after="0" w:line="201" w:lineRule="exact"/>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7"/>
              </w:rPr>
              <w:t>1,200</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tcPr>
          <w:p>
            <w:pPr>
              <w:spacing w:after="0" w:line="201" w:lineRule="exact"/>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7"/>
                <w:szCs w:val="17"/>
                <w:color w:val="auto"/>
              </w:rPr>
            </w:pPr>
          </w:p>
        </w:tc>
        <w:tc>
          <w:tcPr>
            <w:tcW w:w="46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4"/>
              </w:rPr>
              <w:t>14,312</w:t>
            </w:r>
          </w:p>
        </w:tc>
        <w:tc>
          <w:tcPr>
            <w:tcW w:w="100" w:type="dxa"/>
            <w:vAlign w:val="bottom"/>
          </w:tcPr>
          <w:p>
            <w:pPr>
              <w:spacing w:after="0"/>
              <w:rPr>
                <w:sz w:val="17"/>
                <w:szCs w:val="17"/>
                <w:color w:val="auto"/>
              </w:rPr>
            </w:pPr>
          </w:p>
        </w:tc>
        <w:tc>
          <w:tcPr>
            <w:tcW w:w="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14,312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financials assets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w w:val="94"/>
              </w:rPr>
              <w:t>15,671</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16,871</w:t>
            </w:r>
          </w:p>
        </w:tc>
        <w:tc>
          <w:tcPr>
            <w:tcW w:w="0" w:type="dxa"/>
            <w:vAlign w:val="bottom"/>
          </w:tcPr>
          <w:p>
            <w:pPr>
              <w:spacing w:after="0"/>
              <w:rPr>
                <w:sz w:val="1"/>
                <w:szCs w:val="1"/>
                <w:color w:val="auto"/>
              </w:rPr>
            </w:pPr>
          </w:p>
        </w:tc>
      </w:tr>
      <w:tr>
        <w:trPr>
          <w:trHeight w:val="20"/>
        </w:trPr>
        <w:tc>
          <w:tcPr>
            <w:tcW w:w="7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3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Warrant to convertible preferred shares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5,738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7"/>
        </w:trPr>
        <w:tc>
          <w:tcPr>
            <w:tcW w:w="7300" w:type="dxa"/>
            <w:vAlign w:val="bottom"/>
            <w:gridSpan w:val="4"/>
          </w:tcPr>
          <w:p>
            <w:pPr>
              <w:spacing w:after="0"/>
              <w:rPr>
                <w:sz w:val="20"/>
                <w:szCs w:val="20"/>
                <w:color w:val="auto"/>
              </w:rPr>
            </w:pPr>
            <w:r>
              <w:rPr>
                <w:rFonts w:ascii="Arial" w:cs="Arial" w:eastAsia="Arial" w:hAnsi="Arial"/>
                <w:sz w:val="18"/>
                <w:szCs w:val="18"/>
                <w:color w:val="auto"/>
              </w:rPr>
              <w:t>Total financials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3"/>
              </w:rPr>
              <w:t>5,738</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The warrants were classified as level 3 in the fair value hierarchy since some of the inputs used in the valuation (the share price) were determined based on management’s assumptions.</w:t>
      </w:r>
    </w:p>
    <w:p>
      <w:pPr>
        <w:spacing w:after="0" w:line="203" w:lineRule="exact"/>
        <w:rPr>
          <w:sz w:val="20"/>
          <w:szCs w:val="20"/>
          <w:color w:val="auto"/>
        </w:rPr>
      </w:pPr>
    </w:p>
    <w:p>
      <w:pPr>
        <w:ind w:left="160" w:right="360" w:firstLine="546"/>
        <w:spacing w:after="0" w:line="253" w:lineRule="auto"/>
        <w:rPr>
          <w:sz w:val="20"/>
          <w:szCs w:val="20"/>
          <w:color w:val="auto"/>
        </w:rPr>
      </w:pPr>
      <w:r>
        <w:rPr>
          <w:rFonts w:ascii="Arial" w:cs="Arial" w:eastAsia="Arial" w:hAnsi="Arial"/>
          <w:sz w:val="17"/>
          <w:szCs w:val="17"/>
          <w:color w:val="auto"/>
        </w:rPr>
        <w:t>The Company measures the warrants at fair value by applying the Option Pricing Method (“OPM”) in each reporting period until they are exercised or expired, with changes in the fair value being recognized in the Company’s statement of operations as financial income or expense, as appropriate. As of December 31, 2019, and 2020, the risk free rate used for the valuation of the warrants was 2.01% and 0.56% volatility used was 73.77% and 84.68% and the time to liquidation used was 3.75 and 3 years, respectively.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warrants to convertible preferred shares were issued in consideration for a credit line asset during 2018. In 2018 the Company waived the rights to using the credit line asset and therefore amortized the asset that year.</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 in the fair value of the preferred share warrants liability is summarized below:</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920" w:type="dxa"/>
            <w:vAlign w:val="bottom"/>
          </w:tcPr>
          <w:p>
            <w:pPr>
              <w:spacing w:after="0"/>
              <w:rPr>
                <w:sz w:val="15"/>
                <w:szCs w:val="15"/>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89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4"/>
        </w:trPr>
        <w:tc>
          <w:tcPr>
            <w:tcW w:w="89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Beginning of the year</w:t>
            </w:r>
          </w:p>
        </w:tc>
        <w:tc>
          <w:tcPr>
            <w:tcW w:w="400" w:type="dxa"/>
            <w:vAlign w:val="bottom"/>
            <w:shd w:val="clear" w:color="auto" w:fill="CCEEFF"/>
          </w:tcPr>
          <w:p>
            <w:pPr>
              <w:jc w:val="center"/>
              <w:spacing w:after="0" w:line="194"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6"/>
                <w:szCs w:val="16"/>
                <w:color w:val="auto"/>
              </w:rPr>
            </w:pPr>
          </w:p>
        </w:tc>
      </w:tr>
      <w:tr>
        <w:trPr>
          <w:trHeight w:val="201"/>
        </w:trPr>
        <w:tc>
          <w:tcPr>
            <w:tcW w:w="8920" w:type="dxa"/>
            <w:vAlign w:val="bottom"/>
          </w:tcPr>
          <w:p>
            <w:pPr>
              <w:spacing w:after="0" w:line="201" w:lineRule="exact"/>
              <w:rPr>
                <w:sz w:val="20"/>
                <w:szCs w:val="20"/>
                <w:color w:val="auto"/>
              </w:rPr>
            </w:pPr>
            <w:r>
              <w:rPr>
                <w:rFonts w:ascii="Arial" w:cs="Arial" w:eastAsia="Arial" w:hAnsi="Arial"/>
                <w:sz w:val="18"/>
                <w:szCs w:val="18"/>
                <w:color w:val="auto"/>
              </w:rPr>
              <w:t>Issuance of warrants</w:t>
            </w: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w w:val="86"/>
              </w:rPr>
              <w:t>208</w:t>
            </w:r>
          </w:p>
        </w:tc>
        <w:tc>
          <w:tcPr>
            <w:tcW w:w="280" w:type="dxa"/>
            <w:vAlign w:val="bottom"/>
          </w:tcPr>
          <w:p>
            <w:pPr>
              <w:spacing w:after="0"/>
              <w:rPr>
                <w:sz w:val="17"/>
                <w:szCs w:val="17"/>
                <w:color w:val="auto"/>
              </w:rPr>
            </w:pPr>
          </w:p>
        </w:tc>
        <w:tc>
          <w:tcPr>
            <w:tcW w:w="6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r>
      <w:tr>
        <w:trPr>
          <w:trHeight w:val="201"/>
        </w:trPr>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w:t>
            </w:r>
          </w:p>
        </w:tc>
        <w:tc>
          <w:tcPr>
            <w:tcW w:w="6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5,523</w:t>
            </w:r>
          </w:p>
        </w:tc>
      </w:tr>
      <w:tr>
        <w:trPr>
          <w:trHeight w:val="20"/>
        </w:trPr>
        <w:tc>
          <w:tcPr>
            <w:tcW w:w="8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920" w:type="dxa"/>
            <w:vAlign w:val="bottom"/>
          </w:tcPr>
          <w:p>
            <w:pPr>
              <w:spacing w:after="0"/>
              <w:rPr>
                <w:sz w:val="20"/>
                <w:szCs w:val="20"/>
                <w:color w:val="auto"/>
              </w:rPr>
            </w:pPr>
            <w:r>
              <w:rPr>
                <w:rFonts w:ascii="Arial" w:cs="Arial" w:eastAsia="Arial" w:hAnsi="Arial"/>
                <w:sz w:val="18"/>
                <w:szCs w:val="18"/>
                <w:color w:val="auto"/>
              </w:rPr>
              <w:t>End of year</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210</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5,738</w:t>
            </w:r>
          </w:p>
        </w:tc>
      </w:tr>
      <w:tr>
        <w:trPr>
          <w:trHeight w:val="20"/>
        </w:trPr>
        <w:tc>
          <w:tcPr>
            <w:tcW w:w="8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Marketable Securities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December 31, 2020 the Company held marketable securities classified as available-for-sale securities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0" w:type="dxa"/>
            <w:vAlign w:val="bottom"/>
            <w:gridSpan w:val="2"/>
          </w:tcPr>
          <w:p>
            <w:pPr>
              <w:jc w:val="right"/>
              <w:ind w:right="740"/>
              <w:spacing w:after="0" w:line="141"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9"/>
              </w:rPr>
              <w:t>Losses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63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Mutual funds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1,200</w:t>
            </w: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19"/>
              <w:spacing w:after="0" w:line="194"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17"/>
              <w:spacing w:after="0" w:line="194"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1,200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6380" w:type="dxa"/>
            <w:vAlign w:val="bottom"/>
          </w:tcPr>
          <w:p>
            <w:pPr>
              <w:spacing w:after="0" w:line="201" w:lineRule="exact"/>
              <w:rPr>
                <w:sz w:val="20"/>
                <w:szCs w:val="20"/>
                <w:color w:val="auto"/>
              </w:rPr>
            </w:pPr>
            <w:r>
              <w:rPr>
                <w:rFonts w:ascii="Arial" w:cs="Arial" w:eastAsia="Arial" w:hAnsi="Arial"/>
                <w:sz w:val="18"/>
                <w:szCs w:val="18"/>
                <w:color w:val="auto"/>
              </w:rPr>
              <w:t>Government debentures</w:t>
            </w:r>
          </w:p>
        </w:tc>
        <w:tc>
          <w:tcPr>
            <w:tcW w:w="120" w:type="dxa"/>
            <w:vAlign w:val="bottom"/>
            <w:gridSpan w:val="2"/>
          </w:tcPr>
          <w:p>
            <w:pPr>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1,360</w:t>
            </w:r>
          </w:p>
        </w:tc>
        <w:tc>
          <w:tcPr>
            <w:tcW w:w="5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6</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(7)</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1,359</w:t>
            </w:r>
          </w:p>
        </w:tc>
      </w:tr>
      <w:tr>
        <w:trPr>
          <w:trHeight w:val="201"/>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debentures</w:t>
            </w:r>
          </w:p>
        </w:tc>
        <w:tc>
          <w:tcPr>
            <w:tcW w:w="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14,200</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14,312</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3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16,760</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16,871</w:t>
            </w: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Restatement of Previously Issued Consolidated Financial Statements</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Company has restated its previously issued consolidated financial statements as of the year ended December 31, 2020 to correct for an error with the underlying assumptions used in the valuation of the ordinary shares as of December 31, 2020, as part of the Company’s IPO process. The corrections primarily related to the Company’s valuation in connection with an IPO scenario, the timing of an IPO in such scenario and the probability of the IPO scenario.</w:t>
      </w:r>
    </w:p>
    <w:p>
      <w:pPr>
        <w:spacing w:after="0" w:line="202"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error resulted in an understatement of the share-based compensation expense for certain share option grants made in 2020 and the fair value of the warrants to convertible preferred shares. The impact of the errors on the previously reported December 31, 2020 consolidated balance sheet was an understatement of $3,367 in the fair value of the warrants to convertible preferred shares. The impact of the errors on the previously reported December 31, 2020 consolidated statement of operations was an understatement of $71, $161 and $378 in the research and development expenses, sales and marketing expenses and general and administrative expenses, respectively, as it relates to the share-based compensation and an understatement of $3,367 in the financial expenses as it relates to the valuation of the warrants to convertible preferred shares.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effects of the restatement on the line items within the Company’s Consolidated Balance Sheet as of December 31, 2020 are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02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rPr>
              <w:t>As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originally</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reported</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Restated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Warrants liabilities to preferred shares</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2,371</w:t>
            </w:r>
          </w:p>
        </w:tc>
        <w:tc>
          <w:tcPr>
            <w:tcW w:w="3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3,367</w:t>
            </w: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5,738</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102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89,885</w:t>
            </w: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3,367</w:t>
            </w:r>
          </w:p>
        </w:tc>
        <w:tc>
          <w:tcPr>
            <w:tcW w:w="7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93,252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 in capital</w:t>
            </w:r>
          </w:p>
        </w:tc>
        <w:tc>
          <w:tcPr>
            <w:tcW w:w="102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7,477</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610</w:t>
            </w:r>
          </w:p>
        </w:tc>
        <w:tc>
          <w:tcPr>
            <w:tcW w:w="32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8,087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0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(48,731)</w:t>
            </w: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3,977</w:t>
            </w: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shareholders’ (deficit) equity</w:t>
            </w:r>
          </w:p>
        </w:tc>
        <w:tc>
          <w:tcPr>
            <w:tcW w:w="10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(41,143)</w:t>
            </w:r>
          </w:p>
        </w:tc>
        <w:tc>
          <w:tcPr>
            <w:tcW w:w="940" w:type="dxa"/>
            <w:vAlign w:val="bottom"/>
            <w:tcBorders>
              <w:right w:val="single" w:sz="8" w:color="CCEEFF"/>
            </w:tcBorders>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3,367</w:t>
            </w:r>
          </w:p>
        </w:tc>
        <w:tc>
          <w:tcPr>
            <w:tcW w:w="7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effects of the restatement on the line items within the Company’s Consolidated Statement of Operations for the year ended</w:t>
      </w:r>
    </w:p>
    <w:p>
      <w:pPr>
        <w:ind w:left="160"/>
        <w:spacing w:after="0"/>
        <w:rPr>
          <w:sz w:val="20"/>
          <w:szCs w:val="20"/>
          <w:color w:val="auto"/>
        </w:rPr>
      </w:pPr>
      <w:r>
        <w:rPr>
          <w:rFonts w:ascii="Arial" w:cs="Arial" w:eastAsia="Arial" w:hAnsi="Arial"/>
          <w:sz w:val="18"/>
          <w:szCs w:val="18"/>
          <w:color w:val="auto"/>
        </w:rPr>
        <w:t>December 31, 2020 are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700"/>
              <w:spacing w:after="0" w:line="141" w:lineRule="exact"/>
              <w:rPr>
                <w:sz w:val="20"/>
                <w:szCs w:val="20"/>
                <w:color w:val="auto"/>
              </w:rPr>
            </w:pPr>
            <w:r>
              <w:rPr>
                <w:rFonts w:ascii="Arial" w:cs="Arial" w:eastAsia="Arial" w:hAnsi="Arial"/>
                <w:sz w:val="14"/>
                <w:szCs w:val="14"/>
                <w:b w:val="1"/>
                <w:bCs w:val="1"/>
                <w:color w:val="auto"/>
              </w:rPr>
              <w:t>As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originally</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reported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w w:val="98"/>
              </w:rPr>
              <w:t>15,329</w:t>
            </w: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15,400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9,677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9,444</w:t>
            </w: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378</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w w:val="98"/>
              </w:rPr>
              <w:t>34,450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35,060</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expenses, net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3,367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960" w:type="dxa"/>
            <w:vAlign w:val="bottom"/>
            <w:gridSpan w:val="2"/>
          </w:tcPr>
          <w:p>
            <w:pPr>
              <w:spacing w:after="0"/>
              <w:rPr>
                <w:sz w:val="20"/>
                <w:szCs w:val="20"/>
                <w:color w:val="auto"/>
              </w:rPr>
            </w:pPr>
            <w:r>
              <w:rPr>
                <w:rFonts w:ascii="Arial" w:cs="Arial" w:eastAsia="Arial" w:hAnsi="Arial"/>
                <w:sz w:val="18"/>
                <w:szCs w:val="18"/>
                <w:color w:val="auto"/>
              </w:rPr>
              <w:t>Profit before income taxes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(3,977)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60" w:type="dxa"/>
            <w:vAlign w:val="bottom"/>
            <w:gridSpan w:val="2"/>
          </w:tcPr>
          <w:p>
            <w:pPr>
              <w:spacing w:after="0"/>
              <w:rPr>
                <w:sz w:val="20"/>
                <w:szCs w:val="20"/>
                <w:color w:val="auto"/>
              </w:rPr>
            </w:pPr>
            <w:r>
              <w:rPr>
                <w:rFonts w:ascii="Arial" w:cs="Arial" w:eastAsia="Arial" w:hAnsi="Arial"/>
                <w:sz w:val="18"/>
                <w:szCs w:val="18"/>
                <w:color w:val="auto"/>
              </w:rPr>
              <w:t>Net profit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(3,977)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Undistributed earnings attributable to participating securities</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60"/>
              <w:spacing w:after="0" w:line="195" w:lineRule="exact"/>
              <w:rPr>
                <w:sz w:val="20"/>
                <w:szCs w:val="20"/>
                <w:color w:val="auto"/>
              </w:rPr>
            </w:pPr>
            <w:r>
              <w:rPr>
                <w:rFonts w:ascii="Arial" w:cs="Arial" w:eastAsia="Arial" w:hAnsi="Arial"/>
                <w:sz w:val="18"/>
                <w:szCs w:val="18"/>
                <w:color w:val="auto"/>
              </w:rPr>
              <w:t>6,430</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80"/>
              <w:spacing w:after="0" w:line="195" w:lineRule="exact"/>
              <w:rPr>
                <w:sz w:val="20"/>
                <w:szCs w:val="20"/>
                <w:color w:val="auto"/>
              </w:rPr>
            </w:pPr>
            <w:r>
              <w:rPr>
                <w:rFonts w:ascii="Arial" w:cs="Arial" w:eastAsia="Arial" w:hAnsi="Arial"/>
                <w:sz w:val="18"/>
                <w:szCs w:val="18"/>
                <w:color w:val="auto"/>
                <w:w w:val="94"/>
              </w:rPr>
              <w:t>(3,241)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60" w:type="dxa"/>
            <w:vAlign w:val="bottom"/>
            <w:gridSpan w:val="2"/>
          </w:tcPr>
          <w:p>
            <w:pPr>
              <w:spacing w:after="0" w:line="195" w:lineRule="exact"/>
              <w:rPr>
                <w:sz w:val="20"/>
                <w:szCs w:val="20"/>
                <w:color w:val="auto"/>
              </w:rPr>
            </w:pPr>
            <w:r>
              <w:rPr>
                <w:rFonts w:ascii="Arial" w:cs="Arial" w:eastAsia="Arial" w:hAnsi="Arial"/>
                <w:sz w:val="18"/>
                <w:szCs w:val="18"/>
                <w:color w:val="auto"/>
              </w:rPr>
              <w:t>Net earnings (loss) attributable to ordinary shareholders</w:t>
            </w:r>
          </w:p>
        </w:tc>
        <w:tc>
          <w:tcPr>
            <w:tcW w:w="100" w:type="dxa"/>
            <w:vAlign w:val="bottom"/>
          </w:tcPr>
          <w:p>
            <w:pPr>
              <w:spacing w:after="0"/>
              <w:rPr>
                <w:sz w:val="16"/>
                <w:szCs w:val="16"/>
                <w:color w:val="auto"/>
              </w:rPr>
            </w:pPr>
          </w:p>
        </w:tc>
        <w:tc>
          <w:tcPr>
            <w:tcW w:w="102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1,461</w:t>
            </w:r>
          </w:p>
        </w:tc>
        <w:tc>
          <w:tcPr>
            <w:tcW w:w="100" w:type="dxa"/>
            <w:vAlign w:val="bottom"/>
          </w:tcPr>
          <w:p>
            <w:pPr>
              <w:spacing w:after="0"/>
              <w:rPr>
                <w:sz w:val="16"/>
                <w:szCs w:val="16"/>
                <w:color w:val="auto"/>
              </w:rPr>
            </w:pPr>
          </w:p>
        </w:tc>
        <w:tc>
          <w:tcPr>
            <w:tcW w:w="10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(736)</w:t>
            </w:r>
          </w:p>
        </w:tc>
        <w:tc>
          <w:tcPr>
            <w:tcW w:w="10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725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 (loss) per share attributable to ordinary shareholders, basic</w:t>
            </w:r>
          </w:p>
        </w:tc>
        <w:tc>
          <w:tcPr>
            <w:tcW w:w="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line="195" w:lineRule="exact"/>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60" w:type="dxa"/>
            <w:vAlign w:val="bottom"/>
            <w:gridSpan w:val="2"/>
          </w:tcPr>
          <w:p>
            <w:pPr>
              <w:spacing w:after="0" w:line="195" w:lineRule="exact"/>
              <w:rPr>
                <w:sz w:val="20"/>
                <w:szCs w:val="20"/>
                <w:color w:val="auto"/>
              </w:rPr>
            </w:pPr>
            <w:r>
              <w:rPr>
                <w:rFonts w:ascii="Arial" w:cs="Arial" w:eastAsia="Arial" w:hAnsi="Arial"/>
                <w:sz w:val="18"/>
                <w:szCs w:val="18"/>
                <w:color w:val="auto"/>
              </w:rPr>
              <w:t>Net earnings (loss) per share attributable to ordinary shareholders, diluted</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0.05</w:t>
            </w:r>
          </w:p>
        </w:tc>
        <w:tc>
          <w:tcPr>
            <w:tcW w:w="4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(0.02)</w:t>
            </w: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5260"/>
              <w:spacing w:after="0"/>
              <w:rPr>
                <w:sz w:val="20"/>
                <w:szCs w:val="20"/>
                <w:color w:val="auto"/>
              </w:rPr>
            </w:pPr>
            <w:r>
              <w:rPr>
                <w:rFonts w:ascii="Arial" w:cs="Arial" w:eastAsia="Arial" w:hAnsi="Arial"/>
                <w:sz w:val="18"/>
                <w:szCs w:val="18"/>
                <w:color w:val="auto"/>
              </w:rPr>
              <w:t>F-34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The effects of the restatement on the line items within the Company’s Consolidated Statements of Comprehensive Income for the year ended December 31, 2020 are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7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 2020</w:t>
            </w:r>
          </w:p>
        </w:tc>
      </w:tr>
      <w:tr>
        <w:trPr>
          <w:trHeight w:val="141"/>
        </w:trPr>
        <w:tc>
          <w:tcPr>
            <w:tcW w:w="6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rPr>
              <w:t>As</w:t>
            </w: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65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originally</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w:t>
            </w:r>
          </w:p>
        </w:tc>
      </w:tr>
      <w:tr>
        <w:trPr>
          <w:trHeight w:val="174"/>
        </w:trPr>
        <w:tc>
          <w:tcPr>
            <w:tcW w:w="6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reported</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Restated</w:t>
            </w:r>
          </w:p>
        </w:tc>
      </w:tr>
      <w:tr>
        <w:trPr>
          <w:trHeight w:val="194"/>
        </w:trPr>
        <w:tc>
          <w:tcPr>
            <w:tcW w:w="6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profit</w:t>
            </w:r>
          </w:p>
        </w:tc>
        <w:tc>
          <w:tcPr>
            <w:tcW w:w="16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$ 7,891</w:t>
            </w: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100"/>
              <w:spacing w:after="0" w:line="194" w:lineRule="exact"/>
              <w:rPr>
                <w:sz w:val="20"/>
                <w:szCs w:val="20"/>
                <w:color w:val="auto"/>
              </w:rPr>
            </w:pPr>
            <w:r>
              <w:rPr>
                <w:rFonts w:ascii="Arial" w:cs="Arial" w:eastAsia="Arial" w:hAnsi="Arial"/>
                <w:sz w:val="18"/>
                <w:szCs w:val="18"/>
                <w:color w:val="auto"/>
                <w:w w:val="87"/>
              </w:rPr>
              <w:t>(3,977)</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6"/>
              </w:rPr>
              <w:t>$ 3,914</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658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available-for-sale marketable securities, net</w:t>
            </w:r>
          </w:p>
        </w:tc>
        <w:tc>
          <w:tcPr>
            <w:tcW w:w="16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7"/>
                <w:szCs w:val="17"/>
                <w:color w:val="auto"/>
              </w:rPr>
            </w:pPr>
          </w:p>
        </w:tc>
      </w:tr>
      <w:tr>
        <w:trPr>
          <w:trHeight w:val="207"/>
        </w:trPr>
        <w:tc>
          <w:tcPr>
            <w:tcW w:w="6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6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w:t>
            </w:r>
          </w:p>
        </w:tc>
        <w:tc>
          <w:tcPr>
            <w:tcW w:w="2620" w:type="dxa"/>
            <w:vAlign w:val="bottom"/>
            <w:gridSpan w:val="3"/>
            <w:shd w:val="clear" w:color="auto" w:fill="CCEEFF"/>
          </w:tcPr>
          <w:p>
            <w:pPr>
              <w:jc w:val="right"/>
              <w:ind w:right="380"/>
              <w:spacing w:after="0" w:line="195" w:lineRule="exact"/>
              <w:rPr>
                <w:sz w:val="20"/>
                <w:szCs w:val="20"/>
                <w:color w:val="auto"/>
              </w:rPr>
            </w:pPr>
            <w:r>
              <w:rPr>
                <w:rFonts w:ascii="Arial" w:cs="Arial" w:eastAsia="Arial" w:hAnsi="Arial"/>
                <w:sz w:val="18"/>
                <w:szCs w:val="18"/>
                <w:color w:val="auto"/>
              </w:rPr>
              <w:t>8,002</w:t>
            </w:r>
          </w:p>
        </w:tc>
        <w:tc>
          <w:tcPr>
            <w:tcW w:w="86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(3,977)</w:t>
            </w:r>
          </w:p>
        </w:tc>
        <w:tc>
          <w:tcPr>
            <w:tcW w:w="860" w:type="dxa"/>
            <w:vAlign w:val="bottom"/>
            <w:gridSpan w:val="3"/>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4,025</w:t>
            </w:r>
          </w:p>
        </w:tc>
      </w:tr>
      <w:tr>
        <w:trPr>
          <w:trHeight w:val="20"/>
        </w:trPr>
        <w:tc>
          <w:tcPr>
            <w:tcW w:w="6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effects of the restatement on the line items within the Company’s Consolidated Statements of Convertible Preferred Shares and Shareholders’ Deficit for the year ended December 31, 2020 are as follows:</w:t>
      </w:r>
    </w:p>
    <w:p>
      <w:pPr>
        <w:spacing w:after="0" w:line="217"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December 31, 2020</w:t>
      </w:r>
    </w:p>
    <w:p>
      <w:pPr>
        <w:spacing w:after="0" w:line="13" w:lineRule="exact"/>
        <w:rPr>
          <w:sz w:val="20"/>
          <w:szCs w:val="20"/>
          <w:color w:val="auto"/>
        </w:rPr>
      </w:pPr>
    </w:p>
    <w:tbl>
      <w:tblPr>
        <w:tblLayout w:type="fixed"/>
        <w:tblInd w:w="1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As</w:t>
            </w: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originally</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reported</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Adjusted</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Additional paid in capital</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7,477</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610</w:t>
            </w: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8,087</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(48,731)</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(3,977)</w:t>
            </w:r>
          </w:p>
        </w:tc>
        <w:tc>
          <w:tcPr>
            <w:tcW w:w="8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shareholders’ (deficit) equity</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(41,143)</w:t>
            </w:r>
          </w:p>
        </w:tc>
        <w:tc>
          <w:tcPr>
            <w:tcW w:w="8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(3,367)</w:t>
            </w:r>
          </w:p>
        </w:tc>
        <w:tc>
          <w:tcPr>
            <w:tcW w:w="8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Although there was no impact to net cash provided by operating activities, net cash used in investing activities or net cash used in financing activities, The effects of the restatement on the line items within the Company’s Consolidated Statements of Cash Flows for the year ended December 31, 2020 are as follows:</w:t>
      </w:r>
    </w:p>
    <w:p>
      <w:pPr>
        <w:spacing w:after="0" w:line="21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 2020</w:t>
      </w:r>
    </w:p>
    <w:p>
      <w:pPr>
        <w:spacing w:after="0" w:line="13" w:lineRule="exact"/>
        <w:rPr>
          <w:sz w:val="20"/>
          <w:szCs w:val="20"/>
          <w:color w:val="auto"/>
        </w:rPr>
      </w:pPr>
    </w:p>
    <w:tbl>
      <w:tblPr>
        <w:tblLayout w:type="fixed"/>
        <w:tblInd w:w="1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600"/>
              <w:spacing w:after="0" w:line="141" w:lineRule="exact"/>
              <w:rPr>
                <w:sz w:val="20"/>
                <w:szCs w:val="20"/>
                <w:color w:val="auto"/>
              </w:rPr>
            </w:pPr>
            <w:r>
              <w:rPr>
                <w:rFonts w:ascii="Arial" w:cs="Arial" w:eastAsia="Arial" w:hAnsi="Arial"/>
                <w:sz w:val="14"/>
                <w:szCs w:val="14"/>
                <w:b w:val="1"/>
                <w:bCs w:val="1"/>
                <w:color w:val="auto"/>
              </w:rPr>
              <w:t>As</w:t>
            </w:r>
          </w:p>
        </w:tc>
        <w:tc>
          <w:tcPr>
            <w:tcW w:w="6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originally</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profit</w:t>
            </w: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7,891</w:t>
            </w: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(3,977)</w:t>
            </w:r>
          </w:p>
        </w:tc>
        <w:tc>
          <w:tcPr>
            <w:tcW w:w="4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160"/>
              <w:spacing w:after="0" w:line="194" w:lineRule="exact"/>
              <w:rPr>
                <w:sz w:val="20"/>
                <w:szCs w:val="20"/>
                <w:color w:val="auto"/>
              </w:rPr>
            </w:pPr>
            <w:r>
              <w:rPr>
                <w:rFonts w:ascii="Arial" w:cs="Arial" w:eastAsia="Arial" w:hAnsi="Arial"/>
                <w:sz w:val="18"/>
                <w:szCs w:val="18"/>
                <w:color w:val="auto"/>
                <w:w w:val="93"/>
              </w:rPr>
              <w:t>3,914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rPr>
              <w:t>Share-based compensation expense</w:t>
            </w:r>
          </w:p>
        </w:tc>
        <w:tc>
          <w:tcPr>
            <w:tcW w:w="10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3,346</w:t>
            </w:r>
          </w:p>
        </w:tc>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610</w:t>
            </w:r>
          </w:p>
        </w:tc>
        <w:tc>
          <w:tcPr>
            <w:tcW w:w="6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liabilities to preferred shares</w:t>
            </w:r>
          </w:p>
        </w:tc>
        <w:tc>
          <w:tcPr>
            <w:tcW w:w="10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2,371</w:t>
            </w:r>
          </w:p>
        </w:tc>
        <w:tc>
          <w:tcPr>
            <w:tcW w:w="106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3,367</w:t>
            </w:r>
          </w:p>
        </w:tc>
        <w:tc>
          <w:tcPr>
            <w:tcW w:w="6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impacts of the restatement to stock-based compensation expense and the fair value of the warrants to convertible preferred shares affect certain notes to the consolidated financial statements, and conforming changes have been made to Note 5b, Note 7, Note 10 and Note 12.</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15. Subsequent Events</w:t>
      </w:r>
    </w:p>
    <w:p>
      <w:pPr>
        <w:spacing w:after="0" w:line="123" w:lineRule="exact"/>
        <w:rPr>
          <w:sz w:val="20"/>
          <w:szCs w:val="20"/>
          <w:color w:val="auto"/>
        </w:rPr>
      </w:pPr>
    </w:p>
    <w:p>
      <w:pPr>
        <w:ind w:left="160" w:right="380" w:firstLine="546"/>
        <w:spacing w:after="0" w:line="237" w:lineRule="auto"/>
        <w:rPr>
          <w:sz w:val="20"/>
          <w:szCs w:val="20"/>
          <w:color w:val="auto"/>
        </w:rPr>
      </w:pPr>
      <w:r>
        <w:rPr>
          <w:rFonts w:ascii="Arial" w:cs="Arial" w:eastAsia="Arial" w:hAnsi="Arial"/>
          <w:sz w:val="18"/>
          <w:szCs w:val="18"/>
          <w:color w:val="auto"/>
        </w:rPr>
        <w:t>The Company has evaluated subsequent events from the balance sheet date through February 19, 2021, the date at which the original consolidated financial statements were available to be issued and April 13, 2021, the date at which the revised consolidated financial statements were available to be issued.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w:t>
      </w:r>
    </w:p>
    <w:p>
      <w:pPr>
        <w:spacing w:after="0" w:line="234"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On April 12, 2021, the Company entered into a Services and Partnership Agreement with Shopify to jointly cooperate in offering e-commerce cross-border solutions to Shopify merchants, pursuant to which the Company will be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Company will pay Shopify a percentage based fee on the total value of all sales for all transactions processed through the GLBE Shopify App. In exchange for the benefit of acquiring new merchant partners, the Company issued to Shopify warrants to purchase up to an aggregate amount of 19,604,239 of the Company’s ordinary shares at a price of $0.01 per share, of which 7,750,513 were vested and became exercisable upon the entry into the Services and Partnership Agreement and the remaining 11,853,726 ordinary shares vest monthly, in equal amounts over a 24-month period, commencing on the second monthly anniversary of the effective date of the Services and Partnership Agreement. The Company recognized on the effective date of the Services and Partnership Agreement an asset for 40% of the warrants as this portion of the warrants became fully vested on this date. The remaining unvested warrants will be recognized as an asset over the two year period during which the remaining warrants become vested. This asset represents the probable future economic benefit to be realized over the four-year expected benefit period and is valued based on the fair value of the warrants on the grant date. The Company expects that the total fair market value of the warrants will be approximately $470 million as of the grant date. The Company valued the warrants at issuance using the Black-Scholes-Merton option pricing model with the following assumptions: underlying share value of $24.00 (based on the expected midpoint of the IPO price), a dividend yield of zero, maturity of 10 years, volatility of 67.80% and a risk-free rate of 1.69%. The Company expects to record a total of approximately $117.5 million on an annual basis over a period of four years as a result of the amortization of the assets resulted from the warrants granted to Shopify (approximately $ 83 million for the year ended December 31, 2021, approximately $117.5 million for each of the years ended December 31, 2022, 2023 and 2024, and approximately $34.5 million for the year ended December 31, 2025). The amortization will be included within the sales and marketing expenses.</w:t>
      </w:r>
    </w:p>
    <w:p>
      <w:pPr>
        <w:spacing w:after="0" w:line="207" w:lineRule="exact"/>
        <w:rPr>
          <w:sz w:val="20"/>
          <w:szCs w:val="20"/>
          <w:color w:val="auto"/>
        </w:rPr>
      </w:pPr>
    </w:p>
    <w:p>
      <w:pPr>
        <w:jc w:val="both"/>
        <w:ind w:left="160" w:right="580" w:firstLine="546"/>
        <w:spacing w:after="0" w:line="237" w:lineRule="auto"/>
        <w:rPr>
          <w:sz w:val="20"/>
          <w:szCs w:val="20"/>
          <w:color w:val="auto"/>
        </w:rPr>
      </w:pPr>
      <w:r>
        <w:rPr>
          <w:rFonts w:ascii="Arial" w:cs="Arial" w:eastAsia="Arial" w:hAnsi="Arial"/>
          <w:sz w:val="18"/>
          <w:szCs w:val="18"/>
          <w:color w:val="auto"/>
        </w:rPr>
        <w:t>The Services and Partnership Agreement has an initial three-year term ending in April 2024, which automatically renews for additional and successive one-year terms unless either party provides the other party with written notice of election to terminate the agreement at least 180 days prior to the end of any such term.</w:t>
      </w:r>
    </w:p>
    <w:p>
      <w:pPr>
        <w:spacing w:after="0" w:line="203" w:lineRule="exact"/>
        <w:rPr>
          <w:sz w:val="20"/>
          <w:szCs w:val="20"/>
          <w:color w:val="auto"/>
        </w:rPr>
      </w:pPr>
    </w:p>
    <w:p>
      <w:pPr>
        <w:ind w:left="160" w:right="480" w:firstLine="546"/>
        <w:spacing w:after="0" w:line="239" w:lineRule="auto"/>
        <w:rPr>
          <w:sz w:val="20"/>
          <w:szCs w:val="20"/>
          <w:color w:val="auto"/>
        </w:rPr>
      </w:pPr>
      <w:r>
        <w:rPr>
          <w:rFonts w:ascii="Arial" w:cs="Arial" w:eastAsia="Arial" w:hAnsi="Arial"/>
          <w:sz w:val="18"/>
          <w:szCs w:val="18"/>
          <w:color w:val="auto"/>
        </w:rPr>
        <w:t>The pro forma financial data gives effect to the entry into the Services and Partnership Agreement and the related issuance of warrants as if each had occurred on December 31, 2020.</w:t>
      </w:r>
    </w:p>
    <w:p>
      <w:pPr>
        <w:spacing w:after="0" w:line="203" w:lineRule="exact"/>
        <w:rPr>
          <w:sz w:val="20"/>
          <w:szCs w:val="20"/>
          <w:color w:val="auto"/>
        </w:rPr>
      </w:pPr>
    </w:p>
    <w:p>
      <w:pPr>
        <w:ind w:left="160" w:right="540" w:firstLine="546"/>
        <w:spacing w:after="0" w:line="239" w:lineRule="auto"/>
        <w:rPr>
          <w:sz w:val="20"/>
          <w:szCs w:val="20"/>
          <w:color w:val="auto"/>
        </w:rPr>
      </w:pPr>
      <w:r>
        <w:rPr>
          <w:rFonts w:ascii="Arial" w:cs="Arial" w:eastAsia="Arial" w:hAnsi="Arial"/>
          <w:sz w:val="18"/>
          <w:szCs w:val="18"/>
          <w:color w:val="auto"/>
        </w:rPr>
        <w:t>The Company will include in its basic earnings per share the vested portion of the warrants as those warrants are considered shares issuable for nominal cash consideration, as required in ASC 260-10-45-13.</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INTERIM CONSOLIDATED BALANCE SHEETS</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8480" w:type="dxa"/>
            <w:vAlign w:val="bottom"/>
          </w:tcPr>
          <w:p>
            <w:pPr>
              <w:spacing w:after="0"/>
              <w:rPr>
                <w:sz w:val="15"/>
                <w:szCs w:val="15"/>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4"/>
        </w:trPr>
        <w:tc>
          <w:tcPr>
            <w:tcW w:w="84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Current assets:</w:t>
            </w: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68,637</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391,008</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Short-term deposits</w:t>
            </w:r>
          </w:p>
        </w:tc>
        <w:tc>
          <w:tcPr>
            <w:tcW w:w="920" w:type="dxa"/>
            <w:vAlign w:val="bottom"/>
          </w:tcPr>
          <w:p>
            <w:pPr>
              <w:jc w:val="right"/>
              <w:spacing w:after="0"/>
              <w:rPr>
                <w:sz w:val="20"/>
                <w:szCs w:val="20"/>
                <w:color w:val="auto"/>
              </w:rPr>
            </w:pPr>
            <w:r>
              <w:rPr>
                <w:rFonts w:ascii="Arial" w:cs="Arial" w:eastAsia="Arial" w:hAnsi="Arial"/>
                <w:sz w:val="14"/>
                <w:szCs w:val="14"/>
                <w:color w:val="auto"/>
              </w:rPr>
              <w:t>6,457</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78,370</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4,167</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23,047</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28,651</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16,871</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18,550</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Funds receivable, including cash in banks</w:t>
            </w:r>
          </w:p>
        </w:tc>
        <w:tc>
          <w:tcPr>
            <w:tcW w:w="920" w:type="dxa"/>
            <w:vAlign w:val="bottom"/>
          </w:tcPr>
          <w:p>
            <w:pPr>
              <w:jc w:val="right"/>
              <w:spacing w:after="0"/>
              <w:rPr>
                <w:sz w:val="20"/>
                <w:szCs w:val="20"/>
                <w:color w:val="auto"/>
              </w:rPr>
            </w:pPr>
            <w:r>
              <w:rPr>
                <w:rFonts w:ascii="Arial" w:cs="Arial" w:eastAsia="Arial" w:hAnsi="Arial"/>
                <w:sz w:val="14"/>
                <w:szCs w:val="14"/>
                <w:color w:val="auto"/>
              </w:rPr>
              <w:t>34,492</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30,992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153,098</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551,738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920" w:type="dxa"/>
            <w:vAlign w:val="bottom"/>
          </w:tcPr>
          <w:p>
            <w:pPr>
              <w:jc w:val="right"/>
              <w:spacing w:after="0"/>
              <w:rPr>
                <w:sz w:val="20"/>
                <w:szCs w:val="20"/>
                <w:color w:val="auto"/>
              </w:rPr>
            </w:pPr>
            <w:r>
              <w:rPr>
                <w:rFonts w:ascii="Arial" w:cs="Arial" w:eastAsia="Arial" w:hAnsi="Arial"/>
                <w:sz w:val="14"/>
                <w:szCs w:val="14"/>
                <w:color w:val="auto"/>
              </w:rPr>
              <w:t>717</w:t>
            </w:r>
          </w:p>
        </w:tc>
        <w:tc>
          <w:tcPr>
            <w:tcW w:w="6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3,570</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Long term deposits</w:t>
            </w:r>
          </w:p>
        </w:tc>
        <w:tc>
          <w:tcPr>
            <w:tcW w:w="920" w:type="dxa"/>
            <w:vAlign w:val="bottom"/>
          </w:tcPr>
          <w:p>
            <w:pPr>
              <w:jc w:val="right"/>
              <w:spacing w:after="0"/>
              <w:rPr>
                <w:sz w:val="20"/>
                <w:szCs w:val="20"/>
                <w:color w:val="auto"/>
              </w:rPr>
            </w:pPr>
            <w:r>
              <w:rPr>
                <w:rFonts w:ascii="Arial" w:cs="Arial" w:eastAsia="Arial" w:hAnsi="Arial"/>
                <w:sz w:val="14"/>
                <w:szCs w:val="14"/>
                <w:color w:val="auto"/>
              </w:rPr>
              <w:t>2,223</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Deferred contract acquisition costs, noncurrent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Other assets, noncurrent</w:t>
            </w:r>
          </w:p>
        </w:tc>
        <w:tc>
          <w:tcPr>
            <w:tcW w:w="920" w:type="dxa"/>
            <w:vAlign w:val="bottom"/>
          </w:tcPr>
          <w:p>
            <w:pPr>
              <w:jc w:val="right"/>
              <w:spacing w:after="0"/>
              <w:rPr>
                <w:sz w:val="20"/>
                <w:szCs w:val="20"/>
                <w:color w:val="auto"/>
              </w:rPr>
            </w:pPr>
            <w:r>
              <w:rPr>
                <w:rFonts w:ascii="Arial" w:cs="Arial" w:eastAsia="Arial" w:hAnsi="Arial"/>
                <w:sz w:val="14"/>
                <w:szCs w:val="14"/>
                <w:color w:val="auto"/>
              </w:rPr>
              <w:t>368</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Commercial asset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184,234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80" w:type="dxa"/>
            <w:vAlign w:val="bottom"/>
          </w:tcPr>
          <w:p>
            <w:pPr>
              <w:spacing w:after="0"/>
              <w:rPr>
                <w:sz w:val="20"/>
                <w:szCs w:val="20"/>
                <w:color w:val="auto"/>
              </w:rPr>
            </w:pPr>
            <w:r>
              <w:rPr>
                <w:rFonts w:ascii="Arial" w:cs="Arial" w:eastAsia="Arial" w:hAnsi="Arial"/>
                <w:sz w:val="14"/>
                <w:szCs w:val="14"/>
                <w:color w:val="auto"/>
              </w:rPr>
              <w:t>Total long-term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8,197</w:t>
            </w:r>
          </w:p>
        </w:tc>
        <w:tc>
          <w:tcPr>
            <w:tcW w:w="6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192,117</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8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Total assets</w:t>
            </w:r>
          </w:p>
        </w:tc>
        <w:tc>
          <w:tcPr>
            <w:tcW w:w="92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161,295</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4"/>
                <w:szCs w:val="14"/>
                <w:color w:val="auto"/>
              </w:rPr>
              <w:t>743,855</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Shares and Shareholders’ (Deficit) Equity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tcPr>
          <w:p>
            <w:pPr>
              <w:spacing w:after="0"/>
              <w:rPr>
                <w:sz w:val="20"/>
                <w:szCs w:val="20"/>
                <w:color w:val="auto"/>
              </w:rPr>
            </w:pPr>
            <w:r>
              <w:rPr>
                <w:rFonts w:ascii="Arial" w:cs="Arial" w:eastAsia="Arial" w:hAnsi="Arial"/>
                <w:sz w:val="14"/>
                <w:szCs w:val="14"/>
                <w:color w:val="auto"/>
              </w:rPr>
              <w:t>Accounts payable (including related party payables of $14,058 and $11,712 as of December 31, 2020 and June 30, 2021,</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Pr>
          <w:p>
            <w:pPr>
              <w:ind w:left="160"/>
              <w:spacing w:after="0" w:line="156" w:lineRule="exact"/>
              <w:rPr>
                <w:sz w:val="20"/>
                <w:szCs w:val="20"/>
                <w:color w:val="auto"/>
              </w:rPr>
            </w:pPr>
            <w:r>
              <w:rPr>
                <w:rFonts w:ascii="Arial" w:cs="Arial" w:eastAsia="Arial" w:hAnsi="Arial"/>
                <w:sz w:val="14"/>
                <w:szCs w:val="14"/>
                <w:color w:val="auto"/>
              </w:rPr>
              <w:t>respectively)</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19,057</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19,051</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 and other current liabilities (including related party payables of $3,120 and $2,721 as of December 31,</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2020 and June 30, 2021, respectively)</w:t>
            </w:r>
          </w:p>
        </w:tc>
        <w:tc>
          <w:tcPr>
            <w:tcW w:w="9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29,432</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25,026</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Funds payable to Customers</w:t>
            </w:r>
          </w:p>
        </w:tc>
        <w:tc>
          <w:tcPr>
            <w:tcW w:w="920" w:type="dxa"/>
            <w:vAlign w:val="bottom"/>
          </w:tcPr>
          <w:p>
            <w:pPr>
              <w:jc w:val="right"/>
              <w:spacing w:after="0"/>
              <w:rPr>
                <w:sz w:val="20"/>
                <w:szCs w:val="20"/>
                <w:color w:val="auto"/>
              </w:rPr>
            </w:pPr>
            <w:r>
              <w:rPr>
                <w:rFonts w:ascii="Arial" w:cs="Arial" w:eastAsia="Arial" w:hAnsi="Arial"/>
                <w:sz w:val="14"/>
                <w:szCs w:val="14"/>
                <w:color w:val="auto"/>
              </w:rPr>
              <w:t>34,492</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30,992</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Short term operating lease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83,896</w:t>
            </w:r>
          </w:p>
        </w:tc>
        <w:tc>
          <w:tcPr>
            <w:tcW w:w="6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75,978</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Warrants liabilities to preferred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Long term operating lease liabilities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3,513</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93,252</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78,993</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shares, with no par value, 162,875 shares authorized as of December 31, 2020, 162,101 issued and</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outstanding as of December 31, 2020; aggregate liquidation preference of $113,276 as of December 31, 2020</w:t>
            </w:r>
          </w:p>
        </w:tc>
        <w:tc>
          <w:tcPr>
            <w:tcW w:w="9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112,553</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Shareholders’ deficit:</w:t>
            </w: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Ordinary shares, with no par value, 5,902,275,000 and 300,000,000 shares authorized as of December 31, 2020 and</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June 30, 2021, respectively; 21,761,400 and 145,641,073, shares issued and outstanding as of December 31, 2020 and</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June 30, 2021, respectively;</w:t>
            </w:r>
          </w:p>
        </w:tc>
        <w:tc>
          <w:tcPr>
            <w:tcW w:w="1540" w:type="dxa"/>
            <w:vAlign w:val="bottom"/>
            <w:gridSpan w:val="2"/>
            <w:shd w:val="clear" w:color="auto" w:fill="CCEEFF"/>
          </w:tcPr>
          <w:p>
            <w:pPr>
              <w:jc w:val="right"/>
              <w:ind w:right="680"/>
              <w:spacing w:after="0" w:line="156"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920" w:type="dxa"/>
            <w:vAlign w:val="bottom"/>
          </w:tcPr>
          <w:p>
            <w:pPr>
              <w:jc w:val="right"/>
              <w:spacing w:after="0"/>
              <w:rPr>
                <w:sz w:val="20"/>
                <w:szCs w:val="20"/>
                <w:color w:val="auto"/>
              </w:rPr>
            </w:pPr>
            <w:r>
              <w:rPr>
                <w:rFonts w:ascii="Arial" w:cs="Arial" w:eastAsia="Arial" w:hAnsi="Arial"/>
                <w:sz w:val="14"/>
                <w:szCs w:val="14"/>
                <w:color w:val="auto"/>
              </w:rPr>
              <w:t>8,087</w:t>
            </w:r>
          </w:p>
        </w:tc>
        <w:tc>
          <w:tcPr>
            <w:tcW w:w="6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741,594</w:t>
            </w:r>
          </w:p>
        </w:tc>
        <w:tc>
          <w:tcPr>
            <w:tcW w:w="0" w:type="dxa"/>
            <w:vAlign w:val="bottom"/>
          </w:tcPr>
          <w:p>
            <w:pPr>
              <w:spacing w:after="0"/>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Accumulated comprehensive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6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0"/>
        </w:trPr>
        <w:tc>
          <w:tcPr>
            <w:tcW w:w="8480" w:type="dxa"/>
            <w:vAlign w:val="bottom"/>
          </w:tcPr>
          <w:p>
            <w:pPr>
              <w:spacing w:after="0"/>
              <w:rPr>
                <w:sz w:val="20"/>
                <w:szCs w:val="20"/>
                <w:color w:val="auto"/>
              </w:rPr>
            </w:pPr>
            <w:r>
              <w:rPr>
                <w:rFonts w:ascii="Arial" w:cs="Arial" w:eastAsia="Arial" w:hAnsi="Arial"/>
                <w:sz w:val="14"/>
                <w:szCs w:val="14"/>
                <w:color w:val="auto"/>
              </w:rPr>
              <w:t>Accumulated deficit</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color w:val="auto"/>
              </w:rPr>
              <w:t>(52,708)</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(76,681)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(deficit) equity</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(44,510)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664,862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80" w:type="dxa"/>
            <w:vAlign w:val="bottom"/>
          </w:tcPr>
          <w:p>
            <w:pPr>
              <w:spacing w:after="0"/>
              <w:rPr>
                <w:sz w:val="20"/>
                <w:szCs w:val="20"/>
                <w:color w:val="auto"/>
              </w:rPr>
            </w:pPr>
            <w:r>
              <w:rPr>
                <w:rFonts w:ascii="Arial" w:cs="Arial" w:eastAsia="Arial" w:hAnsi="Arial"/>
                <w:sz w:val="14"/>
                <w:szCs w:val="14"/>
                <w:color w:val="auto"/>
              </w:rPr>
              <w:t>Total liabilities, convertible preferred shares and shareholders’ (deficit) equity</w:t>
            </w:r>
          </w:p>
        </w:tc>
        <w:tc>
          <w:tcPr>
            <w:tcW w:w="920" w:type="dxa"/>
            <w:vAlign w:val="bottom"/>
          </w:tcPr>
          <w:p>
            <w:pPr>
              <w:jc w:val="right"/>
              <w:spacing w:after="0"/>
              <w:rPr>
                <w:sz w:val="20"/>
                <w:szCs w:val="20"/>
                <w:color w:val="auto"/>
              </w:rPr>
            </w:pPr>
            <w:r>
              <w:rPr>
                <w:rFonts w:ascii="Arial" w:cs="Arial" w:eastAsia="Arial" w:hAnsi="Arial"/>
                <w:sz w:val="14"/>
                <w:szCs w:val="14"/>
                <w:color w:val="auto"/>
              </w:rPr>
              <w:t>161,295</w:t>
            </w:r>
          </w:p>
        </w:tc>
        <w:tc>
          <w:tcPr>
            <w:tcW w:w="6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743,855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INTERIM CONSOLIDATED STATEMENTS OF OPERATIONS</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274"/>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06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080" w:type="dxa"/>
            <w:vAlign w:val="bottom"/>
          </w:tcPr>
          <w:p>
            <w:pPr>
              <w:jc w:val="right"/>
              <w:ind w:right="53"/>
              <w:spacing w:after="0" w:line="154"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49,476</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103,438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80" w:type="dxa"/>
            <w:vAlign w:val="bottom"/>
          </w:tcPr>
          <w:p>
            <w:pPr>
              <w:spacing w:after="0" w:line="200" w:lineRule="exact"/>
              <w:rPr>
                <w:sz w:val="20"/>
                <w:szCs w:val="20"/>
                <w:color w:val="auto"/>
              </w:rPr>
            </w:pPr>
            <w:r>
              <w:rPr>
                <w:rFonts w:ascii="Arial" w:cs="Arial" w:eastAsia="Arial" w:hAnsi="Arial"/>
                <w:sz w:val="18"/>
                <w:szCs w:val="18"/>
                <w:color w:val="auto"/>
              </w:rPr>
              <w:t>Cost of revenue (including related party costs of $19,307 and $38,839 for the six months ended June 30,</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tcPr>
          <w:p>
            <w:pPr>
              <w:ind w:left="160"/>
              <w:spacing w:after="0" w:line="201" w:lineRule="exact"/>
              <w:rPr>
                <w:sz w:val="20"/>
                <w:szCs w:val="20"/>
                <w:color w:val="auto"/>
              </w:rPr>
            </w:pPr>
            <w:r>
              <w:rPr>
                <w:rFonts w:ascii="Arial" w:cs="Arial" w:eastAsia="Arial" w:hAnsi="Arial"/>
                <w:sz w:val="18"/>
                <w:szCs w:val="18"/>
                <w:color w:val="auto"/>
              </w:rPr>
              <w:t>2020 and 2021, respectively)</w:t>
            </w:r>
          </w:p>
        </w:tc>
        <w:tc>
          <w:tcPr>
            <w:tcW w:w="13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34,029</w:t>
            </w:r>
          </w:p>
        </w:tc>
        <w:tc>
          <w:tcPr>
            <w:tcW w:w="12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67,471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15,447</w:t>
            </w:r>
          </w:p>
        </w:tc>
        <w:tc>
          <w:tcPr>
            <w:tcW w:w="12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35,967</w:t>
            </w:r>
          </w:p>
        </w:tc>
        <w:tc>
          <w:tcPr>
            <w:tcW w:w="0" w:type="dxa"/>
            <w:vAlign w:val="bottom"/>
          </w:tcPr>
          <w:p>
            <w:pPr>
              <w:spacing w:after="0"/>
              <w:rPr>
                <w:sz w:val="1"/>
                <w:szCs w:val="1"/>
                <w:color w:val="auto"/>
              </w:rPr>
            </w:pPr>
          </w:p>
        </w:tc>
      </w:t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6,821</w:t>
            </w:r>
          </w:p>
        </w:tc>
        <w:tc>
          <w:tcPr>
            <w:tcW w:w="12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3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3,776</w:t>
            </w:r>
          </w:p>
        </w:tc>
        <w:tc>
          <w:tcPr>
            <w:tcW w:w="12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33,117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3,960</w:t>
            </w:r>
          </w:p>
        </w:tc>
        <w:tc>
          <w:tcPr>
            <w:tcW w:w="12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14,557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profit (loss)</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890</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auto"/>
              </w:rPr>
              <w:t>Financial expenses, net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2,549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(loss) before income taxes</w:t>
            </w: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(1,659)</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rPr>
              <w:t>Provision for income taxes</w:t>
            </w:r>
          </w:p>
        </w:tc>
        <w:tc>
          <w:tcPr>
            <w:tcW w:w="13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9</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461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profit (loss)</w:t>
            </w: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(1,668)</w:t>
            </w:r>
          </w:p>
        </w:tc>
        <w:tc>
          <w:tcPr>
            <w:tcW w:w="12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00" w:type="dxa"/>
            <w:vAlign w:val="bottom"/>
            <w:gridSpan w:val="2"/>
          </w:tcPr>
          <w:p>
            <w:pPr>
              <w:spacing w:after="0" w:line="195" w:lineRule="exact"/>
              <w:rPr>
                <w:sz w:val="20"/>
                <w:szCs w:val="20"/>
                <w:color w:val="auto"/>
              </w:rPr>
            </w:pPr>
            <w:r>
              <w:rPr>
                <w:rFonts w:ascii="Arial" w:cs="Arial" w:eastAsia="Arial" w:hAnsi="Arial"/>
                <w:sz w:val="18"/>
                <w:szCs w:val="18"/>
                <w:color w:val="auto"/>
              </w:rPr>
              <w:t>Net earnings (loss) per share attributable to ordinary shareholders, basic and diluted</w:t>
            </w:r>
          </w:p>
        </w:tc>
        <w:tc>
          <w:tcPr>
            <w:tcW w:w="13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(0.08)</w:t>
            </w:r>
          </w:p>
        </w:tc>
        <w:tc>
          <w:tcPr>
            <w:tcW w:w="12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shares used in computing net loss per share attributable to ordinary shareholders,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basic and diluted</w:t>
            </w:r>
          </w:p>
        </w:tc>
        <w:tc>
          <w:tcPr>
            <w:tcW w:w="13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20,686,427</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54,750,595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5260"/>
              <w:spacing w:after="0"/>
              <w:rPr>
                <w:sz w:val="20"/>
                <w:szCs w:val="20"/>
                <w:color w:val="auto"/>
              </w:rPr>
            </w:pPr>
            <w:r>
              <w:rPr>
                <w:rFonts w:ascii="Arial" w:cs="Arial" w:eastAsia="Arial" w:hAnsi="Arial"/>
                <w:sz w:val="18"/>
                <w:szCs w:val="18"/>
                <w:color w:val="auto"/>
              </w:rPr>
              <w:t>F-38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INTERIM CONSOLIDATED STATEMENTS OF COMPREHENSIVE INCOME</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2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profit (loss)</w:t>
            </w:r>
          </w:p>
        </w:tc>
        <w:tc>
          <w:tcPr>
            <w:tcW w:w="800" w:type="dxa"/>
            <w:vAlign w:val="bottom"/>
            <w:shd w:val="clear" w:color="auto" w:fill="CCEEFF"/>
          </w:tcPr>
          <w:p>
            <w:pPr>
              <w:ind w:left="300"/>
              <w:spacing w:after="0" w:line="194" w:lineRule="exact"/>
              <w:rPr>
                <w:sz w:val="20"/>
                <w:szCs w:val="20"/>
                <w:color w:val="auto"/>
              </w:rPr>
            </w:pPr>
            <w:r>
              <w:rPr>
                <w:rFonts w:ascii="Arial" w:cs="Arial" w:eastAsia="Arial" w:hAnsi="Arial"/>
                <w:sz w:val="18"/>
                <w:szCs w:val="18"/>
                <w:color w:val="auto"/>
                <w:w w:val="84"/>
              </w:rPr>
              <w:t>(1,668)</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rPr>
              <w:t>Other comprehensive income:</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(loss) on available-for-sale marketable securities, net</w:t>
            </w:r>
          </w:p>
        </w:tc>
        <w:tc>
          <w:tcPr>
            <w:tcW w:w="8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(loss)</w:t>
            </w:r>
          </w:p>
        </w:tc>
        <w:tc>
          <w:tcPr>
            <w:tcW w:w="13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(1,668)</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INTERIM CONSOLIDATED STATEMENTS OF CONVERTIBLE PREFERRED SHARES AND SHAREHOLDERS’ EQUITY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60" w:type="dxa"/>
            <w:vAlign w:val="bottom"/>
            <w:tcBorders>
              <w:right w:val="single" w:sz="8" w:color="auto"/>
            </w:tcBorders>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1560" w:type="dxa"/>
            <w:vAlign w:val="bottom"/>
            <w:tcBorders>
              <w:right w:val="single" w:sz="8" w:color="auto"/>
            </w:tcBorders>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7"/>
        </w:trPr>
        <w:tc>
          <w:tcPr>
            <w:tcW w:w="2760" w:type="dxa"/>
            <w:vAlign w:val="bottom"/>
          </w:tcPr>
          <w:p>
            <w:pPr>
              <w:spacing w:after="0"/>
              <w:rPr>
                <w:sz w:val="5"/>
                <w:szCs w:val="5"/>
                <w:color w:val="auto"/>
              </w:rPr>
            </w:pPr>
          </w:p>
        </w:tc>
        <w:tc>
          <w:tcPr>
            <w:tcW w:w="1560" w:type="dxa"/>
            <w:vAlign w:val="bottom"/>
            <w:tcBorders>
              <w:right w:val="single" w:sz="8" w:color="auto"/>
            </w:tcBorders>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Preferred Shares</w:t>
            </w:r>
          </w:p>
        </w:tc>
        <w:tc>
          <w:tcPr>
            <w:tcW w:w="180" w:type="dxa"/>
            <w:vAlign w:val="bottom"/>
          </w:tcPr>
          <w:p>
            <w:pPr>
              <w:spacing w:after="0"/>
              <w:rPr>
                <w:sz w:val="5"/>
                <w:szCs w:val="5"/>
                <w:color w:val="auto"/>
              </w:rPr>
            </w:pPr>
          </w:p>
        </w:tc>
        <w:tc>
          <w:tcPr>
            <w:tcW w:w="16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560" w:type="dxa"/>
            <w:vAlign w:val="bottom"/>
            <w:tcBorders>
              <w:right w:val="single" w:sz="8" w:color="auto"/>
            </w:tcBorders>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27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7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3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7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Balance as of December 31, 2019</w:t>
            </w:r>
          </w:p>
        </w:tc>
        <w:tc>
          <w:tcPr>
            <w:tcW w:w="82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4"/>
                <w:szCs w:val="14"/>
                <w:color w:val="auto"/>
              </w:rPr>
              <w:t>138,395</w:t>
            </w:r>
          </w:p>
        </w:tc>
        <w:tc>
          <w:tcPr>
            <w:tcW w:w="740" w:type="dxa"/>
            <w:vAlign w:val="bottom"/>
            <w:tcBorders>
              <w:right w:val="single" w:sz="8" w:color="auto"/>
            </w:tcBorders>
            <w:gridSpan w:val="2"/>
            <w:shd w:val="clear" w:color="auto" w:fill="CCEEFF"/>
          </w:tcPr>
          <w:p>
            <w:pPr>
              <w:jc w:val="right"/>
              <w:ind w:right="120"/>
              <w:spacing w:after="0" w:line="154" w:lineRule="exact"/>
              <w:rPr>
                <w:sz w:val="20"/>
                <w:szCs w:val="20"/>
                <w:color w:val="auto"/>
              </w:rPr>
            </w:pPr>
            <w:r>
              <w:rPr>
                <w:rFonts w:ascii="Arial" w:cs="Arial" w:eastAsia="Arial" w:hAnsi="Arial"/>
                <w:sz w:val="14"/>
                <w:szCs w:val="14"/>
                <w:color w:val="auto"/>
              </w:rPr>
              <w:t>53,732</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4" w:lineRule="exact"/>
              <w:rPr>
                <w:sz w:val="20"/>
                <w:szCs w:val="20"/>
                <w:color w:val="auto"/>
              </w:rPr>
            </w:pPr>
            <w:r>
              <w:rPr>
                <w:rFonts w:ascii="Arial" w:cs="Arial" w:eastAsia="Arial" w:hAnsi="Arial"/>
                <w:sz w:val="14"/>
                <w:szCs w:val="14"/>
                <w:color w:val="auto"/>
              </w:rPr>
              <w:t>19,720,800</w:t>
            </w:r>
          </w:p>
        </w:tc>
        <w:tc>
          <w:tcPr>
            <w:tcW w:w="540" w:type="dxa"/>
            <w:vAlign w:val="bottom"/>
            <w:shd w:val="clear" w:color="auto" w:fill="CCEEFF"/>
          </w:tcPr>
          <w:p>
            <w:pPr>
              <w:ind w:left="320"/>
              <w:spacing w:after="0" w:line="154"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0"/>
              <w:spacing w:after="0" w:line="154" w:lineRule="exact"/>
              <w:rPr>
                <w:sz w:val="20"/>
                <w:szCs w:val="20"/>
                <w:color w:val="auto"/>
              </w:rPr>
            </w:pPr>
            <w:r>
              <w:rPr>
                <w:rFonts w:ascii="Arial" w:cs="Arial" w:eastAsia="Arial" w:hAnsi="Arial"/>
                <w:sz w:val="14"/>
                <w:szCs w:val="14"/>
                <w:color w:val="auto"/>
              </w:rPr>
              <w:t>3,592</w:t>
            </w:r>
          </w:p>
        </w:tc>
        <w:tc>
          <w:tcPr>
            <w:tcW w:w="1380" w:type="dxa"/>
            <w:vAlign w:val="bottom"/>
            <w:gridSpan w:val="2"/>
            <w:shd w:val="clear" w:color="auto" w:fill="CCEEFF"/>
          </w:tcPr>
          <w:p>
            <w:pPr>
              <w:jc w:val="right"/>
              <w:ind w:right="380"/>
              <w:spacing w:after="0" w:line="154"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line="154" w:lineRule="exact"/>
              <w:rPr>
                <w:sz w:val="20"/>
                <w:szCs w:val="20"/>
                <w:color w:val="auto"/>
              </w:rPr>
            </w:pPr>
            <w:r>
              <w:rPr>
                <w:rFonts w:ascii="Arial" w:cs="Arial" w:eastAsia="Arial" w:hAnsi="Arial"/>
                <w:sz w:val="14"/>
                <w:szCs w:val="14"/>
                <w:color w:val="auto"/>
              </w:rPr>
              <w:t>(56,622)</w:t>
            </w:r>
          </w:p>
        </w:tc>
        <w:tc>
          <w:tcPr>
            <w:tcW w:w="106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4"/>
                <w:szCs w:val="14"/>
                <w:color w:val="auto"/>
              </w:rPr>
              <w:t>(53,030)</w:t>
            </w:r>
          </w:p>
        </w:tc>
        <w:tc>
          <w:tcPr>
            <w:tcW w:w="0" w:type="dxa"/>
            <w:vAlign w:val="bottom"/>
          </w:tcPr>
          <w:p>
            <w:pPr>
              <w:spacing w:after="0"/>
              <w:rPr>
                <w:sz w:val="1"/>
                <w:szCs w:val="1"/>
                <w:color w:val="auto"/>
              </w:rPr>
            </w:pPr>
          </w:p>
        </w:tc>
      </w:tr>
      <w:tr>
        <w:trPr>
          <w:trHeight w:val="172"/>
        </w:trPr>
        <w:tc>
          <w:tcPr>
            <w:tcW w:w="2760" w:type="dxa"/>
            <w:vAlign w:val="bottom"/>
          </w:tcPr>
          <w:p>
            <w:pPr>
              <w:ind w:left="300"/>
              <w:spacing w:after="0"/>
              <w:rPr>
                <w:sz w:val="20"/>
                <w:szCs w:val="20"/>
                <w:color w:val="auto"/>
              </w:rPr>
            </w:pPr>
            <w:r>
              <w:rPr>
                <w:rFonts w:ascii="Arial" w:cs="Arial" w:eastAsia="Arial" w:hAnsi="Arial"/>
                <w:sz w:val="14"/>
                <w:szCs w:val="14"/>
                <w:color w:val="auto"/>
              </w:rPr>
              <w:t>Issuance of Series E convertible</w:t>
            </w: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440"/>
              <w:spacing w:after="0"/>
              <w:rPr>
                <w:sz w:val="20"/>
                <w:szCs w:val="20"/>
                <w:color w:val="auto"/>
              </w:rPr>
            </w:pPr>
            <w:r>
              <w:rPr>
                <w:rFonts w:ascii="Arial" w:cs="Arial" w:eastAsia="Arial" w:hAnsi="Arial"/>
                <w:sz w:val="14"/>
                <w:szCs w:val="14"/>
                <w:color w:val="auto"/>
              </w:rPr>
              <w:t>preferred shares, net of issuance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tcPr>
          <w:p>
            <w:pPr>
              <w:ind w:left="440"/>
              <w:spacing w:after="0" w:line="156" w:lineRule="exact"/>
              <w:rPr>
                <w:sz w:val="20"/>
                <w:szCs w:val="20"/>
                <w:color w:val="auto"/>
              </w:rPr>
            </w:pPr>
            <w:r>
              <w:rPr>
                <w:rFonts w:ascii="Arial" w:cs="Arial" w:eastAsia="Arial" w:hAnsi="Arial"/>
                <w:sz w:val="14"/>
                <w:szCs w:val="14"/>
                <w:color w:val="auto"/>
              </w:rPr>
              <w:t>costs of $473</w:t>
            </w:r>
          </w:p>
        </w:tc>
        <w:tc>
          <w:tcPr>
            <w:tcW w:w="82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23,706</w:t>
            </w:r>
          </w:p>
        </w:tc>
        <w:tc>
          <w:tcPr>
            <w:tcW w:w="74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58,821</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ordinary shares upon</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exercise of share options</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1,759,800</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ind w:left="320"/>
              <w:spacing w:after="0" w:line="156"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440</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65"/>
        </w:trPr>
        <w:tc>
          <w:tcPr>
            <w:tcW w:w="2760" w:type="dxa"/>
            <w:vAlign w:val="bottom"/>
          </w:tcPr>
          <w:p>
            <w:pPr>
              <w:ind w:left="300"/>
              <w:spacing w:after="0"/>
              <w:rPr>
                <w:sz w:val="20"/>
                <w:szCs w:val="20"/>
                <w:color w:val="auto"/>
              </w:rPr>
            </w:pPr>
            <w:r>
              <w:rPr>
                <w:rFonts w:ascii="Arial" w:cs="Arial" w:eastAsia="Arial" w:hAnsi="Arial"/>
                <w:sz w:val="14"/>
                <w:szCs w:val="14"/>
                <w:color w:val="auto"/>
              </w:rPr>
              <w:t>Share-based compensation</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tcPr>
          <w:p>
            <w:pPr>
              <w:ind w:left="440"/>
              <w:spacing w:after="0" w:line="156" w:lineRule="exact"/>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tcPr>
          <w:p>
            <w:pPr>
              <w:jc w:val="right"/>
              <w:ind w:right="240"/>
              <w:spacing w:after="0" w:line="156" w:lineRule="exact"/>
              <w:rPr>
                <w:sz w:val="20"/>
                <w:szCs w:val="20"/>
                <w:color w:val="auto"/>
              </w:rPr>
            </w:pPr>
            <w:r>
              <w:rPr>
                <w:rFonts w:ascii="Arial" w:cs="Arial" w:eastAsia="Arial" w:hAnsi="Arial"/>
                <w:sz w:val="14"/>
                <w:szCs w:val="14"/>
                <w:color w:val="auto"/>
              </w:rPr>
              <w:t>1,686</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(1,668)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60" w:type="dxa"/>
            <w:vAlign w:val="bottom"/>
          </w:tcPr>
          <w:p>
            <w:pPr>
              <w:spacing w:after="0"/>
              <w:rPr>
                <w:sz w:val="20"/>
                <w:szCs w:val="20"/>
                <w:color w:val="auto"/>
              </w:rPr>
            </w:pPr>
            <w:r>
              <w:rPr>
                <w:rFonts w:ascii="Arial" w:cs="Arial" w:eastAsia="Arial" w:hAnsi="Arial"/>
                <w:sz w:val="14"/>
                <w:szCs w:val="14"/>
                <w:color w:val="auto"/>
              </w:rPr>
              <w:t>Balance as of June 30, 2020</w:t>
            </w:r>
          </w:p>
        </w:tc>
        <w:tc>
          <w:tcPr>
            <w:tcW w:w="620" w:type="dxa"/>
            <w:vAlign w:val="bottom"/>
          </w:tcPr>
          <w:p>
            <w:pPr>
              <w:jc w:val="right"/>
              <w:spacing w:after="0"/>
              <w:rPr>
                <w:sz w:val="20"/>
                <w:szCs w:val="20"/>
                <w:color w:val="auto"/>
              </w:rPr>
            </w:pPr>
            <w:r>
              <w:rPr>
                <w:rFonts w:ascii="Arial" w:cs="Arial" w:eastAsia="Arial" w:hAnsi="Arial"/>
                <w:sz w:val="14"/>
                <w:szCs w:val="14"/>
                <w:color w:val="auto"/>
              </w:rPr>
              <w:t>162,101</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112,553</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21,480,600</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5,718</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(58,290)</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(52,572)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162,101</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112,553</w:t>
            </w: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21,761,400</w:t>
            </w:r>
          </w:p>
        </w:tc>
        <w:tc>
          <w:tcPr>
            <w:tcW w:w="5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8,087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(52,708)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(44,510)</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20"/>
                <w:szCs w:val="20"/>
                <w:color w:val="auto"/>
              </w:rPr>
            </w:pPr>
            <w:r>
              <w:rPr>
                <w:rFonts w:ascii="Arial" w:cs="Arial" w:eastAsia="Arial" w:hAnsi="Arial"/>
                <w:sz w:val="14"/>
                <w:szCs w:val="14"/>
                <w:color w:val="auto"/>
              </w:rPr>
              <w:t>Unrealized gain on available-for-sale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tcPr>
          <w:p>
            <w:pPr>
              <w:ind w:left="160"/>
              <w:spacing w:after="0" w:line="156" w:lineRule="exact"/>
              <w:rPr>
                <w:sz w:val="20"/>
                <w:szCs w:val="20"/>
                <w:color w:val="auto"/>
              </w:rPr>
            </w:pPr>
            <w:r>
              <w:rPr>
                <w:rFonts w:ascii="Arial" w:cs="Arial" w:eastAsia="Arial" w:hAnsi="Arial"/>
                <w:sz w:val="14"/>
                <w:szCs w:val="14"/>
                <w:color w:val="auto"/>
              </w:rPr>
              <w:t>marketable securities. net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(162)</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Issuance of ordinary shares upon</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exercise of share options</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166,950</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173</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2,618</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Issuance of warrants to ordinary shares</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209,719</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209,719</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4"/>
                <w:szCs w:val="14"/>
                <w:color w:val="auto"/>
              </w:rPr>
              <w:t>Exercise of warrants to Ordinary shares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9,202,123</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12,100</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Conversion of preferred shares to</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Ordinary shares</w:t>
            </w: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(162,101)</w:t>
            </w:r>
          </w:p>
        </w:tc>
        <w:tc>
          <w:tcPr>
            <w:tcW w:w="740" w:type="dxa"/>
            <w:vAlign w:val="bottom"/>
            <w:tcBorders>
              <w:right w:val="single" w:sz="8" w:color="auto"/>
            </w:tcBorders>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(112,553)</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97,260,600</w:t>
            </w:r>
          </w:p>
        </w:tc>
        <w:tc>
          <w:tcPr>
            <w:tcW w:w="54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112,553</w:t>
            </w: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112,553</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4"/>
                <w:szCs w:val="14"/>
                <w:color w:val="auto"/>
              </w:rPr>
              <w:t>Issuance of Ordinary shares in IPO, net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17,250,000</w:t>
            </w:r>
          </w:p>
        </w:tc>
        <w:tc>
          <w:tcPr>
            <w:tcW w:w="54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396,344</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396,344</w:t>
            </w: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(23,973)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(23,973)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760" w:type="dxa"/>
            <w:vAlign w:val="bottom"/>
          </w:tcPr>
          <w:p>
            <w:pPr>
              <w:spacing w:after="0"/>
              <w:rPr>
                <w:sz w:val="20"/>
                <w:szCs w:val="20"/>
                <w:color w:val="auto"/>
              </w:rPr>
            </w:pPr>
            <w:r>
              <w:rPr>
                <w:rFonts w:ascii="Arial" w:cs="Arial" w:eastAsia="Arial" w:hAnsi="Arial"/>
                <w:sz w:val="14"/>
                <w:szCs w:val="14"/>
                <w:color w:val="auto"/>
              </w:rPr>
              <w:t>Balance as of June 30, 2021</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145,641,073</w:t>
            </w:r>
          </w:p>
        </w:tc>
        <w:tc>
          <w:tcPr>
            <w:tcW w:w="54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741,594</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(51)</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(76,681)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664,862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INTERIM CONSOLIDATED STATEMENTS OF CASH FLOWS</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4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line="201" w:lineRule="exact"/>
              <w:rPr>
                <w:sz w:val="20"/>
                <w:szCs w:val="20"/>
                <w:color w:val="auto"/>
              </w:rPr>
            </w:pPr>
            <w:r>
              <w:rPr>
                <w:rFonts w:ascii="Arial" w:cs="Arial" w:eastAsia="Arial" w:hAnsi="Arial"/>
                <w:sz w:val="18"/>
                <w:szCs w:val="18"/>
                <w:color w:val="auto"/>
              </w:rPr>
              <w:t>Net profit (loss)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(1,668)</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profit (loss) to net cash provided by operating activities: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109</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 compensation expense</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1,686</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Remeasurement of warrants liabilities to preferred shares</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2,261</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commercial agreement asset</w:t>
            </w:r>
          </w:p>
        </w:tc>
        <w:tc>
          <w:tcPr>
            <w:tcW w:w="8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25,486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accounts receivable.</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(227)</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Increase in prepaid expenses and other assets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(3,201)</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funds receivable</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(2,359)</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Decrease in funds payable to customers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(2,841)</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(decrease) in operating lease ROU assets</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(3,200)</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Decrease in deferred contract acquisition costs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(181)</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(decrease) in accounts payable</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351</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Decrease (increase) in accrued expenses and other liabilities</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3,088</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deferred tax liabilities</w:t>
            </w:r>
          </w:p>
        </w:tc>
        <w:tc>
          <w:tcPr>
            <w:tcW w:w="8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Decrease (increase) in operating lease liabilities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3,020</w:t>
            </w:r>
          </w:p>
        </w:tc>
        <w:tc>
          <w:tcPr>
            <w:tcW w:w="220" w:type="dxa"/>
            <w:vAlign w:val="bottom"/>
          </w:tcPr>
          <w:p>
            <w:pPr>
              <w:spacing w:after="0"/>
              <w:rPr>
                <w:sz w:val="17"/>
                <w:szCs w:val="17"/>
                <w:color w:val="auto"/>
              </w:rPr>
            </w:pP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(3,162)</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(13,696)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140" w:type="dxa"/>
            <w:vAlign w:val="bottom"/>
          </w:tcPr>
          <w:p>
            <w:pPr>
              <w:ind w:left="700"/>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Investment in short-term marketable securities</w:t>
            </w:r>
          </w:p>
        </w:tc>
        <w:tc>
          <w:tcPr>
            <w:tcW w:w="8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Proceeds from marketable securities</w:t>
            </w:r>
          </w:p>
        </w:tc>
        <w:tc>
          <w:tcPr>
            <w:tcW w:w="8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Purchases of short-term deposits</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(71,913)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Purchases of long-term deposits</w:t>
            </w: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Purchases of property and equipment</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(209)</w:t>
            </w:r>
          </w:p>
        </w:tc>
        <w:tc>
          <w:tcPr>
            <w:tcW w:w="9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(74,122)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Proceeds from issuance of Ordinary shares in IPO, net if issuance costs</w:t>
            </w:r>
          </w:p>
        </w:tc>
        <w:tc>
          <w:tcPr>
            <w:tcW w:w="8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396,983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Proceeds from exercise of share options</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440</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rPr>
              <w:t>Issuance of convertible preferred shares, net of issuance costs</w:t>
            </w: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58,821</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59,261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397,156</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6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40" w:type="dxa"/>
            <w:vAlign w:val="bottom"/>
          </w:tcPr>
          <w:p>
            <w:pPr>
              <w:jc w:val="right"/>
              <w:spacing w:after="0"/>
              <w:rPr>
                <w:sz w:val="20"/>
                <w:szCs w:val="20"/>
                <w:color w:val="auto"/>
              </w:rPr>
            </w:pPr>
            <w:r>
              <w:rPr>
                <w:rFonts w:ascii="Arial" w:cs="Arial" w:eastAsia="Arial" w:hAnsi="Arial"/>
                <w:sz w:val="18"/>
                <w:szCs w:val="18"/>
                <w:color w:val="auto"/>
              </w:rPr>
              <w:t>55,640</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restricted cash—beginning of period</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20,369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85,033</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16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cash—end of period</w:t>
            </w:r>
          </w:p>
        </w:tc>
        <w:tc>
          <w:tcPr>
            <w:tcW w:w="640" w:type="dxa"/>
            <w:vAlign w:val="bottom"/>
          </w:tcPr>
          <w:p>
            <w:pPr>
              <w:jc w:val="right"/>
              <w:spacing w:after="0"/>
              <w:rPr>
                <w:sz w:val="20"/>
                <w:szCs w:val="20"/>
                <w:color w:val="auto"/>
              </w:rPr>
            </w:pPr>
            <w:r>
              <w:rPr>
                <w:rFonts w:ascii="Arial" w:cs="Arial" w:eastAsia="Arial" w:hAnsi="Arial"/>
                <w:sz w:val="18"/>
                <w:szCs w:val="18"/>
                <w:color w:val="auto"/>
              </w:rPr>
              <w:t>76,009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394,371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Reconciliation of cash, cash equivalents, and restricted cash within the Consolidated Balance Sheets to the</w:t>
            </w: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amounts shown in the Consolidated Statements of Cash Flows: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65,833</w:t>
            </w: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391,008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included in funds receivable</w:t>
            </w: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9,937</w:t>
            </w: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line="201" w:lineRule="exact"/>
              <w:rPr>
                <w:sz w:val="20"/>
                <w:szCs w:val="20"/>
                <w:color w:val="auto"/>
              </w:rPr>
            </w:pPr>
            <w:r>
              <w:rPr>
                <w:rFonts w:ascii="Arial" w:cs="Arial" w:eastAsia="Arial" w:hAnsi="Arial"/>
                <w:sz w:val="18"/>
                <w:szCs w:val="18"/>
                <w:color w:val="auto"/>
              </w:rPr>
              <w:t>Restricted cash included in other assets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189</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restricted cash—end of period</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76,009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394,371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80"/>
          </w:cols>
          <w:pgMar w:left="320" w:top="456"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3"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Global-E Online Ltd. was incorporated on February 21, 2013 under the laws of the state of Israel and commenced operations at that time.</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company and its subsidiaries (together, “Global-E”, the “Company”) offer a leading platform to enable and accelerate global, direct-to-consumer (“D2C”) cross-border e-commerce. The platform was purpose-built for international shoppers to buy seamlessly online and for merchants to sell from, and to, anywhere in the world. The Company’s platform localizes the shopper experience in effort to make international transactions as seamless as domestic ones. The platform increases the conversion of international traffic into sales by removing much of the complexity associated with international e-commerce. The platform provides an integrated solution that creates a localized and frictionless shopper experience and is simple to manage, flexible to adjust and smart in its local market insights and best practices. The vast capabilities of the Company’s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87" w:lineRule="exact"/>
        <w:rPr>
          <w:sz w:val="20"/>
          <w:szCs w:val="20"/>
          <w:color w:val="auto"/>
        </w:rPr>
      </w:pPr>
    </w:p>
    <w:p>
      <w:pPr>
        <w:ind w:left="160" w:right="6960" w:firstLine="7"/>
        <w:spacing w:after="0" w:line="369" w:lineRule="auto"/>
        <w:tabs>
          <w:tab w:leader="none" w:pos="35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Global-E Online Ltd. and its wholly owned subsidiaries. All intercompany balances and transactions have been eliminated in consolidation.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and accompanying notes. Significant items subject to such estimates and assumptions include, but are not limited to, the estimated customer life on deferred contract acquisition costs, the allowance for doubtful accounts, the fair value of financial assets and liabilities; the useful lives of acquired intangible assets and property and equipment, share-based compensation including the determination of the fair value of the Company’s ordinary and preferred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5"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8"/>
          <w:szCs w:val="18"/>
          <w:color w:val="auto"/>
        </w:rPr>
        <w:t xml:space="preserve">The Company’s significant accounting policies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F-1 for the year ended December 31, 2020. There have been no significant changes to these policies during the six months ended June 30, 2021, except as noted below.</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60"/>
          </w:cols>
          <w:pgMar w:left="320" w:top="456" w:right="5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issued accounting standards, not yet adopted by the Company</w:t>
      </w:r>
    </w:p>
    <w:p>
      <w:pPr>
        <w:spacing w:after="0" w:line="123"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350 -40):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204"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60"/>
          </w:cols>
          <w:pgMar w:left="320" w:top="456"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12" w:lineRule="exact"/>
        <w:rPr>
          <w:sz w:val="20"/>
          <w:szCs w:val="20"/>
          <w:color w:val="auto"/>
        </w:rPr>
      </w:pPr>
    </w:p>
    <w:p>
      <w:pPr>
        <w:ind w:left="160" w:right="8600" w:firstLine="7"/>
        <w:spacing w:after="0" w:line="391" w:lineRule="auto"/>
        <w:tabs>
          <w:tab w:leader="none" w:pos="358"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Disaggregation of Revenue</w:t>
      </w:r>
    </w:p>
    <w:p>
      <w:pPr>
        <w:ind w:left="72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summarizes revenue by category:</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4"/>
        </w:trPr>
        <w:tc>
          <w:tcPr>
            <w:tcW w:w="60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1"/>
        </w:trPr>
        <w:tc>
          <w:tcPr>
            <w:tcW w:w="6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line="141" w:lineRule="exact"/>
              <w:rPr>
                <w:sz w:val="20"/>
                <w:szCs w:val="20"/>
                <w:color w:val="auto"/>
              </w:rPr>
            </w:pPr>
            <w:r>
              <w:rPr>
                <w:rFonts w:ascii="Arial" w:cs="Arial" w:eastAsia="Arial" w:hAnsi="Arial"/>
                <w:sz w:val="14"/>
                <w:szCs w:val="14"/>
                <w:b w:val="1"/>
                <w:bCs w:val="1"/>
                <w:color w:val="auto"/>
              </w:rPr>
              <w:t>Percentage</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line="141" w:lineRule="exact"/>
              <w:rPr>
                <w:sz w:val="20"/>
                <w:szCs w:val="20"/>
                <w:color w:val="auto"/>
              </w:rPr>
            </w:pPr>
            <w:r>
              <w:rPr>
                <w:rFonts w:ascii="Arial" w:cs="Arial" w:eastAsia="Arial" w:hAnsi="Arial"/>
                <w:sz w:val="14"/>
                <w:szCs w:val="14"/>
                <w:b w:val="1"/>
                <w:bCs w:val="1"/>
                <w:color w:val="auto"/>
                <w:w w:val="97"/>
              </w:rPr>
              <w:t>Percentage</w:t>
            </w:r>
          </w:p>
        </w:tc>
        <w:tc>
          <w:tcPr>
            <w:tcW w:w="220" w:type="dxa"/>
            <w:vAlign w:val="bottom"/>
          </w:tcPr>
          <w:p>
            <w:pPr>
              <w:spacing w:after="0"/>
              <w:rPr>
                <w:sz w:val="12"/>
                <w:szCs w:val="12"/>
                <w:color w:val="auto"/>
              </w:rPr>
            </w:pPr>
          </w:p>
        </w:tc>
      </w:tr>
      <w:tr>
        <w:trPr>
          <w:trHeight w:val="174"/>
        </w:trPr>
        <w:tc>
          <w:tcPr>
            <w:tcW w:w="60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4"/>
        </w:trPr>
        <w:tc>
          <w:tcPr>
            <w:tcW w:w="60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940" w:type="dxa"/>
            <w:vAlign w:val="bottom"/>
            <w:tcBorders>
              <w:top w:val="single" w:sz="8" w:color="auto"/>
            </w:tcBorders>
            <w:gridSpan w:val="7"/>
          </w:tcPr>
          <w:p>
            <w:pPr>
              <w:ind w:left="420"/>
              <w:spacing w:after="0" w:line="154" w:lineRule="exact"/>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3"/>
                <w:szCs w:val="13"/>
                <w:color w:val="auto"/>
              </w:rPr>
            </w:pPr>
          </w:p>
        </w:tc>
      </w:tr>
      <w:tr>
        <w:trPr>
          <w:trHeight w:val="201"/>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Service fees</w:t>
            </w:r>
          </w:p>
        </w:tc>
        <w:tc>
          <w:tcPr>
            <w:tcW w:w="7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17,299</w:t>
            </w:r>
          </w:p>
        </w:tc>
        <w:tc>
          <w:tcPr>
            <w:tcW w:w="188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38,202</w:t>
            </w:r>
          </w:p>
        </w:tc>
        <w:tc>
          <w:tcPr>
            <w:tcW w:w="14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w:t>
            </w:r>
          </w:p>
        </w:tc>
      </w:tr>
      <w:tr>
        <w:trPr>
          <w:trHeight w:val="201"/>
        </w:trPr>
        <w:tc>
          <w:tcPr>
            <w:tcW w:w="6020" w:type="dxa"/>
            <w:vAlign w:val="bottom"/>
          </w:tcPr>
          <w:p>
            <w:pPr>
              <w:spacing w:after="0" w:line="201" w:lineRule="exact"/>
              <w:rPr>
                <w:sz w:val="20"/>
                <w:szCs w:val="20"/>
                <w:color w:val="auto"/>
              </w:rPr>
            </w:pPr>
            <w:r>
              <w:rPr>
                <w:rFonts w:ascii="Arial" w:cs="Arial" w:eastAsia="Arial" w:hAnsi="Arial"/>
                <w:sz w:val="18"/>
                <w:szCs w:val="18"/>
                <w:color w:val="auto"/>
              </w:rPr>
              <w:t>Fulfillment services</w:t>
            </w:r>
          </w:p>
        </w:tc>
        <w:tc>
          <w:tcPr>
            <w:tcW w:w="7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32,177</w:t>
            </w:r>
          </w:p>
        </w:tc>
        <w:tc>
          <w:tcPr>
            <w:tcW w:w="1880" w:type="dxa"/>
            <w:vAlign w:val="bottom"/>
            <w:gridSpan w:val="3"/>
          </w:tcPr>
          <w:p>
            <w:pPr>
              <w:jc w:val="right"/>
              <w:ind w:right="500"/>
              <w:spacing w:after="0" w:line="201" w:lineRule="exact"/>
              <w:rPr>
                <w:sz w:val="20"/>
                <w:szCs w:val="20"/>
                <w:color w:val="auto"/>
              </w:rPr>
            </w:pPr>
            <w:r>
              <w:rPr>
                <w:rFonts w:ascii="Arial" w:cs="Arial" w:eastAsia="Arial" w:hAnsi="Arial"/>
                <w:sz w:val="18"/>
                <w:szCs w:val="18"/>
                <w:color w:val="auto"/>
              </w:rPr>
              <w:t>65%</w:t>
            </w: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65,236</w:t>
            </w:r>
          </w:p>
        </w:tc>
        <w:tc>
          <w:tcPr>
            <w:tcW w:w="14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63%</w:t>
            </w:r>
          </w:p>
        </w:tc>
      </w:tr>
      <w:tr>
        <w:trPr>
          <w:trHeight w:val="27"/>
        </w:trPr>
        <w:tc>
          <w:tcPr>
            <w:tcW w:w="6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6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revenue</w:t>
            </w:r>
          </w:p>
        </w:tc>
        <w:tc>
          <w:tcPr>
            <w:tcW w:w="7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49,476</w:t>
            </w:r>
          </w:p>
        </w:tc>
        <w:tc>
          <w:tcPr>
            <w:tcW w:w="188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103,438</w:t>
            </w:r>
          </w:p>
        </w:tc>
        <w:tc>
          <w:tcPr>
            <w:tcW w:w="14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100%</w:t>
            </w: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00" w:firstLine="546"/>
        <w:spacing w:after="0" w:line="239" w:lineRule="auto"/>
        <w:rPr>
          <w:sz w:val="20"/>
          <w:szCs w:val="20"/>
          <w:color w:val="auto"/>
        </w:rPr>
      </w:pPr>
      <w:r>
        <w:rPr>
          <w:rFonts w:ascii="Arial" w:cs="Arial" w:eastAsia="Arial" w:hAnsi="Arial"/>
          <w:sz w:val="18"/>
          <w:szCs w:val="18"/>
          <w:color w:val="auto"/>
        </w:rPr>
        <w:t>The Company’s revenues from service fees provided on a standalone basis were $714 and $2,141 for the six months ended June 30, 2020 and 2021, respectively.</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revenue by merchant outbound region:</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4"/>
        </w:trPr>
        <w:tc>
          <w:tcPr>
            <w:tcW w:w="60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3"/>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1"/>
        </w:trPr>
        <w:tc>
          <w:tcPr>
            <w:tcW w:w="6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line="141" w:lineRule="exact"/>
              <w:rPr>
                <w:sz w:val="20"/>
                <w:szCs w:val="20"/>
                <w:color w:val="auto"/>
              </w:rPr>
            </w:pPr>
            <w:r>
              <w:rPr>
                <w:rFonts w:ascii="Arial" w:cs="Arial" w:eastAsia="Arial" w:hAnsi="Arial"/>
                <w:sz w:val="14"/>
                <w:szCs w:val="14"/>
                <w:b w:val="1"/>
                <w:bCs w:val="1"/>
                <w:color w:val="auto"/>
              </w:rPr>
              <w:t>Percentage</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line="141" w:lineRule="exact"/>
              <w:rPr>
                <w:sz w:val="20"/>
                <w:szCs w:val="20"/>
                <w:color w:val="auto"/>
              </w:rPr>
            </w:pPr>
            <w:r>
              <w:rPr>
                <w:rFonts w:ascii="Arial" w:cs="Arial" w:eastAsia="Arial" w:hAnsi="Arial"/>
                <w:sz w:val="14"/>
                <w:szCs w:val="14"/>
                <w:b w:val="1"/>
                <w:bCs w:val="1"/>
                <w:color w:val="auto"/>
                <w:w w:val="97"/>
              </w:rPr>
              <w:t>Percentage</w:t>
            </w:r>
          </w:p>
        </w:tc>
        <w:tc>
          <w:tcPr>
            <w:tcW w:w="220" w:type="dxa"/>
            <w:vAlign w:val="bottom"/>
          </w:tcPr>
          <w:p>
            <w:pPr>
              <w:spacing w:after="0"/>
              <w:rPr>
                <w:sz w:val="12"/>
                <w:szCs w:val="12"/>
                <w:color w:val="auto"/>
              </w:rPr>
            </w:pPr>
          </w:p>
        </w:tc>
      </w:tr>
      <w:tr>
        <w:trPr>
          <w:trHeight w:val="174"/>
        </w:trPr>
        <w:tc>
          <w:tcPr>
            <w:tcW w:w="6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4"/>
        </w:trPr>
        <w:tc>
          <w:tcPr>
            <w:tcW w:w="60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20" w:type="dxa"/>
            <w:vAlign w:val="bottom"/>
            <w:tcBorders>
              <w:top w:val="single" w:sz="8" w:color="auto"/>
            </w:tcBorders>
            <w:gridSpan w:val="7"/>
          </w:tcPr>
          <w:p>
            <w:pPr>
              <w:ind w:left="500"/>
              <w:spacing w:after="0" w:line="154" w:lineRule="exact"/>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3"/>
                <w:szCs w:val="13"/>
                <w:color w:val="auto"/>
              </w:rPr>
            </w:pPr>
          </w:p>
        </w:tc>
      </w:tr>
      <w:tr>
        <w:trPr>
          <w:trHeight w:val="201"/>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Kingdom</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31,260</w:t>
            </w:r>
          </w:p>
        </w:tc>
        <w:tc>
          <w:tcPr>
            <w:tcW w:w="196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63%</w:t>
            </w: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49,250</w:t>
            </w:r>
          </w:p>
        </w:tc>
        <w:tc>
          <w:tcPr>
            <w:tcW w:w="14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48%</w:t>
            </w:r>
          </w:p>
        </w:tc>
      </w:tr>
      <w:tr>
        <w:trPr>
          <w:trHeight w:val="201"/>
        </w:trPr>
        <w:tc>
          <w:tcPr>
            <w:tcW w:w="6020" w:type="dxa"/>
            <w:vAlign w:val="bottom"/>
          </w:tcPr>
          <w:p>
            <w:pPr>
              <w:spacing w:after="0" w:line="201" w:lineRule="exact"/>
              <w:rPr>
                <w:sz w:val="20"/>
                <w:szCs w:val="20"/>
                <w:color w:val="auto"/>
              </w:rPr>
            </w:pPr>
            <w:r>
              <w:rPr>
                <w:rFonts w:ascii="Arial" w:cs="Arial" w:eastAsia="Arial" w:hAnsi="Arial"/>
                <w:sz w:val="18"/>
                <w:szCs w:val="18"/>
                <w:color w:val="auto"/>
              </w:rPr>
              <w:t>United States</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10,919</w:t>
            </w:r>
          </w:p>
        </w:tc>
        <w:tc>
          <w:tcPr>
            <w:tcW w:w="1960" w:type="dxa"/>
            <w:vAlign w:val="bottom"/>
            <w:gridSpan w:val="3"/>
          </w:tcPr>
          <w:p>
            <w:pPr>
              <w:jc w:val="right"/>
              <w:ind w:right="500"/>
              <w:spacing w:after="0" w:line="201" w:lineRule="exact"/>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29,845</w:t>
            </w:r>
          </w:p>
        </w:tc>
        <w:tc>
          <w:tcPr>
            <w:tcW w:w="14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29%</w:t>
            </w:r>
          </w:p>
        </w:tc>
      </w:tr>
      <w:tr>
        <w:trPr>
          <w:trHeight w:val="201"/>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European Union</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6,899</w:t>
            </w:r>
          </w:p>
        </w:tc>
        <w:tc>
          <w:tcPr>
            <w:tcW w:w="196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23,581</w:t>
            </w:r>
          </w:p>
        </w:tc>
        <w:tc>
          <w:tcPr>
            <w:tcW w:w="14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w:t>
            </w:r>
          </w:p>
        </w:tc>
      </w:tr>
      <w:tr>
        <w:trPr>
          <w:trHeight w:val="201"/>
        </w:trPr>
        <w:tc>
          <w:tcPr>
            <w:tcW w:w="6020" w:type="dxa"/>
            <w:vAlign w:val="bottom"/>
          </w:tcPr>
          <w:p>
            <w:pPr>
              <w:spacing w:after="0" w:line="201" w:lineRule="exact"/>
              <w:rPr>
                <w:sz w:val="20"/>
                <w:szCs w:val="20"/>
                <w:color w:val="auto"/>
              </w:rPr>
            </w:pPr>
            <w:r>
              <w:rPr>
                <w:rFonts w:ascii="Arial" w:cs="Arial" w:eastAsia="Arial" w:hAnsi="Arial"/>
                <w:sz w:val="18"/>
                <w:szCs w:val="18"/>
                <w:color w:val="auto"/>
              </w:rPr>
              <w:t>Israel</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398</w:t>
            </w:r>
          </w:p>
        </w:tc>
        <w:tc>
          <w:tcPr>
            <w:tcW w:w="1960" w:type="dxa"/>
            <w:vAlign w:val="bottom"/>
            <w:gridSpan w:val="3"/>
          </w:tcPr>
          <w:p>
            <w:pPr>
              <w:jc w:val="right"/>
              <w:ind w:right="500"/>
              <w:spacing w:after="0" w:line="201" w:lineRule="exact"/>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494</w:t>
            </w:r>
          </w:p>
        </w:tc>
        <w:tc>
          <w:tcPr>
            <w:tcW w:w="14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0%</w:t>
            </w:r>
          </w:p>
        </w:tc>
      </w:tr>
      <w:tr>
        <w:trPr>
          <w:trHeight w:val="201"/>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268</w:t>
            </w:r>
          </w:p>
        </w:tc>
        <w:tc>
          <w:tcPr>
            <w:tcW w:w="14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w:t>
            </w:r>
          </w:p>
        </w:tc>
      </w:tr>
      <w:tr>
        <w:trPr>
          <w:trHeight w:val="20"/>
        </w:trPr>
        <w:tc>
          <w:tcPr>
            <w:tcW w:w="6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602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49,476</w:t>
            </w:r>
          </w:p>
        </w:tc>
        <w:tc>
          <w:tcPr>
            <w:tcW w:w="5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103,438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six months ended June 30, 2020 and 2021, the revenue generated by the Company’s largest customer was $10,236 and</w:t>
      </w:r>
    </w:p>
    <w:p>
      <w:pPr>
        <w:ind w:left="160"/>
        <w:spacing w:after="0" w:line="232" w:lineRule="auto"/>
        <w:rPr>
          <w:sz w:val="20"/>
          <w:szCs w:val="20"/>
          <w:color w:val="auto"/>
        </w:rPr>
      </w:pPr>
      <w:r>
        <w:rPr>
          <w:rFonts w:ascii="Arial" w:cs="Arial" w:eastAsia="Arial" w:hAnsi="Arial"/>
          <w:sz w:val="18"/>
          <w:szCs w:val="18"/>
          <w:color w:val="auto"/>
        </w:rPr>
        <w:t>$16,394, respectively. As of December 31, 2020, and June 30, 2021, the net amount due to the Company’s largest customer was $8,264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$10,897, respectively.</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23"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The Company capitalizes sales commissions paid to sales personnel that are incremental to the acquisition of customer contracts. These costs are recorded as deferred contract acquisition costs on the consolidated balance sheets. The Company determines whether costs should be deferred based on its sales compensation plans and if the commissions are incremental and would not have occurred absent the customer contract.</w:t>
      </w:r>
    </w:p>
    <w:p>
      <w:pPr>
        <w:spacing w:after="0" w:line="202"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Sales commissions paid upon the initial acquisition of a customer contract for sales personnel are amortized over an estimated period of benefit of five years. The Company determines the period of benefit for sales commissions paid for the acquisition of the initial customer contract by taking into consideration the estimated technological life of the Company’s solution and other factors.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0" w:lineRule="exact"/>
        <w:rPr>
          <w:sz w:val="20"/>
          <w:szCs w:val="20"/>
          <w:color w:val="auto"/>
        </w:rPr>
      </w:pPr>
    </w:p>
    <w:p>
      <w:pPr>
        <w:spacing w:after="0" w:line="275"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Amortization of sales commissions are consistent with each performance obligation and are included in sales and marketing expense in the consolidated statements of operations. The Company has applied the practical expedient in ASC 606 to expense costs as incurred for costs to obtain a contract with a customer when the amortization period would have been one year or less.</w:t>
      </w:r>
    </w:p>
    <w:p>
      <w:pPr>
        <w:spacing w:after="0" w:line="203" w:lineRule="exact"/>
        <w:rPr>
          <w:sz w:val="20"/>
          <w:szCs w:val="20"/>
          <w:color w:val="auto"/>
        </w:rPr>
      </w:pPr>
    </w:p>
    <w:p>
      <w:pPr>
        <w:ind w:left="160" w:right="600" w:firstLine="546"/>
        <w:spacing w:after="0" w:line="237"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20" w:type="dxa"/>
            <w:vAlign w:val="bottom"/>
            <w:gridSpan w:val="3"/>
          </w:tcPr>
          <w:p>
            <w:pPr>
              <w:jc w:val="center"/>
              <w:ind w:right="409"/>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56"/>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4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3"/>
                <w:szCs w:val="13"/>
                <w:color w:val="auto"/>
              </w:rPr>
            </w:pPr>
          </w:p>
        </w:tc>
        <w:tc>
          <w:tcPr>
            <w:tcW w:w="118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Ended June 30,</w:t>
            </w:r>
          </w:p>
        </w:tc>
      </w:tr>
      <w:tr>
        <w:trPr>
          <w:trHeight w:val="205"/>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r>
      <w:tr>
        <w:trPr>
          <w:trHeight w:val="154"/>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1"/>
        </w:trPr>
        <w:tc>
          <w:tcPr>
            <w:tcW w:w="20" w:type="dxa"/>
            <w:vAlign w:val="bottom"/>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9"/>
              <w:spacing w:after="0" w:line="201" w:lineRule="exact"/>
              <w:rPr>
                <w:sz w:val="20"/>
                <w:szCs w:val="20"/>
                <w:color w:val="auto"/>
              </w:rPr>
            </w:pPr>
            <w:r>
              <w:rPr>
                <w:rFonts w:ascii="Arial" w:cs="Arial" w:eastAsia="Arial" w:hAnsi="Arial"/>
                <w:sz w:val="18"/>
                <w:szCs w:val="18"/>
                <w:color w:val="auto"/>
              </w:rPr>
              <w:t>563</w:t>
            </w:r>
          </w:p>
        </w:tc>
        <w:tc>
          <w:tcPr>
            <w:tcW w:w="54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987</w:t>
            </w:r>
          </w:p>
        </w:tc>
      </w:tr>
      <w:tr>
        <w:trPr>
          <w:trHeight w:val="201"/>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rPr>
              <w:t>Additions to deferred contract acquisition costs</w:t>
            </w:r>
          </w:p>
        </w:tc>
        <w:tc>
          <w:tcPr>
            <w:tcW w:w="200" w:type="dxa"/>
            <w:vAlign w:val="bottom"/>
          </w:tcPr>
          <w:p>
            <w:pPr>
              <w:spacing w:after="0"/>
              <w:rPr>
                <w:sz w:val="17"/>
                <w:szCs w:val="17"/>
                <w:color w:val="auto"/>
              </w:rPr>
            </w:pPr>
          </w:p>
        </w:tc>
        <w:tc>
          <w:tcPr>
            <w:tcW w:w="122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618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533</w:t>
            </w:r>
          </w:p>
        </w:tc>
      </w:tr>
      <w:tr>
        <w:trPr>
          <w:trHeight w:val="201"/>
        </w:trPr>
        <w:tc>
          <w:tcPr>
            <w:tcW w:w="20" w:type="dxa"/>
            <w:vAlign w:val="bottom"/>
          </w:tcPr>
          <w:p>
            <w:pPr>
              <w:spacing w:after="0"/>
              <w:rPr>
                <w:sz w:val="17"/>
                <w:szCs w:val="17"/>
                <w:color w:val="auto"/>
              </w:rPr>
            </w:pPr>
          </w:p>
        </w:tc>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contract acquisition costs</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9"/>
              <w:spacing w:after="0" w:line="201" w:lineRule="exact"/>
              <w:rPr>
                <w:sz w:val="20"/>
                <w:szCs w:val="20"/>
                <w:color w:val="auto"/>
              </w:rPr>
            </w:pPr>
            <w:r>
              <w:rPr>
                <w:rFonts w:ascii="Arial" w:cs="Arial" w:eastAsia="Arial" w:hAnsi="Arial"/>
                <w:sz w:val="18"/>
                <w:szCs w:val="18"/>
                <w:color w:val="auto"/>
              </w:rPr>
              <w:t>(194)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9"/>
              <w:spacing w:after="0"/>
              <w:rPr>
                <w:sz w:val="20"/>
                <w:szCs w:val="20"/>
                <w:color w:val="auto"/>
              </w:rPr>
            </w:pPr>
            <w:r>
              <w:rPr>
                <w:rFonts w:ascii="Arial" w:cs="Arial" w:eastAsia="Arial" w:hAnsi="Arial"/>
                <w:sz w:val="18"/>
                <w:szCs w:val="18"/>
                <w:color w:val="auto"/>
              </w:rPr>
              <w:t>987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r>
      <w:tr>
        <w:trPr>
          <w:trHeight w:val="200"/>
        </w:trPr>
        <w:tc>
          <w:tcPr>
            <w:tcW w:w="20" w:type="dxa"/>
            <w:vAlign w:val="bottom"/>
          </w:tcPr>
          <w:p>
            <w:pPr>
              <w:spacing w:after="0"/>
              <w:rPr>
                <w:sz w:val="17"/>
                <w:szCs w:val="17"/>
                <w:color w:val="auto"/>
              </w:rPr>
            </w:pPr>
          </w:p>
        </w:tc>
        <w:tc>
          <w:tcPr>
            <w:tcW w:w="7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Deferred contract acquisition costs (to be recognized in next 12 months included in other</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9"/>
              <w:spacing w:after="0" w:line="201" w:lineRule="exact"/>
              <w:rPr>
                <w:sz w:val="20"/>
                <w:szCs w:val="20"/>
                <w:color w:val="auto"/>
              </w:rPr>
            </w:pPr>
            <w:r>
              <w:rPr>
                <w:rFonts w:ascii="Arial" w:cs="Arial" w:eastAsia="Arial" w:hAnsi="Arial"/>
                <w:sz w:val="18"/>
                <w:szCs w:val="18"/>
                <w:color w:val="auto"/>
              </w:rPr>
              <w:t>264</w:t>
            </w:r>
          </w:p>
        </w:tc>
        <w:tc>
          <w:tcPr>
            <w:tcW w:w="54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365</w:t>
            </w:r>
          </w:p>
        </w:tc>
      </w:tr>
      <w:tr>
        <w:trPr>
          <w:trHeight w:val="201"/>
        </w:trPr>
        <w:tc>
          <w:tcPr>
            <w:tcW w:w="20" w:type="dxa"/>
            <w:vAlign w:val="bottom"/>
          </w:tcPr>
          <w:p>
            <w:pPr>
              <w:spacing w:after="0"/>
              <w:rPr>
                <w:sz w:val="17"/>
                <w:szCs w:val="17"/>
                <w:color w:val="auto"/>
              </w:rPr>
            </w:pPr>
          </w:p>
        </w:tc>
        <w:tc>
          <w:tcPr>
            <w:tcW w:w="7900" w:type="dxa"/>
            <w:vAlign w:val="bottom"/>
          </w:tcPr>
          <w:p>
            <w:pPr>
              <w:spacing w:after="0" w:line="201" w:lineRule="exact"/>
              <w:rPr>
                <w:sz w:val="20"/>
                <w:szCs w:val="20"/>
                <w:color w:val="auto"/>
              </w:rPr>
            </w:pPr>
            <w:r>
              <w:rPr>
                <w:rFonts w:ascii="Arial" w:cs="Arial" w:eastAsia="Arial" w:hAnsi="Arial"/>
                <w:sz w:val="18"/>
                <w:szCs w:val="18"/>
                <w:color w:val="auto"/>
              </w:rPr>
              <w:t>Deferred contract acquisition costs, noncurrent</w:t>
            </w:r>
          </w:p>
        </w:tc>
        <w:tc>
          <w:tcPr>
            <w:tcW w:w="200" w:type="dxa"/>
            <w:vAlign w:val="bottom"/>
          </w:tcPr>
          <w:p>
            <w:pPr>
              <w:spacing w:after="0"/>
              <w:rPr>
                <w:sz w:val="17"/>
                <w:szCs w:val="17"/>
                <w:color w:val="auto"/>
              </w:rPr>
            </w:pPr>
          </w:p>
        </w:tc>
        <w:tc>
          <w:tcPr>
            <w:tcW w:w="1220" w:type="dxa"/>
            <w:vAlign w:val="bottom"/>
            <w:gridSpan w:val="2"/>
          </w:tcPr>
          <w:p>
            <w:pPr>
              <w:jc w:val="right"/>
              <w:ind w:right="409"/>
              <w:spacing w:after="0" w:line="201" w:lineRule="exact"/>
              <w:rPr>
                <w:sz w:val="20"/>
                <w:szCs w:val="20"/>
                <w:color w:val="auto"/>
              </w:rPr>
            </w:pPr>
            <w:r>
              <w:rPr>
                <w:rFonts w:ascii="Arial" w:cs="Arial" w:eastAsia="Arial" w:hAnsi="Arial"/>
                <w:sz w:val="18"/>
                <w:szCs w:val="18"/>
                <w:color w:val="auto"/>
              </w:rPr>
              <w:t>723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1,001</w:t>
            </w: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7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deferred contract acquisition costs</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9"/>
              <w:spacing w:after="0" w:line="201" w:lineRule="exact"/>
              <w:rPr>
                <w:sz w:val="20"/>
                <w:szCs w:val="20"/>
                <w:color w:val="auto"/>
              </w:rPr>
            </w:pPr>
            <w:r>
              <w:rPr>
                <w:rFonts w:ascii="Arial" w:cs="Arial" w:eastAsia="Arial" w:hAnsi="Arial"/>
                <w:sz w:val="18"/>
                <w:szCs w:val="18"/>
                <w:color w:val="auto"/>
              </w:rPr>
              <w:t>987</w:t>
            </w:r>
          </w:p>
        </w:tc>
        <w:tc>
          <w:tcPr>
            <w:tcW w:w="54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1,366</w:t>
            </w: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right="7180" w:firstLine="7"/>
        <w:spacing w:after="0" w:line="369" w:lineRule="auto"/>
        <w:tabs>
          <w:tab w:leader="none" w:pos="358"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Balance Sheet Components </w:t>
      </w:r>
      <w:r>
        <w:rPr>
          <w:rFonts w:ascii="Arial" w:cs="Arial" w:eastAsia="Arial" w:hAnsi="Arial"/>
          <w:sz w:val="18"/>
          <w:szCs w:val="18"/>
          <w:b w:val="1"/>
          <w:bCs w:val="1"/>
          <w:i w:val="1"/>
          <w:iCs w:val="1"/>
          <w:color w:val="auto"/>
        </w:rPr>
        <w:t>Property and Equipment, Net</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66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54"/>
        </w:trPr>
        <w:tc>
          <w:tcPr>
            <w:tcW w:w="86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5"/>
              <w:spacing w:after="0" w:line="154"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4"/>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1"/>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Computer and software</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998</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1,217</w:t>
            </w:r>
          </w:p>
        </w:tc>
      </w:tr>
      <w:tr>
        <w:trPr>
          <w:trHeight w:val="201"/>
        </w:trPr>
        <w:tc>
          <w:tcPr>
            <w:tcW w:w="8660" w:type="dxa"/>
            <w:vAlign w:val="bottom"/>
          </w:tcPr>
          <w:p>
            <w:pPr>
              <w:spacing w:after="0" w:line="201" w:lineRule="exact"/>
              <w:rPr>
                <w:sz w:val="20"/>
                <w:szCs w:val="20"/>
                <w:color w:val="auto"/>
              </w:rPr>
            </w:pPr>
            <w:r>
              <w:rPr>
                <w:rFonts w:ascii="Arial" w:cs="Arial" w:eastAsia="Arial" w:hAnsi="Arial"/>
                <w:sz w:val="18"/>
                <w:szCs w:val="18"/>
                <w:color w:val="auto"/>
              </w:rPr>
              <w:t>Furniture and office equipment</w:t>
            </w: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162</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176</w:t>
            </w:r>
          </w:p>
        </w:tc>
      </w:tr>
      <w:tr>
        <w:trPr>
          <w:trHeight w:val="201"/>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289</w:t>
            </w:r>
          </w:p>
        </w:tc>
      </w:tr>
      <w:tr>
        <w:trPr>
          <w:trHeight w:val="20"/>
        </w:trPr>
        <w:tc>
          <w:tcPr>
            <w:tcW w:w="8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66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1,682</w:t>
            </w:r>
          </w:p>
        </w:tc>
      </w:tr>
      <w:tr>
        <w:trPr>
          <w:trHeight w:val="201"/>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(833)</w:t>
            </w:r>
          </w:p>
        </w:tc>
      </w:tr>
      <w:tr>
        <w:trPr>
          <w:trHeight w:val="20"/>
        </w:trPr>
        <w:tc>
          <w:tcPr>
            <w:tcW w:w="8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6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r>
      <w:tr>
        <w:trPr>
          <w:trHeight w:val="20"/>
        </w:trPr>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760" w:firstLine="546"/>
        <w:spacing w:after="0" w:line="239" w:lineRule="auto"/>
        <w:rPr>
          <w:sz w:val="20"/>
          <w:szCs w:val="20"/>
          <w:color w:val="auto"/>
        </w:rPr>
      </w:pPr>
      <w:r>
        <w:rPr>
          <w:rFonts w:ascii="Arial" w:cs="Arial" w:eastAsia="Arial" w:hAnsi="Arial"/>
          <w:sz w:val="18"/>
          <w:szCs w:val="18"/>
          <w:color w:val="auto"/>
        </w:rPr>
        <w:t>Depreciation and amortization expense were $234 and $131 for the period ended December 31, 2020 and June 30, 2021, respectively. During the six months ended June 30, 2021, the Company wrote-off $4 of fully depreciated assets.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June 30,</w:t>
            </w:r>
          </w:p>
        </w:tc>
      </w:tr>
      <w:tr>
        <w:trPr>
          <w:trHeight w:val="181"/>
        </w:trPr>
        <w:tc>
          <w:tcPr>
            <w:tcW w:w="87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4"/>
              <w:spacing w:after="0" w:line="181" w:lineRule="exact"/>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52"/>
              <w:spacing w:after="0" w:line="181"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r>
      <w:tr>
        <w:trPr>
          <w:trHeight w:val="154"/>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3,769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8,430</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Accrued indirect taxes and related liabilities</w:t>
            </w: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15,301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7,753</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4,589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4,078</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Advancements from customers</w:t>
            </w: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4,417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3,212</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1,553</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29,432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25,026</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Commercial asset agreement</w:t>
      </w:r>
    </w:p>
    <w:p>
      <w:pPr>
        <w:spacing w:after="0" w:line="123" w:lineRule="exact"/>
        <w:rPr>
          <w:sz w:val="20"/>
          <w:szCs w:val="20"/>
          <w:color w:val="auto"/>
        </w:rPr>
      </w:pPr>
    </w:p>
    <w:p>
      <w:pPr>
        <w:ind w:left="160" w:right="280" w:firstLine="546"/>
        <w:spacing w:after="0" w:line="246" w:lineRule="auto"/>
        <w:rPr>
          <w:sz w:val="20"/>
          <w:szCs w:val="20"/>
          <w:color w:val="auto"/>
        </w:rPr>
      </w:pPr>
      <w:r>
        <w:rPr>
          <w:rFonts w:ascii="Arial" w:cs="Arial" w:eastAsia="Arial" w:hAnsi="Arial"/>
          <w:sz w:val="17"/>
          <w:szCs w:val="17"/>
          <w:color w:val="auto"/>
        </w:rPr>
        <w:t>During the six months ended June 30, 2021, the Company recognized an asset in connection with a commercial agreement with Shopify Inc., in which the Company granted warrants in exchange for the benefit of being the exclusive third-party provider of an end-to-end cross-border solution. The asset represents the probable future economic benefit to be realized over the four-year expected benefit period and its value represents the fair value of the warrants on the grant date. The Company recognized an asset of</w:t>
      </w:r>
    </w:p>
    <w:p>
      <w:pPr>
        <w:spacing w:after="0" w:line="1"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$209.7 million associated with the fair value of the vested warrants according to the vesting schedule . For the six months ended June 30, 2021, the Company recorded amortization expense related to the commercial agreement asset of $25.5 million in our consolidated statements of operations and comprehensive loss as a component of sales and marketing expense.</w:t>
      </w:r>
    </w:p>
    <w:p>
      <w:pPr>
        <w:spacing w:after="0" w:line="288" w:lineRule="exact"/>
        <w:rPr>
          <w:sz w:val="20"/>
          <w:szCs w:val="20"/>
          <w:color w:val="auto"/>
        </w:rPr>
      </w:pPr>
    </w:p>
    <w:p>
      <w:pPr>
        <w:ind w:left="360" w:hanging="193"/>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3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7"/>
          <w:szCs w:val="17"/>
          <w:color w:val="auto"/>
        </w:rPr>
        <w:t>General:</w:t>
      </w:r>
    </w:p>
    <w:p>
      <w:pPr>
        <w:spacing w:after="0" w:line="101" w:lineRule="exact"/>
        <w:rPr>
          <w:sz w:val="20"/>
          <w:szCs w:val="20"/>
          <w:color w:val="auto"/>
        </w:rPr>
      </w:pPr>
    </w:p>
    <w:p>
      <w:pPr>
        <w:ind w:left="1360" w:right="180"/>
        <w:spacing w:after="0" w:line="239" w:lineRule="auto"/>
        <w:rPr>
          <w:sz w:val="20"/>
          <w:szCs w:val="20"/>
          <w:color w:val="auto"/>
        </w:rPr>
      </w:pPr>
      <w:r>
        <w:rPr>
          <w:rFonts w:ascii="Arial" w:cs="Arial" w:eastAsia="Arial" w:hAnsi="Arial"/>
          <w:sz w:val="18"/>
          <w:szCs w:val="18"/>
          <w:color w:val="auto"/>
        </w:rPr>
        <w:t>The ordinary shares entitle their holders to receive notice to participate and vote in general meetings of the Company, the right to share in distributions upon liquidation of the Company, and to receive dividends, if declared.</w:t>
      </w:r>
    </w:p>
    <w:p>
      <w:pPr>
        <w:spacing w:after="0" w:line="96" w:lineRule="exact"/>
        <w:rPr>
          <w:sz w:val="20"/>
          <w:szCs w:val="20"/>
          <w:color w:val="auto"/>
        </w:rPr>
      </w:pPr>
    </w:p>
    <w:p>
      <w:pPr>
        <w:ind w:left="1360" w:right="460"/>
        <w:spacing w:after="0" w:line="239" w:lineRule="auto"/>
        <w:rPr>
          <w:sz w:val="20"/>
          <w:szCs w:val="20"/>
          <w:color w:val="auto"/>
        </w:rPr>
      </w:pPr>
      <w:r>
        <w:rPr>
          <w:rFonts w:ascii="Arial" w:cs="Arial" w:eastAsia="Arial" w:hAnsi="Arial"/>
          <w:sz w:val="18"/>
          <w:szCs w:val="18"/>
          <w:color w:val="auto"/>
        </w:rPr>
        <w:t>On March 21, 2021, the Company’s shareholders approved the change of share capital from NIS 0.01 par value to no par-value.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March 21, 2021, the Company’s shareholders approved a share split of the Company’s ordinary shares at a ratio of 1-to</w:t>
      </w:r>
    </w:p>
    <w:p>
      <w:pPr>
        <w:ind w:left="1360" w:right="160" w:firstLine="8"/>
        <w:spacing w:after="0" w:line="246" w:lineRule="auto"/>
        <w:tabs>
          <w:tab w:leader="none" w:pos="17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 a result of the share split, (i) every one authorized, issued and outstanding ordinary share was increased to six hundred (600) of shares authorized, issued and outstanding ordinary shares, (ii) the number of ordinary shares into which each outstanding option to purchase an ordinary share is exercisable was proportionally increased on a 1-to 600 basis, (iii) all share prices and exercise prices were proportionally decreased. All of the share numbers, share prices, and exercise prices have been adjusted within these consolidated financial statements, on a retroactive basis, to reflect this</w:t>
      </w:r>
    </w:p>
    <w:p>
      <w:pPr>
        <w:spacing w:after="0" w:line="1" w:lineRule="exact"/>
        <w:rPr>
          <w:rFonts w:ascii="Arial" w:cs="Arial" w:eastAsia="Arial" w:hAnsi="Arial"/>
          <w:sz w:val="17"/>
          <w:szCs w:val="17"/>
          <w:color w:val="auto"/>
        </w:rPr>
      </w:pPr>
    </w:p>
    <w:p>
      <w:pPr>
        <w:ind w:left="1360" w:right="60"/>
        <w:spacing w:after="0" w:line="239" w:lineRule="auto"/>
        <w:rPr>
          <w:rFonts w:ascii="Arial" w:cs="Arial" w:eastAsia="Arial" w:hAnsi="Arial"/>
          <w:sz w:val="17"/>
          <w:szCs w:val="17"/>
          <w:color w:val="auto"/>
        </w:rPr>
      </w:pPr>
      <w:r>
        <w:rPr>
          <w:rFonts w:ascii="Arial" w:cs="Arial" w:eastAsia="Arial" w:hAnsi="Arial"/>
          <w:sz w:val="18"/>
          <w:szCs w:val="18"/>
          <w:color w:val="auto"/>
        </w:rPr>
        <w:t>1-to 600 shares split, and (iv) the conversion ratio for the convertible preferred shares to ordinary shares was updated on a 1-to 600 basis.</w:t>
      </w:r>
    </w:p>
    <w:p>
      <w:pPr>
        <w:spacing w:after="0" w:line="96" w:lineRule="exact"/>
        <w:rPr>
          <w:sz w:val="20"/>
          <w:szCs w:val="20"/>
          <w:color w:val="auto"/>
        </w:rPr>
      </w:pPr>
    </w:p>
    <w:p>
      <w:pPr>
        <w:ind w:left="1360" w:right="500"/>
        <w:spacing w:after="0" w:line="268" w:lineRule="auto"/>
        <w:rPr>
          <w:sz w:val="20"/>
          <w:szCs w:val="20"/>
          <w:color w:val="auto"/>
        </w:rPr>
      </w:pPr>
      <w:r>
        <w:rPr>
          <w:rFonts w:ascii="Arial" w:cs="Arial" w:eastAsia="Arial" w:hAnsi="Arial"/>
          <w:sz w:val="17"/>
          <w:szCs w:val="17"/>
          <w:color w:val="auto"/>
        </w:rPr>
        <w:t>All references to ordinary and convertible preferred shares amounts and per share amounts have been retroactively restated to reflect the change in par value as if it had taken place as of the beginning of the earliest period presented.</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34" w:lineRule="exact"/>
        <w:rPr>
          <w:sz w:val="20"/>
          <w:szCs w:val="20"/>
          <w:color w:val="auto"/>
        </w:rPr>
      </w:pPr>
    </w:p>
    <w:p>
      <w:pPr>
        <w:ind w:left="1340" w:hanging="638"/>
        <w:spacing w:after="0"/>
        <w:tabs>
          <w:tab w:leader="none" w:pos="1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 options plans:</w:t>
      </w:r>
    </w:p>
    <w:p>
      <w:pPr>
        <w:spacing w:after="0" w:line="101" w:lineRule="exact"/>
        <w:rPr>
          <w:sz w:val="20"/>
          <w:szCs w:val="20"/>
          <w:color w:val="auto"/>
        </w:rPr>
      </w:pPr>
    </w:p>
    <w:p>
      <w:pPr>
        <w:ind w:left="160" w:right="200" w:firstLine="546"/>
        <w:spacing w:after="0" w:line="257" w:lineRule="auto"/>
        <w:rPr>
          <w:sz w:val="20"/>
          <w:szCs w:val="20"/>
          <w:color w:val="auto"/>
        </w:rPr>
      </w:pPr>
      <w:r>
        <w:rPr>
          <w:rFonts w:ascii="Arial" w:cs="Arial" w:eastAsia="Arial" w:hAnsi="Arial"/>
          <w:sz w:val="17"/>
          <w:szCs w:val="17"/>
          <w:color w:val="auto"/>
        </w:rPr>
        <w:t>In 2013, the Company adopted the Global-e Online Ltd. 2013 Share Incentive Plan (“2013 Plan”), under which the Company may grant various forms of equity incentive compensation at the discretion of the board of directors, including share options. The 2013 Plan provides for the grant of equity-based incentive awards to our employees, directors, office holders, service providers and consultants.</w:t>
      </w:r>
    </w:p>
    <w:p>
      <w:pPr>
        <w:spacing w:after="0" w:line="188"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The Company no longer grants any awards under the 2013 Plan as it was superseded by the 2021 Plan, although previously granted awards remain outstanding. Ordinary shares subject to outstanding options granted under the 2021 Plan that expire or become unexercisable without having been exercised in full will become available again for future grant under the 2021 Plan.</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maximum number ordinary shares available for issuance under the 2021 Plan is equal to the sum of (i) 13,500,000 shares,</w:t>
      </w:r>
    </w:p>
    <w:p>
      <w:pPr>
        <w:ind w:left="160" w:right="40" w:firstLine="7"/>
        <w:spacing w:after="0" w:line="235" w:lineRule="auto"/>
        <w:tabs>
          <w:tab w:leader="none" w:pos="4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summary of share option activity under the Company’s equity incentive plan and related information is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5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594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594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 Options</w:t>
            </w:r>
          </w:p>
        </w:tc>
        <w:tc>
          <w:tcPr>
            <w:tcW w:w="360" w:type="dxa"/>
            <w:vAlign w:val="bottom"/>
          </w:tcPr>
          <w:p>
            <w:pPr>
              <w:spacing w:after="0"/>
              <w:rPr>
                <w:sz w:val="15"/>
                <w:szCs w:val="15"/>
                <w:color w:val="auto"/>
              </w:rPr>
            </w:pPr>
          </w:p>
        </w:tc>
        <w:tc>
          <w:tcPr>
            <w:tcW w:w="800" w:type="dxa"/>
            <w:vAlign w:val="bottom"/>
          </w:tcPr>
          <w:p>
            <w:pPr>
              <w:jc w:val="center"/>
              <w:ind w:right="276"/>
              <w:spacing w:after="0"/>
              <w:rPr>
                <w:sz w:val="20"/>
                <w:szCs w:val="20"/>
                <w:color w:val="auto"/>
              </w:rPr>
            </w:pPr>
            <w:r>
              <w:rPr>
                <w:rFonts w:ascii="Arial" w:cs="Arial" w:eastAsia="Arial" w:hAnsi="Arial"/>
                <w:sz w:val="14"/>
                <w:szCs w:val="14"/>
                <w:b w:val="1"/>
                <w:bCs w:val="1"/>
                <w:color w:val="auto"/>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Life (Years)</w:t>
            </w:r>
          </w:p>
        </w:tc>
        <w:tc>
          <w:tcPr>
            <w:tcW w:w="3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r>
      <w:tr>
        <w:trPr>
          <w:trHeight w:val="154"/>
        </w:trPr>
        <w:tc>
          <w:tcPr>
            <w:tcW w:w="5940" w:type="dxa"/>
            <w:vAlign w:val="bottom"/>
          </w:tcPr>
          <w:p>
            <w:pPr>
              <w:spacing w:after="0"/>
              <w:rPr>
                <w:sz w:val="13"/>
                <w:szCs w:val="13"/>
                <w:color w:val="auto"/>
              </w:rPr>
            </w:pPr>
          </w:p>
        </w:tc>
        <w:tc>
          <w:tcPr>
            <w:tcW w:w="4920" w:type="dxa"/>
            <w:vAlign w:val="bottom"/>
            <w:tcBorders>
              <w:top w:val="single" w:sz="8" w:color="auto"/>
            </w:tcBorders>
            <w:gridSpan w:val="7"/>
          </w:tcPr>
          <w:p>
            <w:pPr>
              <w:ind w:left="700"/>
              <w:spacing w:after="0" w:line="154" w:lineRule="exact"/>
              <w:rPr>
                <w:sz w:val="20"/>
                <w:szCs w:val="20"/>
                <w:color w:val="auto"/>
              </w:rPr>
            </w:pPr>
            <w:r>
              <w:rPr>
                <w:rFonts w:ascii="Arial" w:cs="Arial" w:eastAsia="Arial" w:hAnsi="Arial"/>
                <w:sz w:val="14"/>
                <w:szCs w:val="14"/>
                <w:b w:val="1"/>
                <w:bCs w:val="1"/>
                <w:color w:val="auto"/>
              </w:rPr>
              <w:t>(in thousands, except share, life and per share data)</w:t>
            </w:r>
          </w:p>
        </w:tc>
        <w:tc>
          <w:tcPr>
            <w:tcW w:w="60" w:type="dxa"/>
            <w:vAlign w:val="bottom"/>
          </w:tcPr>
          <w:p>
            <w:pPr>
              <w:spacing w:after="0"/>
              <w:rPr>
                <w:sz w:val="13"/>
                <w:szCs w:val="13"/>
                <w:color w:val="auto"/>
              </w:rPr>
            </w:pP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2020</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12,522,600</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6"/>
              <w:spacing w:after="0" w:line="201" w:lineRule="exact"/>
              <w:rPr>
                <w:sz w:val="20"/>
                <w:szCs w:val="20"/>
                <w:color w:val="auto"/>
              </w:rPr>
            </w:pPr>
            <w:r>
              <w:rPr>
                <w:rFonts w:ascii="Arial" w:cs="Arial" w:eastAsia="Arial" w:hAnsi="Arial"/>
                <w:sz w:val="18"/>
                <w:szCs w:val="18"/>
                <w:color w:val="auto"/>
              </w:rPr>
              <w:t>2.04</w:t>
            </w:r>
          </w:p>
        </w:tc>
        <w:tc>
          <w:tcPr>
            <w:tcW w:w="1280" w:type="dxa"/>
            <w:vAlign w:val="bottom"/>
            <w:shd w:val="clear" w:color="auto" w:fill="CCEEFF"/>
          </w:tcPr>
          <w:p>
            <w:pPr>
              <w:jc w:val="right"/>
              <w:ind w:right="162"/>
              <w:spacing w:after="0" w:line="201" w:lineRule="exact"/>
              <w:rPr>
                <w:sz w:val="20"/>
                <w:szCs w:val="20"/>
                <w:color w:val="auto"/>
              </w:rPr>
            </w:pPr>
            <w:r>
              <w:rPr>
                <w:rFonts w:ascii="Arial" w:cs="Arial" w:eastAsia="Arial" w:hAnsi="Arial"/>
                <w:sz w:val="18"/>
                <w:szCs w:val="18"/>
                <w:color w:val="auto"/>
              </w:rPr>
              <w:t>7.83</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56,084.01</w:t>
            </w:r>
          </w:p>
        </w:tc>
      </w:tr>
      <w:tr>
        <w:trPr>
          <w:trHeight w:val="201"/>
        </w:trPr>
        <w:tc>
          <w:tcPr>
            <w:tcW w:w="5940" w:type="dxa"/>
            <w:vAlign w:val="bottom"/>
          </w:tcPr>
          <w:p>
            <w:pPr>
              <w:ind w:left="360"/>
              <w:spacing w:after="0" w:line="201"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ind w:left="70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(166,950)</w:t>
            </w:r>
          </w:p>
        </w:tc>
        <w:tc>
          <w:tcPr>
            <w:tcW w:w="3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6"/>
              <w:spacing w:after="0" w:line="201" w:lineRule="exact"/>
              <w:rPr>
                <w:sz w:val="20"/>
                <w:szCs w:val="20"/>
                <w:color w:val="auto"/>
              </w:rPr>
            </w:pPr>
            <w:r>
              <w:rPr>
                <w:rFonts w:ascii="Arial" w:cs="Arial" w:eastAsia="Arial" w:hAnsi="Arial"/>
                <w:sz w:val="18"/>
                <w:szCs w:val="18"/>
                <w:color w:val="auto"/>
              </w:rPr>
              <w:t>1.03</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9,356.86</w:t>
            </w:r>
          </w:p>
        </w:tc>
        <w:tc>
          <w:tcPr>
            <w:tcW w:w="60" w:type="dxa"/>
            <w:vAlign w:val="bottom"/>
            <w:shd w:val="clear" w:color="auto" w:fill="CCEEFF"/>
          </w:tcPr>
          <w:p>
            <w:pPr>
              <w:spacing w:after="0"/>
              <w:rPr>
                <w:sz w:val="17"/>
                <w:szCs w:val="17"/>
                <w:color w:val="auto"/>
              </w:rPr>
            </w:pPr>
          </w:p>
        </w:tc>
      </w:tr>
      <w:tr>
        <w:trPr>
          <w:trHeight w:val="207"/>
        </w:trPr>
        <w:tc>
          <w:tcPr>
            <w:tcW w:w="5940" w:type="dxa"/>
            <w:vAlign w:val="bottom"/>
          </w:tcPr>
          <w:p>
            <w:pPr>
              <w:ind w:left="360"/>
              <w:spacing w:after="0" w:line="201"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(243,450)</w:t>
            </w:r>
          </w:p>
        </w:tc>
        <w:tc>
          <w:tcPr>
            <w:tcW w:w="360" w:type="dxa"/>
            <w:vAlign w:val="bottom"/>
          </w:tcPr>
          <w:p>
            <w:pPr>
              <w:ind w:left="240"/>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6"/>
              <w:spacing w:after="0" w:line="201" w:lineRule="exact"/>
              <w:rPr>
                <w:sz w:val="20"/>
                <w:szCs w:val="20"/>
                <w:color w:val="auto"/>
              </w:rPr>
            </w:pPr>
            <w:r>
              <w:rPr>
                <w:rFonts w:ascii="Arial" w:cs="Arial" w:eastAsia="Arial" w:hAnsi="Arial"/>
                <w:sz w:val="18"/>
                <w:szCs w:val="18"/>
                <w:color w:val="auto"/>
              </w:rPr>
              <w:t>2.07</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5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Balance as of June 30, 2021</w:t>
            </w:r>
          </w:p>
        </w:tc>
        <w:tc>
          <w:tcPr>
            <w:tcW w:w="9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12,112,200</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6"/>
              <w:spacing w:after="0" w:line="201" w:lineRule="exact"/>
              <w:rPr>
                <w:sz w:val="20"/>
                <w:szCs w:val="20"/>
                <w:color w:val="auto"/>
              </w:rPr>
            </w:pPr>
            <w:r>
              <w:rPr>
                <w:rFonts w:ascii="Arial" w:cs="Arial" w:eastAsia="Arial" w:hAnsi="Arial"/>
                <w:sz w:val="18"/>
                <w:szCs w:val="18"/>
                <w:color w:val="auto"/>
              </w:rPr>
              <w:t>2.05</w:t>
            </w:r>
          </w:p>
        </w:tc>
        <w:tc>
          <w:tcPr>
            <w:tcW w:w="1280" w:type="dxa"/>
            <w:vAlign w:val="bottom"/>
            <w:shd w:val="clear" w:color="auto" w:fill="CCEEFF"/>
          </w:tcPr>
          <w:p>
            <w:pPr>
              <w:jc w:val="right"/>
              <w:ind w:right="162"/>
              <w:spacing w:after="0" w:line="201" w:lineRule="exact"/>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667,017.62</w:t>
            </w:r>
          </w:p>
        </w:tc>
        <w:tc>
          <w:tcPr>
            <w:tcW w:w="60" w:type="dxa"/>
            <w:vAlign w:val="bottom"/>
            <w:shd w:val="clear" w:color="auto" w:fill="CCEEFF"/>
          </w:tcPr>
          <w:p>
            <w:pPr>
              <w:spacing w:after="0"/>
              <w:rPr>
                <w:sz w:val="17"/>
                <w:szCs w:val="17"/>
                <w:color w:val="auto"/>
              </w:rPr>
            </w:pPr>
          </w:p>
        </w:tc>
      </w:tr>
      <w:tr>
        <w:trPr>
          <w:trHeight w:val="207"/>
        </w:trPr>
        <w:tc>
          <w:tcPr>
            <w:tcW w:w="5940" w:type="dxa"/>
            <w:vAlign w:val="bottom"/>
          </w:tcPr>
          <w:p>
            <w:pPr>
              <w:ind w:left="360"/>
              <w:spacing w:after="0"/>
              <w:rPr>
                <w:sz w:val="20"/>
                <w:szCs w:val="20"/>
                <w:color w:val="auto"/>
              </w:rPr>
            </w:pPr>
            <w:r>
              <w:rPr>
                <w:rFonts w:ascii="Arial" w:cs="Arial" w:eastAsia="Arial" w:hAnsi="Arial"/>
                <w:sz w:val="18"/>
                <w:szCs w:val="18"/>
                <w:color w:val="auto"/>
              </w:rPr>
              <w:t>Exercisable as of June 30,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6,753,151</w:t>
            </w:r>
          </w:p>
        </w:tc>
        <w:tc>
          <w:tcPr>
            <w:tcW w:w="300" w:type="dxa"/>
            <w:vAlign w:val="bottom"/>
          </w:tcPr>
          <w:p>
            <w:pPr>
              <w:spacing w:after="0"/>
              <w:rPr>
                <w:sz w:val="18"/>
                <w:szCs w:val="18"/>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1.20</w:t>
            </w:r>
          </w:p>
        </w:tc>
        <w:tc>
          <w:tcPr>
            <w:tcW w:w="1280" w:type="dxa"/>
            <w:vAlign w:val="bottom"/>
          </w:tcPr>
          <w:p>
            <w:pPr>
              <w:jc w:val="right"/>
              <w:ind w:right="162"/>
              <w:spacing w:after="0"/>
              <w:rPr>
                <w:sz w:val="20"/>
                <w:szCs w:val="20"/>
                <w:color w:val="auto"/>
              </w:rPr>
            </w:pPr>
            <w:r>
              <w:rPr>
                <w:rFonts w:ascii="Arial" w:cs="Arial" w:eastAsia="Arial" w:hAnsi="Arial"/>
                <w:sz w:val="18"/>
                <w:szCs w:val="18"/>
                <w:color w:val="auto"/>
              </w:rPr>
              <w:t>6.24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377,334.47</w:t>
            </w:r>
          </w:p>
        </w:tc>
        <w:tc>
          <w:tcPr>
            <w:tcW w:w="60" w:type="dxa"/>
            <w:vAlign w:val="bottom"/>
          </w:tcPr>
          <w:p>
            <w:pPr>
              <w:spacing w:after="0"/>
              <w:rPr>
                <w:sz w:val="18"/>
                <w:szCs w:val="18"/>
                <w:color w:val="auto"/>
              </w:rPr>
            </w:pPr>
          </w:p>
        </w:tc>
      </w:tr>
    </w:tbl>
    <w:p>
      <w:pPr>
        <w:spacing w:after="0" w:line="227"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As of June 30, 2021, unrecognized share-based compensation cost related to unvested share options was $13,028, which is expected to be recognized over a weighted-average period 2.66 years.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summary of RSU activity for the six months ended June 30, 2021 is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w:t>
            </w: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date fair value per share</w:t>
            </w:r>
          </w:p>
        </w:tc>
      </w:tr>
      <w:tr>
        <w:trPr>
          <w:trHeight w:val="194"/>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Unvested as of December 31, 2020</w:t>
            </w:r>
          </w:p>
        </w:tc>
        <w:tc>
          <w:tcPr>
            <w:tcW w:w="28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ind w:left="940"/>
              <w:spacing w:after="0" w:line="194"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ind w:left="1380"/>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Granted</w:t>
            </w:r>
          </w:p>
        </w:tc>
        <w:tc>
          <w:tcPr>
            <w:tcW w:w="5180" w:type="dxa"/>
            <w:vAlign w:val="bottom"/>
            <w:gridSpan w:val="3"/>
          </w:tcPr>
          <w:p>
            <w:pPr>
              <w:jc w:val="right"/>
              <w:ind w:right="1120"/>
              <w:spacing w:after="0" w:line="201" w:lineRule="exact"/>
              <w:rPr>
                <w:sz w:val="20"/>
                <w:szCs w:val="20"/>
                <w:color w:val="auto"/>
              </w:rPr>
            </w:pPr>
            <w:r>
              <w:rPr>
                <w:rFonts w:ascii="Arial" w:cs="Arial" w:eastAsia="Arial" w:hAnsi="Arial"/>
                <w:sz w:val="18"/>
                <w:szCs w:val="18"/>
                <w:color w:val="auto"/>
              </w:rPr>
              <w:t>175,254</w:t>
            </w:r>
          </w:p>
        </w:tc>
        <w:tc>
          <w:tcPr>
            <w:tcW w:w="1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58.20</w:t>
            </w:r>
          </w:p>
        </w:tc>
      </w:tr>
      <w:tr>
        <w:trPr>
          <w:trHeight w:val="201"/>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Exercised</w:t>
            </w:r>
          </w:p>
        </w:tc>
        <w:tc>
          <w:tcPr>
            <w:tcW w:w="28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940"/>
              <w:spacing w:after="0" w:line="201"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380"/>
              <w:spacing w:after="0" w:line="201" w:lineRule="exact"/>
              <w:rPr>
                <w:sz w:val="20"/>
                <w:szCs w:val="20"/>
                <w:color w:val="auto"/>
              </w:rPr>
            </w:pPr>
            <w:r>
              <w:rPr>
                <w:rFonts w:ascii="Arial" w:cs="Arial" w:eastAsia="Arial" w:hAnsi="Arial"/>
                <w:sz w:val="18"/>
                <w:szCs w:val="18"/>
                <w:color w:val="auto"/>
              </w:rPr>
              <w:t>—</w:t>
            </w:r>
          </w:p>
        </w:tc>
      </w:tr>
      <w:tr>
        <w:trPr>
          <w:trHeight w:val="207"/>
        </w:trPr>
        <w:tc>
          <w:tcPr>
            <w:tcW w:w="20" w:type="dxa"/>
            <w:vAlign w:val="bottom"/>
          </w:tcPr>
          <w:p>
            <w:pPr>
              <w:spacing w:after="0"/>
              <w:rPr>
                <w:sz w:val="18"/>
                <w:szCs w:val="18"/>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Forfeited</w:t>
            </w:r>
          </w:p>
        </w:tc>
        <w:tc>
          <w:tcPr>
            <w:tcW w:w="2840" w:type="dxa"/>
            <w:vAlign w:val="bottom"/>
          </w:tcPr>
          <w:p>
            <w:pPr>
              <w:spacing w:after="0"/>
              <w:rPr>
                <w:sz w:val="18"/>
                <w:szCs w:val="18"/>
                <w:color w:val="auto"/>
              </w:rPr>
            </w:pPr>
          </w:p>
        </w:tc>
        <w:tc>
          <w:tcPr>
            <w:tcW w:w="1220" w:type="dxa"/>
            <w:vAlign w:val="bottom"/>
            <w:tcBorders>
              <w:bottom w:val="single" w:sz="8" w:color="auto"/>
            </w:tcBorders>
          </w:tcPr>
          <w:p>
            <w:pPr>
              <w:ind w:left="94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640" w:type="dxa"/>
            <w:vAlign w:val="bottom"/>
            <w:tcBorders>
              <w:bottom w:val="single" w:sz="8" w:color="auto"/>
            </w:tcBorders>
          </w:tcPr>
          <w:p>
            <w:pPr>
              <w:ind w:left="138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June 30, 2021</w:t>
            </w:r>
          </w:p>
        </w:tc>
        <w:tc>
          <w:tcPr>
            <w:tcW w:w="28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175,254</w:t>
            </w:r>
          </w:p>
        </w:tc>
        <w:tc>
          <w:tcPr>
            <w:tcW w:w="1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58.20</w:t>
            </w:r>
          </w:p>
        </w:tc>
      </w:tr>
      <w:tr>
        <w:trPr>
          <w:trHeight w:val="207"/>
        </w:trPr>
        <w:tc>
          <w:tcPr>
            <w:tcW w:w="4040" w:type="dxa"/>
            <w:vAlign w:val="bottom"/>
            <w:gridSpan w:val="2"/>
          </w:tcPr>
          <w:p>
            <w:pPr>
              <w:spacing w:after="0"/>
              <w:rPr>
                <w:sz w:val="20"/>
                <w:szCs w:val="20"/>
                <w:color w:val="auto"/>
              </w:rPr>
            </w:pPr>
            <w:r>
              <w:rPr>
                <w:rFonts w:ascii="Arial" w:cs="Arial" w:eastAsia="Arial" w:hAnsi="Arial"/>
                <w:sz w:val="18"/>
                <w:szCs w:val="18"/>
                <w:color w:val="auto"/>
              </w:rPr>
              <w:t>Exercisable as of June 30, 2021</w:t>
            </w:r>
          </w:p>
        </w:tc>
        <w:tc>
          <w:tcPr>
            <w:tcW w:w="284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180" w:type="dxa"/>
            <w:vAlign w:val="bottom"/>
            <w:gridSpan w:val="3"/>
          </w:tcPr>
          <w:p>
            <w:pPr>
              <w:ind w:left="1240"/>
              <w:spacing w:after="0"/>
              <w:rPr>
                <w:sz w:val="20"/>
                <w:szCs w:val="20"/>
                <w:color w:val="auto"/>
              </w:rPr>
            </w:pPr>
            <w:r>
              <w:rPr>
                <w:rFonts w:ascii="Arial" w:cs="Arial" w:eastAsia="Arial" w:hAnsi="Arial"/>
                <w:sz w:val="18"/>
                <w:szCs w:val="18"/>
                <w:color w:val="auto"/>
              </w:rPr>
              <w:t>F-47</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34"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As of June 30, 2021, unrecognized share-based compensation cost related to unvested restricted share units was $9,723, which is expected to be recognized over a weighted-average period 2.78 years.</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share-based compensation expense by line item in the accompanying consolidated statements of operations is summarized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2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4"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4"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24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205</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2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117</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1,360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share-based compensation expense</w:t>
            </w:r>
          </w:p>
        </w:tc>
        <w:tc>
          <w:tcPr>
            <w:tcW w:w="2640" w:type="dxa"/>
            <w:vAlign w:val="bottom"/>
            <w:gridSpan w:val="2"/>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line="201" w:lineRule="exact"/>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Net Earnings (Loss) Per Share Attributable to Ordinary Shareholders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ordinary shareholders for the periods presented: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ind w:right="520"/>
              <w:spacing w:after="0" w:line="154"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15"/>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6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net profit (loss) per share</w:t>
            </w: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color w:val="auto"/>
                <w:w w:val="95"/>
              </w:rPr>
              <w:t>Numerator:</w:t>
            </w:r>
          </w:p>
        </w:tc>
        <w:tc>
          <w:tcPr>
            <w:tcW w:w="6240" w:type="dxa"/>
            <w:vAlign w:val="bottom"/>
            <w:gridSpan w:val="2"/>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Ordinary shareholders</w:t>
            </w:r>
          </w:p>
        </w:tc>
        <w:tc>
          <w:tcPr>
            <w:tcW w:w="21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(1,668)</w:t>
            </w:r>
          </w:p>
        </w:tc>
        <w:tc>
          <w:tcPr>
            <w:tcW w:w="1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88"/>
        </w:trPr>
        <w:tc>
          <w:tcPr>
            <w:tcW w:w="7140" w:type="dxa"/>
            <w:vAlign w:val="bottom"/>
            <w:gridSpan w:val="4"/>
          </w:tcPr>
          <w:p>
            <w:pPr>
              <w:spacing w:after="0"/>
              <w:rPr>
                <w:sz w:val="20"/>
                <w:szCs w:val="20"/>
                <w:color w:val="auto"/>
              </w:rPr>
            </w:pPr>
            <w:r>
              <w:rPr>
                <w:rFonts w:ascii="Arial" w:cs="Arial" w:eastAsia="Arial" w:hAnsi="Arial"/>
                <w:sz w:val="18"/>
                <w:szCs w:val="18"/>
                <w:color w:val="auto"/>
              </w:rPr>
              <w:t>Denominator:</w:t>
            </w:r>
          </w:p>
        </w:tc>
        <w:tc>
          <w:tcPr>
            <w:tcW w:w="15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71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shareholders, basic and diluted</w:t>
            </w:r>
          </w:p>
        </w:tc>
        <w:tc>
          <w:tcPr>
            <w:tcW w:w="216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20,686,427</w:t>
            </w:r>
          </w:p>
        </w:tc>
        <w:tc>
          <w:tcPr>
            <w:tcW w:w="16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54,750,595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20" w:type="dxa"/>
            <w:vAlign w:val="bottom"/>
            <w:gridSpan w:val="3"/>
          </w:tcPr>
          <w:p>
            <w:pPr>
              <w:spacing w:after="0" w:line="201" w:lineRule="exact"/>
              <w:rPr>
                <w:sz w:val="20"/>
                <w:szCs w:val="20"/>
                <w:color w:val="auto"/>
              </w:rPr>
            </w:pPr>
            <w:r>
              <w:rPr>
                <w:rFonts w:ascii="Arial" w:cs="Arial" w:eastAsia="Arial" w:hAnsi="Arial"/>
                <w:sz w:val="18"/>
                <w:szCs w:val="18"/>
                <w:color w:val="auto"/>
              </w:rPr>
              <w:t>Basic net profit (loss) per share attributable to Ordinary shareholders</w:t>
            </w:r>
          </w:p>
        </w:tc>
        <w:tc>
          <w:tcPr>
            <w:tcW w:w="216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(0.08)</w:t>
            </w:r>
          </w:p>
        </w:tc>
        <w:tc>
          <w:tcPr>
            <w:tcW w:w="16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40" w:firstLine="546"/>
        <w:spacing w:after="0" w:line="239" w:lineRule="auto"/>
        <w:rPr>
          <w:sz w:val="20"/>
          <w:szCs w:val="20"/>
          <w:color w:val="auto"/>
        </w:rPr>
      </w:pPr>
      <w:r>
        <w:rPr>
          <w:rFonts w:ascii="Arial" w:cs="Arial" w:eastAsia="Arial" w:hAnsi="Arial"/>
          <w:sz w:val="18"/>
          <w:szCs w:val="18"/>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52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81"/>
        </w:trPr>
        <w:tc>
          <w:tcPr>
            <w:tcW w:w="396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95"/>
              <w:spacing w:after="0" w:line="181" w:lineRule="exact"/>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12"/>
              <w:spacing w:after="0" w:line="181" w:lineRule="exact"/>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Convertible preferred shares</w:t>
            </w:r>
          </w:p>
        </w:tc>
        <w:tc>
          <w:tcPr>
            <w:tcW w:w="4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88,585,767</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72,005,085</w:t>
            </w:r>
          </w:p>
        </w:tc>
        <w:tc>
          <w:tcPr>
            <w:tcW w:w="60" w:type="dxa"/>
            <w:vAlign w:val="bottom"/>
            <w:shd w:val="clear" w:color="auto" w:fill="CCEEFF"/>
          </w:tcPr>
          <w:p>
            <w:pPr>
              <w:spacing w:after="0"/>
              <w:rPr>
                <w:sz w:val="16"/>
                <w:szCs w:val="16"/>
                <w:color w:val="auto"/>
              </w:rPr>
            </w:pPr>
          </w:p>
        </w:tc>
      </w:tr>
      <w:tr>
        <w:trPr>
          <w:trHeight w:val="201"/>
        </w:trPr>
        <w:tc>
          <w:tcPr>
            <w:tcW w:w="3960" w:type="dxa"/>
            <w:vAlign w:val="bottom"/>
          </w:tcPr>
          <w:p>
            <w:pPr>
              <w:spacing w:after="0" w:line="201" w:lineRule="exact"/>
              <w:rPr>
                <w:sz w:val="20"/>
                <w:szCs w:val="20"/>
                <w:color w:val="auto"/>
              </w:rPr>
            </w:pPr>
            <w:r>
              <w:rPr>
                <w:rFonts w:ascii="Arial" w:cs="Arial" w:eastAsia="Arial" w:hAnsi="Arial"/>
                <w:sz w:val="18"/>
                <w:szCs w:val="18"/>
                <w:color w:val="auto"/>
              </w:rPr>
              <w:t>Warrants to convertible shares</w:t>
            </w:r>
          </w:p>
        </w:tc>
        <w:tc>
          <w:tcPr>
            <w:tcW w:w="57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173,509</w:t>
            </w:r>
          </w:p>
        </w:tc>
        <w:tc>
          <w:tcPr>
            <w:tcW w:w="12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343,810</w:t>
            </w:r>
          </w:p>
        </w:tc>
      </w:tr>
      <w:tr>
        <w:trPr>
          <w:trHeight w:val="201"/>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to Ordinary shares</w:t>
            </w:r>
          </w:p>
        </w:tc>
        <w:tc>
          <w:tcPr>
            <w:tcW w:w="4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2,229,617</w:t>
            </w:r>
          </w:p>
        </w:tc>
      </w:tr>
      <w:tr>
        <w:trPr>
          <w:trHeight w:val="201"/>
        </w:trPr>
        <w:tc>
          <w:tcPr>
            <w:tcW w:w="3960" w:type="dxa"/>
            <w:vAlign w:val="bottom"/>
          </w:tcPr>
          <w:p>
            <w:pPr>
              <w:spacing w:after="0" w:line="201" w:lineRule="exact"/>
              <w:rPr>
                <w:sz w:val="20"/>
                <w:szCs w:val="20"/>
                <w:color w:val="auto"/>
              </w:rPr>
            </w:pPr>
            <w:r>
              <w:rPr>
                <w:rFonts w:ascii="Arial" w:cs="Arial" w:eastAsia="Arial" w:hAnsi="Arial"/>
                <w:sz w:val="18"/>
                <w:szCs w:val="18"/>
                <w:color w:val="auto"/>
              </w:rPr>
              <w:t>Outstanding restricted stock units</w:t>
            </w:r>
          </w:p>
        </w:tc>
        <w:tc>
          <w:tcPr>
            <w:tcW w:w="4440" w:type="dxa"/>
            <w:vAlign w:val="bottom"/>
          </w:tcPr>
          <w:p>
            <w:pPr>
              <w:spacing w:after="0"/>
              <w:rPr>
                <w:sz w:val="17"/>
                <w:szCs w:val="17"/>
                <w:color w:val="auto"/>
              </w:rPr>
            </w:pPr>
          </w:p>
        </w:tc>
        <w:tc>
          <w:tcPr>
            <w:tcW w:w="13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218</w:t>
            </w:r>
          </w:p>
        </w:tc>
        <w:tc>
          <w:tcPr>
            <w:tcW w:w="60" w:type="dxa"/>
            <w:vAlign w:val="bottom"/>
          </w:tcPr>
          <w:p>
            <w:pPr>
              <w:spacing w:after="0"/>
              <w:rPr>
                <w:sz w:val="17"/>
                <w:szCs w:val="17"/>
                <w:color w:val="auto"/>
              </w:rPr>
            </w:pPr>
          </w:p>
        </w:tc>
      </w:tr>
      <w:tr>
        <w:trPr>
          <w:trHeight w:val="201"/>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share options</w:t>
            </w:r>
          </w:p>
        </w:tc>
        <w:tc>
          <w:tcPr>
            <w:tcW w:w="4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4,927,557</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11,340,097</w:t>
            </w:r>
          </w:p>
        </w:tc>
        <w:tc>
          <w:tcPr>
            <w:tcW w:w="60" w:type="dxa"/>
            <w:vAlign w:val="bottom"/>
            <w:shd w:val="clear" w:color="auto" w:fill="CCEEFF"/>
          </w:tcPr>
          <w:p>
            <w:pPr>
              <w:spacing w:after="0"/>
              <w:rPr>
                <w:sz w:val="17"/>
                <w:szCs w:val="17"/>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93,686,833</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85,918,827</w:t>
            </w:r>
          </w:p>
        </w:tc>
        <w:tc>
          <w:tcPr>
            <w:tcW w:w="6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960" w:type="dxa"/>
            <w:vAlign w:val="bottom"/>
          </w:tcPr>
          <w:p>
            <w:pPr>
              <w:spacing w:after="0"/>
              <w:rPr>
                <w:sz w:val="24"/>
                <w:szCs w:val="24"/>
                <w:color w:val="auto"/>
              </w:rPr>
            </w:pPr>
          </w:p>
        </w:tc>
        <w:tc>
          <w:tcPr>
            <w:tcW w:w="5740" w:type="dxa"/>
            <w:vAlign w:val="bottom"/>
            <w:gridSpan w:val="3"/>
          </w:tcPr>
          <w:p>
            <w:pPr>
              <w:jc w:val="right"/>
              <w:ind w:right="4060"/>
              <w:spacing w:after="0"/>
              <w:rPr>
                <w:sz w:val="20"/>
                <w:szCs w:val="20"/>
                <w:color w:val="auto"/>
              </w:rPr>
            </w:pPr>
            <w:r>
              <w:rPr>
                <w:rFonts w:ascii="Arial" w:cs="Arial" w:eastAsia="Arial" w:hAnsi="Arial"/>
                <w:sz w:val="18"/>
                <w:szCs w:val="18"/>
                <w:color w:val="auto"/>
              </w:rPr>
              <w:t>F-48</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7. Related Party Transactions</w:t>
      </w:r>
    </w:p>
    <w:p>
      <w:pPr>
        <w:spacing w:after="0" w:line="123" w:lineRule="exact"/>
        <w:rPr>
          <w:sz w:val="20"/>
          <w:szCs w:val="20"/>
          <w:color w:val="auto"/>
        </w:rPr>
      </w:pPr>
    </w:p>
    <w:p>
      <w:pPr>
        <w:ind w:left="160" w:right="60" w:firstLine="546"/>
        <w:spacing w:after="0" w:line="246" w:lineRule="auto"/>
        <w:rPr>
          <w:sz w:val="20"/>
          <w:szCs w:val="20"/>
          <w:color w:val="auto"/>
        </w:rPr>
      </w:pPr>
      <w:r>
        <w:rPr>
          <w:rFonts w:ascii="Arial" w:cs="Arial" w:eastAsia="Arial" w:hAnsi="Arial"/>
          <w:sz w:val="17"/>
          <w:szCs w:val="17"/>
          <w:color w:val="auto"/>
        </w:rPr>
        <w:t>The Company is party to a Commercial Letter with DHL International GmbH (“DHL International”), dated March 27, 2017 and amended on December 7, 2020, pursuant to which the Company has undertaken to use DHL International exclusively for the provision of express shipping services to our customers, subject to certain exclusions described therein, and DHL International has undertaken certain commitments relating to the prices under which its services are offered to the Company. The current term of the Commercial Letter ends on March 27, 2022 and shall renew automatically thereafter until terminated by either the Company or DHL International upon twelve</w:t>
      </w:r>
    </w:p>
    <w:p>
      <w:pPr>
        <w:spacing w:after="0" w:line="1" w:lineRule="exact"/>
        <w:rPr>
          <w:sz w:val="20"/>
          <w:szCs w:val="20"/>
          <w:color w:val="auto"/>
        </w:rPr>
      </w:pPr>
    </w:p>
    <w:p>
      <w:pPr>
        <w:ind w:left="160" w:right="20" w:firstLine="7"/>
        <w:spacing w:after="0" w:line="234" w:lineRule="auto"/>
        <w:tabs>
          <w:tab w:leader="none" w:pos="52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months’ notice. In addition, the Company is party to a services agreement with DHL International (UK) Limited (“DHL UK”), dated May 21, 2019, under which DHL UK provides the Company with express shipping services relating to the purchase and sale of the Company’s customers’ products. The service agreement continues until terminated by either the Company or DHL UK in accordance with its terms. The consideration paid by the Company to DHL UK pursuant to the service agreement is contingent upon the extent of the shipping services provided. The Company entered similar arrangements with other DHL affiliated entities in the Netherlands, France and Spain. In connection with these arrangements, the Company recorded expenses included in Cost of revenue in the total amount of $19,307 and $38,839 to DHL affiliated entities in the six months ended June 30, 2020 and 2021, respectively. As of December 31, 2020 and June 30, 2021, the balances of accounts payable and accrued expenses in regards to DHL and its affiliated entities were $17,178 and $14,433, respectively (including duties charged by DHL).</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Fair Value Measurements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Financial instruments measured at fair value on a recurring basis include warrants to convertible preferred shares.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tables present information about the Company’s financial instruments that are measured at fair value on a recurring</w:t>
      </w:r>
    </w:p>
    <w:p>
      <w:pPr>
        <w:ind w:left="160"/>
        <w:spacing w:after="0"/>
        <w:rPr>
          <w:sz w:val="20"/>
          <w:szCs w:val="20"/>
          <w:color w:val="auto"/>
        </w:rPr>
      </w:pPr>
      <w:r>
        <w:rPr>
          <w:rFonts w:ascii="Arial" w:cs="Arial" w:eastAsia="Arial" w:hAnsi="Arial"/>
          <w:sz w:val="18"/>
          <w:szCs w:val="18"/>
          <w:color w:val="auto"/>
        </w:rPr>
        <w:t>basis: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0"/>
          </w:tcPr>
          <w:p>
            <w:pPr>
              <w:jc w:val="center"/>
              <w:ind w:right="74"/>
              <w:spacing w:after="0" w:line="154" w:lineRule="exact"/>
              <w:rPr>
                <w:sz w:val="20"/>
                <w:szCs w:val="20"/>
                <w:color w:val="auto"/>
              </w:rPr>
            </w:pPr>
            <w:r>
              <w:rPr>
                <w:rFonts w:ascii="Arial" w:cs="Arial" w:eastAsia="Arial" w:hAnsi="Arial"/>
                <w:sz w:val="14"/>
                <w:szCs w:val="14"/>
                <w:b w:val="1"/>
                <w:bCs w:val="1"/>
                <w:color w:val="auto"/>
              </w:rPr>
              <w:t>Fair value measurements using input type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020" w:type="dxa"/>
            <w:vAlign w:val="bottom"/>
            <w:gridSpan w:val="3"/>
          </w:tcPr>
          <w:p>
            <w:pPr>
              <w:jc w:val="right"/>
              <w:ind w:right="440"/>
              <w:spacing w:after="0" w:line="154"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94"/>
              <w:spacing w:after="0" w:line="154"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Assets:</w:t>
            </w:r>
          </w:p>
        </w:tc>
        <w:tc>
          <w:tcPr>
            <w:tcW w:w="4000" w:type="dxa"/>
            <w:vAlign w:val="bottom"/>
            <w:tcBorders>
              <w:top w:val="single" w:sz="8" w:color="CCEEFF"/>
              <w:bottom w:val="single" w:sz="8" w:color="CCEEFF"/>
            </w:tcBorders>
            <w:shd w:val="clear" w:color="auto" w:fill="CCEEFF"/>
          </w:tcPr>
          <w:p>
            <w:pPr>
              <w:spacing w:after="0"/>
              <w:rPr>
                <w:sz w:val="13"/>
                <w:szCs w:val="13"/>
                <w:color w:val="auto"/>
              </w:rPr>
            </w:pPr>
          </w:p>
        </w:tc>
        <w:tc>
          <w:tcPr>
            <w:tcW w:w="27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Mutual Funds</w:t>
            </w:r>
          </w:p>
        </w:tc>
        <w:tc>
          <w:tcPr>
            <w:tcW w:w="2900" w:type="dxa"/>
            <w:vAlign w:val="bottom"/>
            <w:gridSpan w:val="2"/>
          </w:tcPr>
          <w:p>
            <w:pPr>
              <w:ind w:left="274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ind w:left="40"/>
              <w:spacing w:after="0" w:line="201" w:lineRule="exact"/>
              <w:rPr>
                <w:sz w:val="20"/>
                <w:szCs w:val="20"/>
                <w:color w:val="auto"/>
              </w:rPr>
            </w:pPr>
            <w:r>
              <w:rPr>
                <w:rFonts w:ascii="Arial" w:cs="Arial" w:eastAsia="Arial" w:hAnsi="Arial"/>
                <w:sz w:val="18"/>
                <w:szCs w:val="18"/>
                <w:color w:val="auto"/>
                <w:w w:val="93"/>
              </w:rPr>
              <w:t>943</w:t>
            </w: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1"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943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Government debentures</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1,898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Corporate debentures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6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4"/>
              </w:rPr>
              <w:t>15,709</w:t>
            </w:r>
          </w:p>
        </w:tc>
        <w:tc>
          <w:tcPr>
            <w:tcW w:w="180" w:type="dxa"/>
            <w:vAlign w:val="bottom"/>
          </w:tcPr>
          <w:p>
            <w:pPr>
              <w:spacing w:after="0"/>
              <w:rPr>
                <w:sz w:val="17"/>
                <w:szCs w:val="17"/>
                <w:color w:val="auto"/>
              </w:rPr>
            </w:pPr>
          </w:p>
        </w:tc>
        <w:tc>
          <w:tcPr>
            <w:tcW w:w="340" w:type="dxa"/>
            <w:vAlign w:val="bottom"/>
          </w:tcPr>
          <w:p>
            <w:pPr>
              <w:ind w:left="6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financials assets</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943</w:t>
            </w:r>
          </w:p>
        </w:tc>
        <w:tc>
          <w:tcPr>
            <w:tcW w:w="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4"/>
              </w:rPr>
              <w:t>17,607</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On May 14, 2021 the warrants liabilities to preferred shares were remeasured to an amount of $11,610 and allocated to equity upon exercise of the warrants.</w:t>
      </w:r>
    </w:p>
    <w:p>
      <w:pPr>
        <w:spacing w:after="0" w:line="20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During the six months ended June 30, 2020 and 2021, and as a result of the warrants remeasurement, the Company recognized financial expenses of $2,261 and $5,872, respectively.</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Global-e Online Ltd.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10"/>
          </w:tcPr>
          <w:p>
            <w:pPr>
              <w:jc w:val="center"/>
              <w:ind w:right="13"/>
              <w:spacing w:after="0" w:line="154" w:lineRule="exact"/>
              <w:rPr>
                <w:sz w:val="20"/>
                <w:szCs w:val="20"/>
                <w:color w:val="auto"/>
              </w:rPr>
            </w:pPr>
            <w:r>
              <w:rPr>
                <w:rFonts w:ascii="Arial" w:cs="Arial" w:eastAsia="Arial" w:hAnsi="Arial"/>
                <w:sz w:val="14"/>
                <w:szCs w:val="14"/>
                <w:b w:val="1"/>
                <w:bCs w:val="1"/>
                <w:color w:val="auto"/>
              </w:rPr>
              <w:t>Fair value measurements using input type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4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460"/>
              <w:spacing w:after="0" w:line="154"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3"/>
          </w:tcPr>
          <w:p>
            <w:pPr>
              <w:ind w:left="40"/>
              <w:spacing w:after="0" w:line="154"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40" w:type="dxa"/>
            <w:vAlign w:val="bottom"/>
          </w:tcPr>
          <w:p>
            <w:pPr>
              <w:ind w:left="60"/>
              <w:spacing w:after="0" w:line="154"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Assets:</w:t>
            </w:r>
          </w:p>
        </w:tc>
        <w:tc>
          <w:tcPr>
            <w:tcW w:w="66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tcPr>
          <w:p>
            <w:pPr>
              <w:spacing w:after="0" w:line="201" w:lineRule="exact"/>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7"/>
              </w:rPr>
              <w:t>1,200</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3"/>
          </w:tcPr>
          <w:p>
            <w:pPr>
              <w:spacing w:after="0" w:line="201" w:lineRule="exact"/>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7"/>
                <w:szCs w:val="17"/>
                <w:color w:val="auto"/>
              </w:rPr>
            </w:pPr>
          </w:p>
        </w:tc>
        <w:tc>
          <w:tcPr>
            <w:tcW w:w="460" w:type="dxa"/>
            <w:vAlign w:val="bottom"/>
          </w:tcPr>
          <w:p>
            <w:pPr>
              <w:ind w:left="18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4"/>
              </w:rPr>
              <w:t>14,312</w:t>
            </w:r>
          </w:p>
        </w:tc>
        <w:tc>
          <w:tcPr>
            <w:tcW w:w="100" w:type="dxa"/>
            <w:vAlign w:val="bottom"/>
          </w:tcPr>
          <w:p>
            <w:pPr>
              <w:spacing w:after="0"/>
              <w:rPr>
                <w:sz w:val="17"/>
                <w:szCs w:val="17"/>
                <w:color w:val="auto"/>
              </w:rPr>
            </w:pPr>
          </w:p>
        </w:tc>
        <w:tc>
          <w:tcPr>
            <w:tcW w:w="8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14,312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financials assets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w w:val="94"/>
              </w:rPr>
              <w:t>15,671</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16,871</w:t>
            </w:r>
          </w:p>
        </w:tc>
        <w:tc>
          <w:tcPr>
            <w:tcW w:w="0" w:type="dxa"/>
            <w:vAlign w:val="bottom"/>
          </w:tcPr>
          <w:p>
            <w:pPr>
              <w:spacing w:after="0"/>
              <w:rPr>
                <w:sz w:val="1"/>
                <w:szCs w:val="1"/>
                <w:color w:val="auto"/>
              </w:rPr>
            </w:pPr>
          </w:p>
        </w:tc>
      </w:tr>
      <w:tr>
        <w:trPr>
          <w:trHeight w:val="20"/>
        </w:trPr>
        <w:tc>
          <w:tcPr>
            <w:tcW w:w="7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3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Warrant to convertible preferred shares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5,738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7"/>
        </w:trPr>
        <w:tc>
          <w:tcPr>
            <w:tcW w:w="7300" w:type="dxa"/>
            <w:vAlign w:val="bottom"/>
            <w:gridSpan w:val="4"/>
          </w:tcPr>
          <w:p>
            <w:pPr>
              <w:spacing w:after="0"/>
              <w:rPr>
                <w:sz w:val="20"/>
                <w:szCs w:val="20"/>
                <w:color w:val="auto"/>
              </w:rPr>
            </w:pPr>
            <w:r>
              <w:rPr>
                <w:rFonts w:ascii="Arial" w:cs="Arial" w:eastAsia="Arial" w:hAnsi="Arial"/>
                <w:sz w:val="18"/>
                <w:szCs w:val="18"/>
                <w:color w:val="auto"/>
              </w:rPr>
              <w:t>Total financials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3"/>
              </w:rPr>
              <w:t>5,738</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Marketable Securities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June 30, 2021 the Company held marketable securities classified as available-for-sale securities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760"/>
              <w:spacing w:after="0" w:line="162"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w w:val="94"/>
              </w:rPr>
              <w:t>Amortized</w:t>
            </w:r>
          </w:p>
        </w:tc>
        <w:tc>
          <w:tcPr>
            <w:tcW w:w="5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Fair</w:t>
            </w:r>
          </w:p>
        </w:tc>
      </w:tr>
      <w:tr>
        <w:trPr>
          <w:trHeight w:val="205"/>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33"/>
              <w:spacing w:after="0"/>
              <w:rPr>
                <w:sz w:val="20"/>
                <w:szCs w:val="20"/>
                <w:color w:val="auto"/>
              </w:rPr>
            </w:pPr>
            <w:r>
              <w:rPr>
                <w:rFonts w:ascii="Arial" w:cs="Arial" w:eastAsia="Arial" w:hAnsi="Arial"/>
                <w:sz w:val="16"/>
                <w:szCs w:val="16"/>
                <w:b w:val="1"/>
                <w:bCs w:val="1"/>
                <w:color w:val="auto"/>
              </w:rPr>
              <w:t>Cost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Gains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w w:val="97"/>
              </w:rPr>
              <w:t>Losses</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Value</w:t>
            </w:r>
          </w:p>
        </w:tc>
      </w:tr>
      <w:tr>
        <w:trPr>
          <w:trHeight w:val="194"/>
        </w:trPr>
        <w:tc>
          <w:tcPr>
            <w:tcW w:w="6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Mutual funds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943</w:t>
            </w: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4"/>
              <w:spacing w:after="0" w:line="194"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943</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6180" w:type="dxa"/>
            <w:vAlign w:val="bottom"/>
          </w:tcPr>
          <w:p>
            <w:pPr>
              <w:spacing w:after="0" w:line="201" w:lineRule="exact"/>
              <w:rPr>
                <w:sz w:val="20"/>
                <w:szCs w:val="20"/>
                <w:color w:val="auto"/>
              </w:rPr>
            </w:pPr>
            <w:r>
              <w:rPr>
                <w:rFonts w:ascii="Arial" w:cs="Arial" w:eastAsia="Arial" w:hAnsi="Arial"/>
                <w:sz w:val="18"/>
                <w:szCs w:val="18"/>
                <w:color w:val="auto"/>
              </w:rPr>
              <w:t>Government debentures</w:t>
            </w:r>
          </w:p>
        </w:tc>
        <w:tc>
          <w:tcPr>
            <w:tcW w:w="16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1,894</w:t>
            </w:r>
          </w:p>
        </w:tc>
        <w:tc>
          <w:tcPr>
            <w:tcW w:w="66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21</w:t>
            </w:r>
          </w:p>
        </w:tc>
        <w:tc>
          <w:tcPr>
            <w:tcW w:w="3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(18)</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1,897</w:t>
            </w:r>
          </w:p>
        </w:tc>
      </w:tr>
      <w:tr>
        <w:trPr>
          <w:trHeight w:val="201"/>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debentures</w:t>
            </w:r>
          </w:p>
        </w:tc>
        <w:tc>
          <w:tcPr>
            <w:tcW w:w="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15,764</w:t>
            </w:r>
          </w:p>
        </w:tc>
        <w:tc>
          <w:tcPr>
            <w:tcW w:w="66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67</w:t>
            </w:r>
          </w:p>
        </w:tc>
        <w:tc>
          <w:tcPr>
            <w:tcW w:w="3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15,710</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18,601</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18,550</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December 31, 2020 the Company held marketable securities classified as available-for-sale securities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360" w:type="dxa"/>
            <w:vAlign w:val="bottom"/>
            <w:gridSpan w:val="2"/>
          </w:tcPr>
          <w:p>
            <w:pPr>
              <w:jc w:val="right"/>
              <w:ind w:right="840"/>
              <w:spacing w:after="0" w:line="162"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spacing w:after="0"/>
              <w:rPr>
                <w:sz w:val="20"/>
                <w:szCs w:val="20"/>
                <w:color w:val="auto"/>
              </w:rPr>
            </w:pPr>
            <w:r>
              <w:rPr>
                <w:rFonts w:ascii="Arial" w:cs="Arial" w:eastAsia="Arial" w:hAnsi="Arial"/>
                <w:sz w:val="16"/>
                <w:szCs w:val="16"/>
                <w:b w:val="1"/>
                <w:bCs w:val="1"/>
                <w:color w:val="auto"/>
              </w:rPr>
              <w:t>Amortized</w:t>
            </w: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Fair</w:t>
            </w:r>
          </w:p>
        </w:tc>
      </w:tr>
      <w:tr>
        <w:trPr>
          <w:trHeight w:val="205"/>
        </w:trPr>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7"/>
                <w:szCs w:val="17"/>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w w:val="97"/>
              </w:rPr>
              <w:t>Losses</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Value</w:t>
            </w:r>
          </w:p>
        </w:tc>
      </w:tr>
      <w:tr>
        <w:trPr>
          <w:trHeight w:val="194"/>
        </w:trPr>
        <w:tc>
          <w:tcPr>
            <w:tcW w:w="59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Mutual funds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1,200</w:t>
            </w: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4"/>
              <w:spacing w:after="0" w:line="194"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1,200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5940" w:type="dxa"/>
            <w:vAlign w:val="bottom"/>
          </w:tcPr>
          <w:p>
            <w:pPr>
              <w:spacing w:after="0" w:line="201" w:lineRule="exact"/>
              <w:rPr>
                <w:sz w:val="20"/>
                <w:szCs w:val="20"/>
                <w:color w:val="auto"/>
              </w:rPr>
            </w:pPr>
            <w:r>
              <w:rPr>
                <w:rFonts w:ascii="Arial" w:cs="Arial" w:eastAsia="Arial" w:hAnsi="Arial"/>
                <w:sz w:val="18"/>
                <w:szCs w:val="18"/>
                <w:color w:val="auto"/>
              </w:rPr>
              <w:t>Government debentures</w:t>
            </w:r>
          </w:p>
        </w:tc>
        <w:tc>
          <w:tcPr>
            <w:tcW w:w="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1,360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6</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(7)</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1,359</w:t>
            </w:r>
          </w:p>
        </w:tc>
      </w:tr>
      <w:tr>
        <w:trPr>
          <w:trHeight w:val="201"/>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debentures</w:t>
            </w:r>
          </w:p>
        </w:tc>
        <w:tc>
          <w:tcPr>
            <w:tcW w:w="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14,200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14,312</w:t>
            </w: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9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16,760</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16,871</w:t>
            </w: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Based on the available evidence, the Company concluded that the gross unrealized losses on the marketable securities as of June 30, 2021 and December 31, 2020 are temporary in nature.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1590675</wp:posOffset>
            </wp:positionV>
            <wp:extent cx="2921635" cy="6286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21635" cy="62865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12,000,000 Ordinary Shares</w:t>
      </w:r>
    </w:p>
    <w:p>
      <w:pPr>
        <w:spacing w:after="0" w:line="200" w:lineRule="exact"/>
        <w:rPr>
          <w:sz w:val="20"/>
          <w:szCs w:val="20"/>
          <w:color w:val="auto"/>
        </w:rPr>
      </w:pP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5"/>
          <w:szCs w:val="25"/>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385445</wp:posOffset>
            </wp:positionV>
            <wp:extent cx="1460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331470</wp:posOffset>
            </wp:positionV>
            <wp:extent cx="1460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tabs>
          <w:tab w:leader="none" w:pos="5000" w:val="left"/>
          <w:tab w:leader="none" w:pos="7300" w:val="left"/>
          <w:tab w:leader="none" w:pos="9480" w:val="left"/>
        </w:tabs>
        <w:rPr>
          <w:sz w:val="20"/>
          <w:szCs w:val="20"/>
          <w:color w:val="auto"/>
        </w:rPr>
      </w:pPr>
      <w:r>
        <w:rPr>
          <w:rFonts w:ascii="Arial" w:cs="Arial" w:eastAsia="Arial" w:hAnsi="Arial"/>
          <w:sz w:val="21"/>
          <w:szCs w:val="21"/>
          <w:b w:val="1"/>
          <w:bCs w:val="1"/>
          <w:color w:val="auto"/>
        </w:rPr>
        <w:t>Goldman Sachs &amp; Co. LLC</w:t>
      </w:r>
      <w:r>
        <w:rPr>
          <w:sz w:val="20"/>
          <w:szCs w:val="20"/>
          <w:color w:val="auto"/>
        </w:rPr>
        <w:tab/>
      </w: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Jefferies</w:t>
      </w:r>
      <w:r>
        <w:rPr>
          <w:sz w:val="20"/>
          <w:szCs w:val="20"/>
          <w:color w:val="auto"/>
        </w:rPr>
        <w:tab/>
      </w:r>
      <w:r>
        <w:rPr>
          <w:rFonts w:ascii="Arial" w:cs="Arial" w:eastAsia="Arial" w:hAnsi="Arial"/>
          <w:sz w:val="21"/>
          <w:szCs w:val="21"/>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1276985</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1336675</wp:posOffset>
            </wp:positionV>
            <wp:extent cx="692975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204"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09" w:lineRule="exact"/>
        <w:rPr>
          <w:sz w:val="20"/>
          <w:szCs w:val="20"/>
          <w:color w:val="auto"/>
        </w:rPr>
      </w:pPr>
    </w:p>
    <w:p>
      <w:pPr>
        <w:ind w:left="920" w:right="80" w:hanging="218"/>
        <w:spacing w:after="0" w:line="235"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07" w:lineRule="exact"/>
        <w:rPr>
          <w:rFonts w:ascii="Arial" w:cs="Arial" w:eastAsia="Arial" w:hAnsi="Arial"/>
          <w:sz w:val="18"/>
          <w:szCs w:val="18"/>
          <w:color w:val="auto"/>
        </w:rPr>
      </w:pPr>
    </w:p>
    <w:p>
      <w:pPr>
        <w:ind w:left="920" w:right="20" w:hanging="218"/>
        <w:spacing w:after="0" w:line="235"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07" w:lineRule="exact"/>
        <w:rPr>
          <w:rFonts w:ascii="Arial" w:cs="Arial" w:eastAsia="Arial" w:hAnsi="Arial"/>
          <w:sz w:val="18"/>
          <w:szCs w:val="18"/>
          <w:color w:val="auto"/>
        </w:rPr>
      </w:pPr>
    </w:p>
    <w:p>
      <w:pPr>
        <w:jc w:val="both"/>
        <w:ind w:left="920" w:right="120" w:hanging="218"/>
        <w:spacing w:after="0" w:line="257" w:lineRule="auto"/>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94" w:lineRule="exact"/>
        <w:rPr>
          <w:rFonts w:ascii="Arial" w:cs="Arial" w:eastAsia="Arial" w:hAnsi="Arial"/>
          <w:sz w:val="17"/>
          <w:szCs w:val="17"/>
          <w:color w:val="auto"/>
        </w:rPr>
      </w:pPr>
    </w:p>
    <w:p>
      <w:pPr>
        <w:ind w:left="920" w:right="320" w:hanging="218"/>
        <w:spacing w:after="0" w:line="236"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202"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09" w:lineRule="exact"/>
        <w:rPr>
          <w:sz w:val="20"/>
          <w:szCs w:val="20"/>
          <w:color w:val="auto"/>
        </w:rPr>
      </w:pPr>
    </w:p>
    <w:p>
      <w:pPr>
        <w:ind w:left="920" w:right="100" w:hanging="218"/>
        <w:spacing w:after="0" w:line="239"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09"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third-party, including a breach arising out of the negligent conduct of the office holder;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6"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third-party harmed by a breach in an administrative proceeding; and</w:t>
      </w:r>
    </w:p>
    <w:p>
      <w:pPr>
        <w:spacing w:after="0" w:line="138" w:lineRule="exact"/>
        <w:rPr>
          <w:rFonts w:ascii="Arial" w:cs="Arial" w:eastAsia="Arial" w:hAnsi="Arial"/>
          <w:sz w:val="17"/>
          <w:szCs w:val="17"/>
          <w:color w:val="auto"/>
        </w:rPr>
      </w:pPr>
    </w:p>
    <w:p>
      <w:pPr>
        <w:ind w:left="920" w:right="140" w:hanging="218"/>
        <w:spacing w:after="0" w:line="239" w:lineRule="auto"/>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14" w:lineRule="exact"/>
        <w:rPr>
          <w:sz w:val="20"/>
          <w:szCs w:val="20"/>
          <w:color w:val="auto"/>
        </w:rPr>
      </w:pPr>
    </w:p>
    <w:p>
      <w:pPr>
        <w:ind w:left="920" w:right="500" w:hanging="218"/>
        <w:spacing w:after="0" w:line="239" w:lineRule="auto"/>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09" w:lineRule="exact"/>
        <w:rPr>
          <w:rFonts w:ascii="Arial" w:cs="Arial" w:eastAsia="Arial" w:hAnsi="Arial"/>
          <w:sz w:val="18"/>
          <w:szCs w:val="18"/>
          <w:color w:val="auto"/>
        </w:rPr>
      </w:pPr>
    </w:p>
    <w:p>
      <w:pPr>
        <w:ind w:left="920" w:right="120" w:hanging="218"/>
        <w:spacing w:after="0" w:line="239" w:lineRule="auto"/>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21"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06" w:lineRule="exact"/>
        <w:rPr>
          <w:sz w:val="20"/>
          <w:szCs w:val="20"/>
          <w:color w:val="auto"/>
        </w:rPr>
      </w:pPr>
    </w:p>
    <w:p>
      <w:pPr>
        <w:ind w:left="160" w:right="60" w:firstLine="546"/>
        <w:spacing w:after="0" w:line="257"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8"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204"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0"/>
          </w:cols>
          <w:pgMar w:left="320" w:top="456" w:right="5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328"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20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The following is a summary of transactions during the preceding three fiscal years involving sales of our securities that were not registered under the Securities Act.</w:t>
      </w:r>
    </w:p>
    <w:p>
      <w:pPr>
        <w:spacing w:after="0" w:line="20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On April 17, 2018 and July 16, 2018, we sold an aggregate of 27,758 of Series D-1 preferred shares, each having par value of NIS 0.01 at a price per share of $720.52 (without giving effect to the Share Split or the Preferred Shares Conversion) for an aggregate purchase price of $20,000,000.</w:t>
      </w:r>
    </w:p>
    <w:p>
      <w:pPr>
        <w:spacing w:after="0" w:line="203" w:lineRule="exact"/>
        <w:rPr>
          <w:sz w:val="20"/>
          <w:szCs w:val="20"/>
          <w:color w:val="auto"/>
        </w:rPr>
      </w:pPr>
    </w:p>
    <w:p>
      <w:pPr>
        <w:ind w:left="160" w:right="280" w:firstLine="546"/>
        <w:spacing w:after="0" w:line="237" w:lineRule="auto"/>
        <w:rPr>
          <w:sz w:val="20"/>
          <w:szCs w:val="20"/>
          <w:color w:val="auto"/>
        </w:rPr>
      </w:pPr>
      <w:r>
        <w:rPr>
          <w:rFonts w:ascii="Arial" w:cs="Arial" w:eastAsia="Arial" w:hAnsi="Arial"/>
          <w:sz w:val="18"/>
          <w:szCs w:val="18"/>
          <w:color w:val="auto"/>
        </w:rPr>
        <w:t>On April 20, 2020, we sold an aggregate of 23,706 Series E preferred shares, each having a par value of NIS 0.01 at a price per share of $2,498.65 (without giving effect to the Share Split or the Preferred Shares Conversion) for an aggregate purchase price of $59,232,997.</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April 12, 2021 we issued warrants to purchase an aggregate of 19,604,239 ordinary shares at an exercise price of $0.01 per</w:t>
      </w:r>
    </w:p>
    <w:p>
      <w:pPr>
        <w:ind w:left="160"/>
        <w:spacing w:after="0"/>
        <w:rPr>
          <w:sz w:val="20"/>
          <w:szCs w:val="20"/>
          <w:color w:val="auto"/>
        </w:rPr>
      </w:pPr>
      <w:r>
        <w:rPr>
          <w:rFonts w:ascii="Arial" w:cs="Arial" w:eastAsia="Arial" w:hAnsi="Arial"/>
          <w:sz w:val="18"/>
          <w:szCs w:val="18"/>
          <w:color w:val="auto"/>
        </w:rPr>
        <w:t>share.</w:t>
      </w:r>
    </w:p>
    <w:p>
      <w:pPr>
        <w:spacing w:after="0" w:line="208"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Since January 1, 2018, we have issued an aggregate of 3,535,810 ordinary shares pursuant to the exercise of share options by our employees, directors and consultants.</w:t>
      </w:r>
    </w:p>
    <w:p>
      <w:pPr>
        <w:spacing w:after="0" w:line="203"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Since January 1, 2018, we have granted our directors, officers, employees and consultants options to purchase an aggregate of 9,907,254 ordinary shares, at a weighted average exercise price of $2.51 per share, under our 2013 Share Incentive Plan. As of the date hereof, options to purchase 8,751,644 ordinary shares granted to our directors, officers, employees and consultants remain outstanding.</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underwriter or underwriting discount or commission was involved in any of the foregoing transactions.</w:t>
      </w:r>
    </w:p>
    <w:p>
      <w:pPr>
        <w:spacing w:after="0" w:line="333"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36" w:lineRule="exact"/>
        <w:rPr>
          <w:sz w:val="20"/>
          <w:szCs w:val="20"/>
          <w:color w:val="auto"/>
        </w:rPr>
      </w:pPr>
    </w:p>
    <w:p>
      <w:pPr>
        <w:ind w:left="1340" w:hanging="638"/>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113" w:lineRule="exact"/>
        <w:rPr>
          <w:rFonts w:ascii="Arial" w:cs="Arial" w:eastAsia="Arial" w:hAnsi="Arial"/>
          <w:sz w:val="18"/>
          <w:szCs w:val="18"/>
          <w:color w:val="auto"/>
        </w:rPr>
      </w:pPr>
    </w:p>
    <w:p>
      <w:pPr>
        <w:ind w:left="1340" w:hanging="638"/>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8"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328"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Undertakings.</w:t>
      </w:r>
    </w:p>
    <w:p>
      <w:pPr>
        <w:spacing w:after="0" w:line="136" w:lineRule="exact"/>
        <w:rPr>
          <w:sz w:val="20"/>
          <w:szCs w:val="20"/>
          <w:color w:val="auto"/>
        </w:rPr>
      </w:pPr>
    </w:p>
    <w:p>
      <w:pPr>
        <w:jc w:val="both"/>
        <w:ind w:left="700" w:right="100" w:hanging="533"/>
        <w:spacing w:after="0" w:line="237" w:lineRule="auto"/>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rFonts w:ascii="Arial" w:cs="Arial" w:eastAsia="Arial" w:hAnsi="Arial"/>
          <w:sz w:val="18"/>
          <w:szCs w:val="18"/>
          <w:color w:val="auto"/>
        </w:rPr>
      </w:pPr>
    </w:p>
    <w:p>
      <w:pPr>
        <w:ind w:left="700" w:right="40" w:hanging="533"/>
        <w:spacing w:after="0" w:line="236" w:lineRule="auto"/>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6"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00"/>
        <w:spacing w:after="0" w:line="235" w:lineRule="auto"/>
        <w:rPr>
          <w:sz w:val="20"/>
          <w:szCs w:val="20"/>
          <w:color w:val="auto"/>
        </w:rPr>
      </w:pPr>
      <w:r>
        <w:rPr>
          <w:rFonts w:ascii="Arial" w:cs="Arial" w:eastAsia="Arial" w:hAnsi="Arial"/>
          <w:sz w:val="18"/>
          <w:szCs w:val="18"/>
          <w:color w:val="auto"/>
        </w:rPr>
        <w:t>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sz w:val="20"/>
          <w:szCs w:val="20"/>
          <w:color w:val="auto"/>
        </w:rPr>
      </w:pPr>
    </w:p>
    <w:p>
      <w:pPr>
        <w:ind w:left="700" w:hanging="533"/>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13" w:lineRule="exact"/>
        <w:rPr>
          <w:rFonts w:ascii="Arial" w:cs="Arial" w:eastAsia="Arial" w:hAnsi="Arial"/>
          <w:sz w:val="18"/>
          <w:szCs w:val="18"/>
          <w:color w:val="auto"/>
        </w:rPr>
      </w:pPr>
    </w:p>
    <w:p>
      <w:pPr>
        <w:ind w:left="1340" w:hanging="638"/>
        <w:spacing w:after="0" w:line="236" w:lineRule="auto"/>
        <w:tabs>
          <w:tab w:leader="none" w:pos="13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8"/>
          <w:szCs w:val="18"/>
          <w:color w:val="auto"/>
        </w:rPr>
      </w:pPr>
    </w:p>
    <w:p>
      <w:pPr>
        <w:ind w:left="1340" w:hanging="638"/>
        <w:spacing w:after="0" w:line="237" w:lineRule="auto"/>
        <w:tabs>
          <w:tab w:leader="none" w:pos="13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6" w:right="5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6"/>
        </w:trPr>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4"/>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4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1.1</w:t>
      </w:r>
      <w:r>
        <w:rPr>
          <w:sz w:val="20"/>
          <w:szCs w:val="20"/>
          <w:color w:val="auto"/>
        </w:rPr>
        <w:tab/>
      </w:r>
      <w:hyperlink w:anchor="page236">
        <w:r>
          <w:rPr>
            <w:rFonts w:ascii="Arial" w:cs="Arial" w:eastAsia="Arial" w:hAnsi="Arial"/>
            <w:sz w:val="17"/>
            <w:szCs w:val="17"/>
            <w:u w:val="single" w:color="auto"/>
            <w:color w:val="0000EE"/>
          </w:rPr>
          <w:t>Form of Underwriting Agreement</w:t>
        </w:r>
      </w:hyperlink>
    </w:p>
    <w:p>
      <w:pPr>
        <w:spacing w:after="0" w:line="101" w:lineRule="exact"/>
        <w:rPr>
          <w:sz w:val="20"/>
          <w:szCs w:val="20"/>
          <w:color w:val="auto"/>
        </w:rPr>
      </w:pPr>
    </w:p>
    <w:p>
      <w:pPr>
        <w:ind w:left="3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w:anchor="page279">
        <w:r>
          <w:rPr>
            <w:rFonts w:ascii="Arial" w:cs="Arial" w:eastAsia="Arial" w:hAnsi="Arial"/>
            <w:sz w:val="17"/>
            <w:szCs w:val="17"/>
            <w:u w:val="single" w:color="auto"/>
            <w:color w:val="0000EE"/>
          </w:rPr>
          <w:t>Amended and Restated Articles of Association of the Registrant</w:t>
        </w:r>
      </w:hyperlink>
    </w:p>
    <w:p>
      <w:pPr>
        <w:spacing w:after="0" w:line="101" w:lineRule="exact"/>
        <w:rPr>
          <w:sz w:val="20"/>
          <w:szCs w:val="20"/>
          <w:color w:val="auto"/>
        </w:rPr>
      </w:pPr>
    </w:p>
    <w:p>
      <w:pPr>
        <w:ind w:left="3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w:anchor="page305">
        <w:r>
          <w:rPr>
            <w:rFonts w:ascii="Arial" w:cs="Arial" w:eastAsia="Arial" w:hAnsi="Arial"/>
            <w:sz w:val="17"/>
            <w:szCs w:val="17"/>
            <w:u w:val="single" w:color="auto"/>
            <w:color w:val="0000EE"/>
          </w:rPr>
          <w:t>Specimen share certificate</w:t>
        </w:r>
      </w:hyperlink>
    </w:p>
    <w:p>
      <w:pPr>
        <w:spacing w:after="0" w:line="101" w:lineRule="exact"/>
        <w:rPr>
          <w:sz w:val="20"/>
          <w:szCs w:val="20"/>
          <w:color w:val="auto"/>
        </w:rPr>
      </w:pPr>
    </w:p>
    <w:p>
      <w:pPr>
        <w:ind w:left="3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w:anchor="page307">
        <w:r>
          <w:rPr>
            <w:rFonts w:ascii="Arial" w:cs="Arial" w:eastAsia="Arial" w:hAnsi="Arial"/>
            <w:sz w:val="17"/>
            <w:szCs w:val="17"/>
            <w:u w:val="single" w:color="auto"/>
            <w:color w:val="0000EE"/>
          </w:rPr>
          <w:t>Third Amended and Restated Investors’ Rights Agreement, by and among the Registrant and certain of its shareholders</w:t>
        </w:r>
      </w:hyperlink>
    </w:p>
    <w:p>
      <w:pPr>
        <w:spacing w:after="0" w:line="101" w:lineRule="exact"/>
        <w:rPr>
          <w:sz w:val="20"/>
          <w:szCs w:val="20"/>
          <w:color w:val="auto"/>
        </w:rPr>
      </w:pPr>
    </w:p>
    <w:p>
      <w:pPr>
        <w:ind w:left="3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333">
        <w:r>
          <w:rPr>
            <w:rFonts w:ascii="Arial" w:cs="Arial" w:eastAsia="Arial" w:hAnsi="Arial"/>
            <w:sz w:val="17"/>
            <w:szCs w:val="17"/>
            <w:u w:val="single" w:color="auto"/>
            <w:color w:val="0000EE"/>
          </w:rPr>
          <w:t>Opinion of Meitar | Law Offices, counsel to the Registrant, as to the validity of the ordinary shares (including consent)</w:t>
        </w:r>
      </w:hyperlink>
    </w:p>
    <w:p>
      <w:pPr>
        <w:spacing w:after="0" w:line="101" w:lineRule="exact"/>
        <w:rPr>
          <w:sz w:val="20"/>
          <w:szCs w:val="20"/>
          <w:color w:val="auto"/>
        </w:rPr>
      </w:pPr>
    </w:p>
    <w:p>
      <w:pPr>
        <w:ind w:left="28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w:anchor="page335">
        <w:r>
          <w:rPr>
            <w:rFonts w:ascii="Arial" w:cs="Arial" w:eastAsia="Arial" w:hAnsi="Arial"/>
            <w:sz w:val="17"/>
            <w:szCs w:val="17"/>
            <w:u w:val="single" w:color="auto"/>
            <w:color w:val="0000EE"/>
          </w:rPr>
          <w:t>Form of Indemnification Agreement</w:t>
        </w:r>
      </w:hyperlink>
    </w:p>
    <w:p>
      <w:pPr>
        <w:spacing w:after="0" w:line="101"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w:anchor="page348">
        <w:r>
          <w:rPr>
            <w:rFonts w:ascii="Arial" w:cs="Arial" w:eastAsia="Arial" w:hAnsi="Arial"/>
            <w:sz w:val="17"/>
            <w:szCs w:val="17"/>
            <w:u w:val="single" w:color="auto"/>
            <w:color w:val="0000EE"/>
          </w:rPr>
          <w:t>2013 Share Incentive Plan</w:t>
        </w:r>
      </w:hyperlink>
    </w:p>
    <w:p>
      <w:pPr>
        <w:spacing w:after="0" w:line="101"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w:anchor="page377">
        <w:r>
          <w:rPr>
            <w:rFonts w:ascii="Arial" w:cs="Arial" w:eastAsia="Arial" w:hAnsi="Arial"/>
            <w:sz w:val="17"/>
            <w:szCs w:val="17"/>
            <w:u w:val="single" w:color="auto"/>
            <w:color w:val="0000EE"/>
          </w:rPr>
          <w:t>2021 Share Incentive Plan</w:t>
        </w:r>
      </w:hyperlink>
    </w:p>
    <w:p>
      <w:pPr>
        <w:spacing w:after="0" w:line="101"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w:anchor="page409">
        <w:r>
          <w:rPr>
            <w:rFonts w:ascii="Arial" w:cs="Arial" w:eastAsia="Arial" w:hAnsi="Arial"/>
            <w:sz w:val="17"/>
            <w:szCs w:val="17"/>
            <w:u w:val="single" w:color="auto"/>
            <w:color w:val="0000EE"/>
          </w:rPr>
          <w:t>Service Agreement by and between DHL International (UK) Limited and Global-e U.K. Ltd., dated as of May 21, 2019</w:t>
        </w:r>
      </w:hyperlink>
    </w:p>
    <w:p>
      <w:pPr>
        <w:spacing w:after="0" w:line="101" w:lineRule="exact"/>
        <w:rPr>
          <w:sz w:val="20"/>
          <w:szCs w:val="20"/>
          <w:color w:val="auto"/>
        </w:rPr>
      </w:pPr>
    </w:p>
    <w:p>
      <w:pPr>
        <w:ind w:left="1160" w:right="140" w:hanging="931"/>
        <w:spacing w:after="0" w:line="23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420">
        <w:r>
          <w:rPr>
            <w:rFonts w:ascii="Arial" w:cs="Arial" w:eastAsia="Arial" w:hAnsi="Arial"/>
            <w:sz w:val="18"/>
            <w:szCs w:val="18"/>
            <w:u w:val="single" w:color="auto"/>
            <w:color w:val="0000EE"/>
          </w:rPr>
          <w:t>Letter Agreement re: DHL Special Rights between the Registrant and DHL International GmbH, dated as of March 27, 2017,</w:t>
        </w:r>
      </w:hyperlink>
      <w:r>
        <w:rPr>
          <w:rFonts w:ascii="Arial" w:cs="Arial" w:eastAsia="Arial" w:hAnsi="Arial"/>
          <w:sz w:val="18"/>
          <w:szCs w:val="18"/>
          <w:u w:val="single" w:color="auto"/>
          <w:color w:val="0000EE"/>
        </w:rPr>
        <w:t xml:space="preserve"> </w:t>
      </w:r>
      <w:hyperlink w:anchor="page420">
        <w:r>
          <w:rPr>
            <w:rFonts w:ascii="Arial" w:cs="Arial" w:eastAsia="Arial" w:hAnsi="Arial"/>
            <w:sz w:val="18"/>
            <w:szCs w:val="18"/>
            <w:u w:val="single" w:color="auto"/>
            <w:color w:val="0000EE"/>
          </w:rPr>
          <w:t>as amended</w:t>
        </w:r>
      </w:hyperlink>
    </w:p>
    <w:p>
      <w:pPr>
        <w:spacing w:after="0" w:line="96"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w:anchor="page431">
        <w:r>
          <w:rPr>
            <w:rFonts w:ascii="Arial" w:cs="Arial" w:eastAsia="Arial" w:hAnsi="Arial"/>
            <w:sz w:val="17"/>
            <w:szCs w:val="17"/>
            <w:u w:val="single" w:color="auto"/>
            <w:color w:val="0000EE"/>
          </w:rPr>
          <w:t>Compensation Policy for Directors and Officers</w:t>
        </w:r>
      </w:hyperlink>
    </w:p>
    <w:p>
      <w:pPr>
        <w:spacing w:after="0" w:line="101"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w:anchor="page441">
        <w:r>
          <w:rPr>
            <w:rFonts w:ascii="Arial" w:cs="Arial" w:eastAsia="Arial" w:hAnsi="Arial"/>
            <w:sz w:val="17"/>
            <w:szCs w:val="17"/>
            <w:u w:val="single" w:color="auto"/>
            <w:color w:val="0000EE"/>
          </w:rPr>
          <w:t>2021 Employee Stock Purchase Plan</w:t>
        </w:r>
      </w:hyperlink>
    </w:p>
    <w:p>
      <w:pPr>
        <w:spacing w:after="0" w:line="101" w:lineRule="exact"/>
        <w:rPr>
          <w:sz w:val="20"/>
          <w:szCs w:val="20"/>
          <w:color w:val="auto"/>
        </w:rPr>
      </w:pPr>
    </w:p>
    <w:p>
      <w:pPr>
        <w:ind w:left="28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w:anchor="page464">
        <w:r>
          <w:rPr>
            <w:rFonts w:ascii="Arial" w:cs="Arial" w:eastAsia="Arial" w:hAnsi="Arial"/>
            <w:sz w:val="17"/>
            <w:szCs w:val="17"/>
            <w:u w:val="single" w:color="auto"/>
            <w:color w:val="0000EE"/>
          </w:rPr>
          <w:t>Stock Purchase Warrant dated as of July 14, 2021, by and between the Registrant and Shopify International Limited</w:t>
        </w:r>
      </w:hyperlink>
    </w:p>
    <w:p>
      <w:pPr>
        <w:spacing w:after="0" w:line="101" w:lineRule="exact"/>
        <w:rPr>
          <w:sz w:val="20"/>
          <w:szCs w:val="20"/>
          <w:color w:val="auto"/>
        </w:rPr>
      </w:pPr>
    </w:p>
    <w:p>
      <w:pPr>
        <w:ind w:left="22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w:anchor="page479">
        <w:r>
          <w:rPr>
            <w:rFonts w:ascii="Arial" w:cs="Arial" w:eastAsia="Arial" w:hAnsi="Arial"/>
            <w:sz w:val="17"/>
            <w:szCs w:val="17"/>
            <w:u w:val="single" w:color="auto"/>
            <w:color w:val="0000EE"/>
          </w:rPr>
          <w:t>Partnership and Services Agreement, dated as of April 12, 2021, by and between Shopify Inc. and the Registrant</w:t>
        </w:r>
      </w:hyperlink>
    </w:p>
    <w:p>
      <w:pPr>
        <w:spacing w:after="0" w:line="101" w:lineRule="exact"/>
        <w:rPr>
          <w:sz w:val="20"/>
          <w:szCs w:val="20"/>
          <w:color w:val="auto"/>
        </w:rPr>
      </w:pPr>
    </w:p>
    <w:p>
      <w:pPr>
        <w:ind w:left="28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21.1</w:t>
      </w:r>
      <w:r>
        <w:rPr>
          <w:sz w:val="20"/>
          <w:szCs w:val="20"/>
          <w:color w:val="auto"/>
        </w:rPr>
        <w:tab/>
      </w:r>
      <w:hyperlink w:anchor="page493">
        <w:r>
          <w:rPr>
            <w:rFonts w:ascii="Arial" w:cs="Arial" w:eastAsia="Arial" w:hAnsi="Arial"/>
            <w:sz w:val="17"/>
            <w:szCs w:val="17"/>
            <w:u w:val="single" w:color="auto"/>
            <w:color w:val="0000EE"/>
          </w:rPr>
          <w:t>List of subsidiaries of the Registrant</w:t>
        </w:r>
      </w:hyperlink>
    </w:p>
    <w:p>
      <w:pPr>
        <w:spacing w:after="0" w:line="101" w:lineRule="exact"/>
        <w:rPr>
          <w:sz w:val="20"/>
          <w:szCs w:val="20"/>
          <w:color w:val="auto"/>
        </w:rPr>
      </w:pPr>
    </w:p>
    <w:p>
      <w:pPr>
        <w:ind w:left="1160" w:right="100" w:hanging="881"/>
        <w:spacing w:after="0" w:line="23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494">
        <w:r>
          <w:rPr>
            <w:rFonts w:ascii="Arial" w:cs="Arial" w:eastAsia="Arial" w:hAnsi="Arial"/>
            <w:sz w:val="18"/>
            <w:szCs w:val="18"/>
            <w:u w:val="single" w:color="auto"/>
            <w:color w:val="0000EE"/>
          </w:rPr>
          <w:t>Consent of Kost, Forer, Gabbay &amp; Kasierer, a member of Ernst &amp; Young Global, an independent registered public accounting</w:t>
        </w:r>
      </w:hyperlink>
      <w:r>
        <w:rPr>
          <w:rFonts w:ascii="Arial" w:cs="Arial" w:eastAsia="Arial" w:hAnsi="Arial"/>
          <w:sz w:val="18"/>
          <w:szCs w:val="18"/>
          <w:u w:val="single" w:color="auto"/>
          <w:color w:val="0000EE"/>
        </w:rPr>
        <w:t xml:space="preserve"> </w:t>
      </w:r>
      <w:hyperlink w:anchor="page494">
        <w:r>
          <w:rPr>
            <w:rFonts w:ascii="Arial" w:cs="Arial" w:eastAsia="Arial" w:hAnsi="Arial"/>
            <w:sz w:val="18"/>
            <w:szCs w:val="18"/>
            <w:u w:val="single" w:color="auto"/>
            <w:color w:val="0000EE"/>
          </w:rPr>
          <w:t>firm</w:t>
        </w:r>
      </w:hyperlink>
    </w:p>
    <w:p>
      <w:pPr>
        <w:spacing w:after="0" w:line="96" w:lineRule="exact"/>
        <w:rPr>
          <w:sz w:val="20"/>
          <w:szCs w:val="20"/>
          <w:color w:val="auto"/>
        </w:rPr>
      </w:pPr>
    </w:p>
    <w:p>
      <w:pPr>
        <w:ind w:left="28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333">
        <w:r>
          <w:rPr>
            <w:rFonts w:ascii="Arial" w:cs="Arial" w:eastAsia="Arial" w:hAnsi="Arial"/>
            <w:sz w:val="17"/>
            <w:szCs w:val="17"/>
            <w:u w:val="single" w:color="auto"/>
            <w:color w:val="0000EE"/>
          </w:rPr>
          <w:t>Consent of Meitar | Law Offices (included in Exhibit 5.1)</w:t>
        </w:r>
      </w:hyperlink>
    </w:p>
    <w:p>
      <w:pPr>
        <w:spacing w:after="0" w:line="101" w:lineRule="exact"/>
        <w:rPr>
          <w:sz w:val="20"/>
          <w:szCs w:val="20"/>
          <w:color w:val="auto"/>
        </w:rPr>
      </w:pPr>
    </w:p>
    <w:p>
      <w:pPr>
        <w:ind w:left="280"/>
        <w:spacing w:after="0"/>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w:anchor="page233">
        <w:r>
          <w:rPr>
            <w:rFonts w:ascii="Arial" w:cs="Arial" w:eastAsia="Arial" w:hAnsi="Arial"/>
            <w:sz w:val="17"/>
            <w:szCs w:val="17"/>
            <w:u w:val="single" w:color="auto"/>
            <w:color w:val="0000EE"/>
          </w:rPr>
          <w:t>Powers of Attorney (included in signature page to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700" w:hanging="533"/>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ind w:left="700" w:hanging="533"/>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Items 601(a)(6) and Item 601(b)(10).</w:t>
      </w:r>
    </w:p>
    <w:p>
      <w:pPr>
        <w:sectPr>
          <w:pgSz w:w="11900" w:h="16838" w:orient="portrait"/>
          <w:cols w:equalWidth="0" w:num="1">
            <w:col w:w="11080"/>
          </w:cols>
          <w:pgMar w:left="320" w:top="456"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Tel Aviv, Israel on this 7</w:t>
      </w:r>
      <w:r>
        <w:rPr>
          <w:rFonts w:ascii="Arial" w:cs="Arial" w:eastAsia="Arial" w:hAnsi="Arial"/>
          <w:sz w:val="15"/>
          <w:szCs w:val="15"/>
          <w:color w:val="auto"/>
        </w:rPr>
        <w:t>th</w:t>
      </w:r>
      <w:r>
        <w:rPr>
          <w:rFonts w:ascii="Arial" w:cs="Arial" w:eastAsia="Arial" w:hAnsi="Arial"/>
          <w:sz w:val="18"/>
          <w:szCs w:val="18"/>
          <w:color w:val="auto"/>
        </w:rPr>
        <w:t xml:space="preserve"> day of September, 2021.</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GLOBAL-E ONLINE LTD.</w:t>
      </w:r>
    </w:p>
    <w:p>
      <w:pPr>
        <w:spacing w:after="0" w:line="202" w:lineRule="exact"/>
        <w:rPr>
          <w:sz w:val="20"/>
          <w:szCs w:val="20"/>
          <w:color w:val="auto"/>
        </w:rPr>
      </w:pPr>
    </w:p>
    <w:tbl>
      <w:tblPr>
        <w:tblLayout w:type="fixed"/>
        <w:tblInd w:w="67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Amir Schlachet</w:t>
            </w:r>
          </w:p>
        </w:tc>
      </w:tr>
      <w:tr>
        <w:trPr>
          <w:trHeight w:val="193"/>
        </w:trPr>
        <w:tc>
          <w:tcPr>
            <w:tcW w:w="600" w:type="dxa"/>
            <w:vAlign w:val="bottom"/>
          </w:tcPr>
          <w:p>
            <w:pPr>
              <w:spacing w:after="0" w:line="193" w:lineRule="exact"/>
              <w:rPr>
                <w:sz w:val="20"/>
                <w:szCs w:val="20"/>
                <w:color w:val="auto"/>
              </w:rPr>
            </w:pPr>
            <w:r>
              <w:rPr>
                <w:rFonts w:ascii="Arial" w:cs="Arial" w:eastAsia="Arial" w:hAnsi="Arial"/>
                <w:sz w:val="18"/>
                <w:szCs w:val="18"/>
                <w:color w:val="auto"/>
              </w:rPr>
              <w:t>Name:</w:t>
            </w:r>
          </w:p>
        </w:tc>
        <w:tc>
          <w:tcPr>
            <w:tcW w:w="3760" w:type="dxa"/>
            <w:vAlign w:val="bottom"/>
          </w:tcPr>
          <w:p>
            <w:pPr>
              <w:ind w:left="60"/>
              <w:spacing w:after="0" w:line="193" w:lineRule="exact"/>
              <w:rPr>
                <w:sz w:val="20"/>
                <w:szCs w:val="20"/>
                <w:color w:val="auto"/>
              </w:rPr>
            </w:pPr>
            <w:r>
              <w:rPr>
                <w:rFonts w:ascii="Arial" w:cs="Arial" w:eastAsia="Arial" w:hAnsi="Arial"/>
                <w:sz w:val="18"/>
                <w:szCs w:val="18"/>
                <w:color w:val="auto"/>
              </w:rPr>
              <w:t>Amir Schlachet</w:t>
            </w:r>
          </w:p>
        </w:tc>
      </w:tr>
      <w:tr>
        <w:trPr>
          <w:trHeight w:val="21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Amir Schlachet, Nir Debbi and Shahar Tamari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20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September 7, 2021 in the capacities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5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1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r>
      <w:tr>
        <w:trPr>
          <w:trHeight w:val="394"/>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Amir Schlachet</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Co-Founder, Director and Chief Executive Officer (Principal</w:t>
            </w: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Amir Schlachet</w:t>
            </w:r>
          </w:p>
        </w:tc>
        <w:tc>
          <w:tcPr>
            <w:tcW w:w="220" w:type="dxa"/>
            <w:vAlign w:val="bottom"/>
          </w:tcPr>
          <w:p>
            <w:pPr>
              <w:spacing w:after="0"/>
              <w:rPr>
                <w:sz w:val="19"/>
                <w:szCs w:val="19"/>
                <w:color w:val="auto"/>
              </w:rPr>
            </w:pPr>
          </w:p>
        </w:tc>
        <w:tc>
          <w:tcPr>
            <w:tcW w:w="5120" w:type="dxa"/>
            <w:vAlign w:val="bottom"/>
          </w:tcPr>
          <w:p>
            <w:pPr>
              <w:spacing w:after="0" w:line="194" w:lineRule="exact"/>
              <w:rPr>
                <w:sz w:val="20"/>
                <w:szCs w:val="20"/>
                <w:color w:val="auto"/>
              </w:rPr>
            </w:pPr>
            <w:r>
              <w:rPr>
                <w:rFonts w:ascii="Arial" w:cs="Arial" w:eastAsia="Arial" w:hAnsi="Arial"/>
                <w:sz w:val="18"/>
                <w:szCs w:val="18"/>
                <w:color w:val="auto"/>
              </w:rPr>
              <w:t>Executive Officer)</w:t>
            </w:r>
          </w:p>
        </w:tc>
      </w:tr>
      <w:tr>
        <w:trPr>
          <w:trHeight w:val="402"/>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Koren</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Financial Officer (Principal Financial Officer and Principal</w:t>
            </w:r>
          </w:p>
        </w:tc>
      </w:tr>
      <w:tr>
        <w:trPr>
          <w:trHeight w:val="220"/>
        </w:trPr>
        <w:tc>
          <w:tcPr>
            <w:tcW w:w="5580" w:type="dxa"/>
            <w:vAlign w:val="bottom"/>
          </w:tcPr>
          <w:p>
            <w:pPr>
              <w:spacing w:after="0"/>
              <w:rPr>
                <w:sz w:val="20"/>
                <w:szCs w:val="20"/>
                <w:color w:val="auto"/>
              </w:rPr>
            </w:pPr>
            <w:r>
              <w:rPr>
                <w:rFonts w:ascii="Arial" w:cs="Arial" w:eastAsia="Arial" w:hAnsi="Arial"/>
                <w:sz w:val="18"/>
                <w:szCs w:val="18"/>
                <w:color w:val="auto"/>
              </w:rPr>
              <w:t>Ofer Koren</w:t>
            </w:r>
          </w:p>
        </w:tc>
        <w:tc>
          <w:tcPr>
            <w:tcW w:w="220" w:type="dxa"/>
            <w:vAlign w:val="bottom"/>
          </w:tcPr>
          <w:p>
            <w:pPr>
              <w:spacing w:after="0"/>
              <w:rPr>
                <w:sz w:val="19"/>
                <w:szCs w:val="19"/>
                <w:color w:val="auto"/>
              </w:rPr>
            </w:pPr>
          </w:p>
        </w:tc>
        <w:tc>
          <w:tcPr>
            <w:tcW w:w="5120" w:type="dxa"/>
            <w:vAlign w:val="bottom"/>
          </w:tcPr>
          <w:p>
            <w:pPr>
              <w:spacing w:after="0" w:line="194" w:lineRule="exact"/>
              <w:rPr>
                <w:sz w:val="20"/>
                <w:szCs w:val="20"/>
                <w:color w:val="auto"/>
              </w:rPr>
            </w:pPr>
            <w:r>
              <w:rPr>
                <w:rFonts w:ascii="Arial" w:cs="Arial" w:eastAsia="Arial" w:hAnsi="Arial"/>
                <w:sz w:val="18"/>
                <w:szCs w:val="18"/>
                <w:color w:val="auto"/>
              </w:rPr>
              <w:t>Accounting Officer)</w:t>
            </w: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Shahar Tamari</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Co-Founder and 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Shahar Tamari</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Nir Debbi</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Co-Founder, President and 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Nir Debbi</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Tzvia Broida</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Tzvia Broida</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Miguel Angel Parra</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Miguel Angel Parra</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J. Bakst</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Anna J. Bakst</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5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1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r>
      <w:tr>
        <w:trPr>
          <w:trHeight w:val="39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Studd</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Thomas Studd</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Iris Epple-Righi</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Iris Epple-Righi</w:t>
            </w:r>
          </w:p>
        </w:tc>
        <w:tc>
          <w:tcPr>
            <w:tcW w:w="2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ectPr>
          <w:pgSz w:w="11900" w:h="16838" w:orient="portrait"/>
          <w:cols w:equalWidth="0" w:num="1">
            <w:col w:w="11080"/>
          </w:cols>
          <w:pgMar w:left="320" w:top="456"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Global-E Online Ltd. has signed this registration statement on September 7, 2021.</w:t>
      </w:r>
    </w:p>
    <w:p>
      <w:pPr>
        <w:spacing w:after="0" w:line="23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GLOBAL-E US INC.</w:t>
      </w:r>
    </w:p>
    <w:p>
      <w:pPr>
        <w:spacing w:after="0" w:line="208" w:lineRule="exact"/>
        <w:rPr>
          <w:sz w:val="20"/>
          <w:szCs w:val="20"/>
          <w:color w:val="auto"/>
        </w:rPr>
      </w:pPr>
    </w:p>
    <w:p>
      <w:pPr>
        <w:ind w:left="672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-3175</wp:posOffset>
            </wp:positionV>
            <wp:extent cx="23863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8"/>
          <w:szCs w:val="18"/>
          <w:color w:val="auto"/>
        </w:rPr>
        <w:t>Name:  Amir Schlachet</w:t>
      </w:r>
    </w:p>
    <w:p>
      <w:pPr>
        <w:ind w:left="6720"/>
        <w:spacing w:after="0"/>
        <w:tabs>
          <w:tab w:leader="none" w:pos="736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1020"/>
          </w:cols>
          <w:pgMar w:left="320" w:top="456" w:right="55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w:t>
      </w:r>
      <w:r>
        <w:rPr>
          <w:rFonts w:ascii="Arial" w:cs="Arial" w:eastAsia="Arial" w:hAnsi="Arial"/>
          <w:sz w:val="18"/>
          <w:szCs w:val="18"/>
          <w:b w:val="1"/>
          <w:bCs w:val="1"/>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xml:space="preserve">”) of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0" w:lineRule="exact"/>
        <w:rPr>
          <w:sz w:val="20"/>
          <w:szCs w:val="20"/>
          <w:color w:val="auto"/>
        </w:rPr>
      </w:pPr>
    </w:p>
    <w:p>
      <w:pPr>
        <w:ind w:right="140" w:firstLine="436"/>
        <w:spacing w:after="0" w:line="294" w:lineRule="auto"/>
        <w:rPr>
          <w:sz w:val="20"/>
          <w:szCs w:val="20"/>
          <w:color w:val="auto"/>
        </w:rPr>
      </w:pPr>
      <w:r>
        <w:rPr>
          <w:rFonts w:ascii="Arial" w:cs="Arial" w:eastAsia="Arial" w:hAnsi="Arial"/>
          <w:sz w:val="16"/>
          <w:szCs w:val="16"/>
          <w:color w:val="auto"/>
        </w:rPr>
        <w:t>The shareholders named in Schedule II hereto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of Global-E Online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propose, subject to the terms and conditions stated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to sell to the Underwriters named in Schedule 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 ordinary shares, of no par value per share, of the Company (the “</w:t>
      </w:r>
      <w:r>
        <w:rPr>
          <w:rFonts w:ascii="Arial" w:cs="Arial" w:eastAsia="Arial" w:hAnsi="Arial"/>
          <w:sz w:val="16"/>
          <w:szCs w:val="16"/>
          <w:b w:val="1"/>
          <w:bCs w:val="1"/>
          <w:color w:val="auto"/>
        </w:rPr>
        <w:t>Firm Shares</w:t>
      </w:r>
      <w:r>
        <w:rPr>
          <w:rFonts w:ascii="Arial" w:cs="Arial" w:eastAsia="Arial" w:hAnsi="Arial"/>
          <w:sz w:val="16"/>
          <w:szCs w:val="16"/>
          <w:color w:val="auto"/>
        </w:rPr>
        <w:t>”) and, at the election of the Underwriters, up to [•] additional ordinary shares, of no par value per share, of the Company (the “</w:t>
      </w:r>
      <w:r>
        <w:rPr>
          <w:rFonts w:ascii="Arial" w:cs="Arial" w:eastAsia="Arial" w:hAnsi="Arial"/>
          <w:sz w:val="16"/>
          <w:szCs w:val="16"/>
          <w:b w:val="1"/>
          <w:bCs w:val="1"/>
          <w:color w:val="auto"/>
        </w:rPr>
        <w:t>Optional Shares</w:t>
      </w:r>
      <w:r>
        <w:rPr>
          <w:rFonts w:ascii="Arial" w:cs="Arial" w:eastAsia="Arial" w:hAnsi="Arial"/>
          <w:sz w:val="16"/>
          <w:szCs w:val="16"/>
          <w:color w:val="auto"/>
        </w:rPr>
        <w:t>”). The Firm Shares and the Optional Shares that the Underwriters elect to purchase pursuant to Section 3 hereof are collectively called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110" w:lineRule="exact"/>
        <w:rPr>
          <w:sz w:val="20"/>
          <w:szCs w:val="20"/>
          <w:color w:val="auto"/>
        </w:rPr>
      </w:pPr>
    </w:p>
    <w:p>
      <w:pPr>
        <w:ind w:right="60" w:firstLine="444"/>
        <w:spacing w:after="0" w:line="299" w:lineRule="auto"/>
        <w:tabs>
          <w:tab w:leader="none" w:pos="67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registration statement on Form F-1 (File No. 333-[•])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in respect of the Shares has been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Initial Registration Statement and any post-effective amendment thereto, each in the form heretofore delivered to you, have been declared effective by the Commission in such form; other than a registration statement, if any, increasing the size of the offering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filed pursuant to Rule 462(b) under the Securities Act of 1933,</w:t>
      </w:r>
    </w:p>
    <w:p>
      <w:pPr>
        <w:sectPr>
          <w:pgSz w:w="11900" w:h="16838" w:orient="portrait"/>
          <w:cols w:equalWidth="0" w:num="1">
            <w:col w:w="10920"/>
          </w:cols>
          <w:pgMar w:left="480" w:top="121" w:right="499" w:bottom="1440" w:gutter="0" w:footer="0" w:header="0"/>
        </w:sectPr>
      </w:pPr>
    </w:p>
    <w:bookmarkStart w:id="236" w:name="page237"/>
    <w:bookmarkEnd w:id="236"/>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amended (the “</w:t>
      </w:r>
      <w:r>
        <w:rPr>
          <w:rFonts w:ascii="Arial" w:cs="Arial" w:eastAsia="Arial" w:hAnsi="Arial"/>
          <w:sz w:val="16"/>
          <w:szCs w:val="16"/>
          <w:b w:val="1"/>
          <w:bCs w:val="1"/>
          <w:color w:val="auto"/>
        </w:rPr>
        <w:t>Act</w:t>
      </w:r>
      <w:r>
        <w:rPr>
          <w:rFonts w:ascii="Arial" w:cs="Arial" w:eastAsia="Arial" w:hAnsi="Arial"/>
          <w:sz w:val="16"/>
          <w:szCs w:val="16"/>
          <w:color w:val="auto"/>
        </w:rPr>
        <w: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to the Company’s knowledge, no proceeding for that purpose or under Section 8A of the Act has been initiated or threatened by the Commission (any preliminary prospectus included in the Initial Registration Statement or filed with the Commission pursuant to Rule 424(a) of the rules and regulations of the Commission under the Act is hereinafter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Preliminary Prospectus relating to the Shares that was included in the Registration Statement immediately prior to the Applicable Time (as defined in Section 1(c) hereof) is hereinafter called the “</w:t>
      </w:r>
      <w:r>
        <w:rPr>
          <w:rFonts w:ascii="Arial" w:cs="Arial" w:eastAsia="Arial" w:hAnsi="Arial"/>
          <w:sz w:val="16"/>
          <w:szCs w:val="16"/>
          <w:b w:val="1"/>
          <w:bCs w:val="1"/>
          <w:color w:val="auto"/>
        </w:rPr>
        <w:t>Pricing Prospectus</w:t>
      </w:r>
      <w:r>
        <w:rPr>
          <w:rFonts w:ascii="Arial" w:cs="Arial" w:eastAsia="Arial" w:hAnsi="Arial"/>
          <w:sz w:val="16"/>
          <w:szCs w:val="16"/>
          <w:color w:val="auto"/>
        </w:rPr>
        <w:t>”; such final prospectus, in the form first filed pursuant to Rule 424(b) under the Act,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any oral or written communication with potential investors undertaken in reliance on Section 5(d) of the Act or Rule 163B under the Act is hereinafter called a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any Testing-the-Waters Communication that is a written communication within the meaning of Rule 405 under the Act is hereinafter called a “</w:t>
      </w:r>
      <w:r>
        <w:rPr>
          <w:rFonts w:ascii="Arial" w:cs="Arial" w:eastAsia="Arial" w:hAnsi="Arial"/>
          <w:sz w:val="16"/>
          <w:szCs w:val="16"/>
          <w:b w:val="1"/>
          <w:bCs w:val="1"/>
          <w:color w:val="auto"/>
        </w:rPr>
        <w:t>Written Testing-the-Waters Communication</w:t>
      </w:r>
      <w:r>
        <w:rPr>
          <w:rFonts w:ascii="Arial" w:cs="Arial" w:eastAsia="Arial" w:hAnsi="Arial"/>
          <w:sz w:val="16"/>
          <w:szCs w:val="16"/>
          <w:color w:val="auto"/>
        </w:rPr>
        <w:t>”; and any “issuer free writing prospectus” as defined in Rule 433 under the Act relating to the Shares is hereinafter called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w:t>
      </w:r>
    </w:p>
    <w:p>
      <w:pPr>
        <w:spacing w:after="0" w:line="63" w:lineRule="exact"/>
        <w:rPr>
          <w:sz w:val="20"/>
          <w:szCs w:val="20"/>
          <w:color w:val="auto"/>
        </w:rPr>
      </w:pPr>
    </w:p>
    <w:p>
      <w:pPr>
        <w:ind w:right="80" w:firstLine="444"/>
        <w:spacing w:after="0" w:line="270" w:lineRule="auto"/>
        <w:tabs>
          <w:tab w:leader="none" w:pos="68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 No order preventing or suspending the use of any Preliminary Prospectus or any Issuer Free Writing Prospectus has been issued by the Commission, and (B) the Pricing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 Information (as defined in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of this Agreement).</w:t>
      </w:r>
    </w:p>
    <w:p>
      <w:pPr>
        <w:spacing w:after="0" w:line="67" w:lineRule="exact"/>
        <w:rPr>
          <w:rFonts w:ascii="Arial" w:cs="Arial" w:eastAsia="Arial" w:hAnsi="Arial"/>
          <w:sz w:val="17"/>
          <w:szCs w:val="17"/>
          <w:color w:val="auto"/>
        </w:rPr>
      </w:pPr>
    </w:p>
    <w:p>
      <w:pPr>
        <w:ind w:firstLine="444"/>
        <w:spacing w:after="0" w:line="252" w:lineRule="auto"/>
        <w:tabs>
          <w:tab w:leader="none" w:pos="6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the purposes of this Agreement, the “</w:t>
      </w:r>
      <w:r>
        <w:rPr>
          <w:rFonts w:ascii="Arial" w:cs="Arial" w:eastAsia="Arial" w:hAnsi="Arial"/>
          <w:sz w:val="18"/>
          <w:szCs w:val="18"/>
          <w:b w:val="1"/>
          <w:bCs w:val="1"/>
          <w:color w:val="auto"/>
        </w:rPr>
        <w:t>Applicable Time</w:t>
      </w:r>
      <w:r>
        <w:rPr>
          <w:rFonts w:ascii="Arial" w:cs="Arial" w:eastAsia="Arial" w:hAnsi="Arial"/>
          <w:sz w:val="18"/>
          <w:szCs w:val="18"/>
          <w:color w:val="auto"/>
        </w:rPr>
        <w:t>” is [•] p.m. (Eastern time) on the date of this Agreement. The Pricing Prospectus, as supplemented by the information listed on Schedule III(c) hereto, taken together (collectively, the “</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as of the Applicable Time, did not, and as of each Time of Delivery (as defined in Section 5(a)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9" w:right="499" w:bottom="1440" w:gutter="0" w:footer="0" w:header="0"/>
        </w:sectPr>
      </w:pPr>
    </w:p>
    <w:bookmarkStart w:id="237" w:name="page238"/>
    <w:bookmarkEnd w:id="237"/>
    <w:p>
      <w:pPr>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Time of Delivery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representation and warranty shall not apply to statements or omissions made in reliance upon and in conformity with the Underwriter Information.</w:t>
      </w:r>
    </w:p>
    <w:p>
      <w:pPr>
        <w:spacing w:after="0" w:line="62" w:lineRule="exact"/>
        <w:rPr>
          <w:sz w:val="20"/>
          <w:szCs w:val="20"/>
          <w:color w:val="auto"/>
        </w:rPr>
      </w:pPr>
    </w:p>
    <w:p>
      <w:pPr>
        <w:ind w:right="40" w:firstLine="444"/>
        <w:spacing w:after="0" w:line="290" w:lineRule="auto"/>
        <w:tabs>
          <w:tab w:leader="none" w:pos="68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any statements or omissions made in reliance upon and in conformity with the Underwriter Information.</w:t>
      </w:r>
    </w:p>
    <w:p>
      <w:pPr>
        <w:spacing w:after="0" w:line="56" w:lineRule="exact"/>
        <w:rPr>
          <w:rFonts w:ascii="Arial" w:cs="Arial" w:eastAsia="Arial" w:hAnsi="Arial"/>
          <w:sz w:val="16"/>
          <w:szCs w:val="16"/>
          <w:color w:val="auto"/>
        </w:rPr>
      </w:pPr>
    </w:p>
    <w:p>
      <w:pPr>
        <w:ind w:right="40" w:firstLine="444"/>
        <w:spacing w:after="0" w:line="322" w:lineRule="auto"/>
        <w:tabs>
          <w:tab w:leader="none" w:pos="679" w:val="left"/>
        </w:tabs>
        <w:numPr>
          <w:ilvl w:val="1"/>
          <w:numId w:val="134"/>
        </w:numPr>
        <w:rPr>
          <w:rFonts w:ascii="Arial" w:cs="Arial" w:eastAsia="Arial" w:hAnsi="Arial"/>
          <w:sz w:val="14"/>
          <w:szCs w:val="14"/>
          <w:color w:val="auto"/>
        </w:rPr>
      </w:pPr>
      <w:r>
        <w:rPr>
          <w:rFonts w:ascii="Arial" w:cs="Arial" w:eastAsia="Arial" w:hAnsi="Arial"/>
          <w:sz w:val="14"/>
          <w:szCs w:val="14"/>
          <w:color w:val="auto"/>
        </w:rPr>
        <w:t>The Company and its subsidiaries, taken as a whole, has not,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there has not been</w:t>
      </w:r>
    </w:p>
    <w:p>
      <w:pPr>
        <w:ind w:right="20" w:firstLine="7"/>
        <w:spacing w:after="0" w:line="265" w:lineRule="auto"/>
        <w:tabs>
          <w:tab w:leader="none" w:pos="2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change in the share capital (other than as a result of (i) the grant, vesting, exercise or settlement if any, of share options or the award, if any, of share options, restricted shares or other equity incentives in the ordinary course of business pursuant to the Company’s equity plans that are described in the Pricing Prospectus and the Prospectus or (ii) the issuance, if any, of ordinary shares upon conversion of Company securities as described in the Registration Statement, the Pricing Prospectus and the Prospectus) or long-term debt of the Company or any of its subsidiaries or (y) any Material Adverse Effect (as defined below);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any material adverse change, or any development involving a prospective material adverse change, in or affecting (i) the business, properties, general affairs, management, financial position, shareholders’ equity,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w:t>
      </w:r>
    </w:p>
    <w:p>
      <w:pPr>
        <w:spacing w:after="0" w:line="77" w:lineRule="exact"/>
        <w:rPr>
          <w:rFonts w:ascii="Arial" w:cs="Arial" w:eastAsia="Arial" w:hAnsi="Arial"/>
          <w:sz w:val="17"/>
          <w:szCs w:val="17"/>
          <w:color w:val="auto"/>
        </w:rPr>
      </w:pPr>
    </w:p>
    <w:p>
      <w:pPr>
        <w:ind w:right="60" w:firstLine="444"/>
        <w:spacing w:after="0" w:line="272" w:lineRule="auto"/>
        <w:tabs>
          <w:tab w:leader="none" w:pos="65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Company and its subsidiaries do not own any real property. The Company and its subsidiaries have good and marketable title to all personal property and other assets (other than with respect to intellectual property, which is addressed exclusively in Section 1(vv) below) owned by them, in each case free and clear of all security interests,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238" w:name="page239"/>
    <w:bookmarkEnd w:id="23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and its subsidiaries are held by them under valid, subsisting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laws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87" w:lineRule="exact"/>
        <w:rPr>
          <w:sz w:val="20"/>
          <w:szCs w:val="20"/>
          <w:color w:val="auto"/>
        </w:rPr>
      </w:pPr>
    </w:p>
    <w:p>
      <w:pPr>
        <w:ind w:right="60" w:firstLine="444"/>
        <w:spacing w:after="0" w:line="285" w:lineRule="auto"/>
        <w:tabs>
          <w:tab w:leader="none" w:pos="68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Each of the Company and each of its subsidiaries has been (i) duly organized and is validly existing and in good standing (where such concept exists)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 Neither the Company nor any of its Israeli subsidiaries is currently designated as a “breaching company” (within the meaning of the Israeli Companies Law 5759-1999 (the “</w:t>
      </w:r>
      <w:r>
        <w:rPr>
          <w:rFonts w:ascii="Arial" w:cs="Arial" w:eastAsia="Arial" w:hAnsi="Arial"/>
          <w:sz w:val="16"/>
          <w:szCs w:val="16"/>
          <w:b w:val="1"/>
          <w:bCs w:val="1"/>
          <w:color w:val="auto"/>
        </w:rPr>
        <w:t>Companies</w:t>
      </w:r>
      <w:r>
        <w:rPr>
          <w:rFonts w:ascii="Arial" w:cs="Arial" w:eastAsia="Arial" w:hAnsi="Arial"/>
          <w:sz w:val="16"/>
          <w:szCs w:val="16"/>
          <w:color w:val="auto"/>
        </w:rPr>
        <w:t xml:space="preserve"> </w:t>
      </w:r>
      <w:r>
        <w:rPr>
          <w:rFonts w:ascii="Arial" w:cs="Arial" w:eastAsia="Arial" w:hAnsi="Arial"/>
          <w:sz w:val="16"/>
          <w:szCs w:val="16"/>
          <w:b w:val="1"/>
          <w:bCs w:val="1"/>
          <w:color w:val="auto"/>
        </w:rPr>
        <w:t>Law</w:t>
      </w:r>
      <w:r>
        <w:rPr>
          <w:rFonts w:ascii="Arial" w:cs="Arial" w:eastAsia="Arial" w:hAnsi="Arial"/>
          <w:sz w:val="16"/>
          <w:szCs w:val="16"/>
          <w:color w:val="auto"/>
        </w:rPr>
        <w:t>”) by the Registrar of the Companies of the State of Israel and there is no basis for such designation. The certificate of incorporation, articles of</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 or by-laws (or other applicable organizational documents) of the Company and each of its subsidiaries comply with the requirements of applicable law in its jurisdiction of incorporation and are in full force and effect.</w:t>
      </w:r>
    </w:p>
    <w:p>
      <w:pPr>
        <w:spacing w:after="0" w:line="61" w:lineRule="exact"/>
        <w:rPr>
          <w:rFonts w:ascii="Arial" w:cs="Arial" w:eastAsia="Arial" w:hAnsi="Arial"/>
          <w:sz w:val="16"/>
          <w:szCs w:val="16"/>
          <w:color w:val="auto"/>
        </w:rPr>
      </w:pPr>
    </w:p>
    <w:p>
      <w:pPr>
        <w:ind w:right="40" w:firstLine="444"/>
        <w:spacing w:after="0" w:line="269" w:lineRule="auto"/>
        <w:tabs>
          <w:tab w:leader="none" w:pos="68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Pricing Prospectus and all of the issued and outstanding shares of the Company, including the Shares to be sold by the Selling Shareholders, have been duly and validly authorized and issued and are fully paid and non-assessable, were issued in accordance with applicable securities laws, are not subject to any preemptive or similar rights and conform in all material respects to the description of the ordinary shares contained in the Pricing Disclosure Package and the Prospectus; and all of the issued shares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71" w:lineRule="exact"/>
        <w:rPr>
          <w:rFonts w:ascii="Arial" w:cs="Arial" w:eastAsia="Arial" w:hAnsi="Arial"/>
          <w:sz w:val="17"/>
          <w:szCs w:val="17"/>
          <w:color w:val="auto"/>
        </w:rPr>
      </w:pPr>
    </w:p>
    <w:p>
      <w:pPr>
        <w:ind w:right="40" w:firstLine="444"/>
        <w:spacing w:after="0" w:line="290" w:lineRule="auto"/>
        <w:tabs>
          <w:tab w:leader="none" w:pos="64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Pricing Disclosure Package and the Prospectus, there are no options, warrants, agreements, contracts or other rights in existence to purchase or acquire from the Company any shares of the capital stock of the Company. The description of the Company’s stock option and other stock plans or arrangements (the “</w:t>
      </w:r>
      <w:r>
        <w:rPr>
          <w:rFonts w:ascii="Arial" w:cs="Arial" w:eastAsia="Arial" w:hAnsi="Arial"/>
          <w:sz w:val="16"/>
          <w:szCs w:val="16"/>
          <w:b w:val="1"/>
          <w:bCs w:val="1"/>
          <w:color w:val="auto"/>
        </w:rPr>
        <w:t>Company Stock Plans</w:t>
      </w:r>
      <w:r>
        <w:rPr>
          <w:rFonts w:ascii="Arial" w:cs="Arial" w:eastAsia="Arial" w:hAnsi="Arial"/>
          <w:sz w:val="16"/>
          <w:szCs w:val="16"/>
          <w:color w:val="auto"/>
        </w:rPr>
        <w:t>”) set forth in the Pricing Disclosure Package and the Prospectus accurately and fairly presents the information required to be shown with respect to such plans or arrangements. Each grant of an award under Company’s stock plans (collectively, the “</w:t>
      </w:r>
      <w:r>
        <w:rPr>
          <w:rFonts w:ascii="Arial" w:cs="Arial" w:eastAsia="Arial" w:hAnsi="Arial"/>
          <w:sz w:val="16"/>
          <w:szCs w:val="16"/>
          <w:b w:val="1"/>
          <w:bCs w:val="1"/>
          <w:color w:val="auto"/>
        </w:rPr>
        <w:t>Options</w:t>
      </w:r>
      <w:r>
        <w:rPr>
          <w:rFonts w:ascii="Arial" w:cs="Arial" w:eastAsia="Arial" w:hAnsi="Arial"/>
          <w:sz w:val="16"/>
          <w:szCs w:val="16"/>
          <w:color w:val="auto"/>
        </w:rPr>
        <w:t>”) (A) was duly authorized no later than the date on which the grant of such Option was by its terms to be effective by all necessary corporate action, including, as applicable, approval by the board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239" w:name="page240"/>
    <w:bookmarkEnd w:id="239"/>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of the Company (or a duly constituted and authorized committee thereof) and any required shareholder approval by the necessary number of votes or written consents, and the award agreement governing such grant (if any) was duly executed and delivered by the Company, (B) that was intended to qualify for the “capital gains track” of Section 102 of the Israel Income Tax Ordinance [New Version], 5721-1961, and the rules and regulations promulgated thereunder, so qualifies, and (C) was made in accordance with the terms the applicable Company Stock Plan and all applicable laws and regulatory rules or requirements, including all applicable federal and Israeli Securities laws.</w:t>
      </w:r>
    </w:p>
    <w:p>
      <w:pPr>
        <w:spacing w:after="0" w:line="69" w:lineRule="exact"/>
        <w:rPr>
          <w:sz w:val="20"/>
          <w:szCs w:val="20"/>
          <w:color w:val="auto"/>
        </w:rPr>
      </w:pPr>
    </w:p>
    <w:p>
      <w:pPr>
        <w:ind w:right="180" w:firstLine="444"/>
        <w:spacing w:after="0" w:line="271" w:lineRule="auto"/>
        <w:tabs>
          <w:tab w:leader="none" w:pos="64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Shares to be sold by the Selling Shareholders to the Underwriters hereunder will conform in all material respects to the description of the ordinary shares contained in the Pricing Disclosure Package and the Prospectus.</w:t>
      </w:r>
    </w:p>
    <w:p>
      <w:pPr>
        <w:spacing w:after="0" w:line="67" w:lineRule="exact"/>
        <w:rPr>
          <w:rFonts w:ascii="Arial" w:cs="Arial" w:eastAsia="Arial" w:hAnsi="Arial"/>
          <w:sz w:val="18"/>
          <w:szCs w:val="18"/>
          <w:color w:val="auto"/>
        </w:rPr>
      </w:pPr>
    </w:p>
    <w:p>
      <w:pPr>
        <w:jc w:val="both"/>
        <w:ind w:right="360" w:firstLine="444"/>
        <w:spacing w:after="0" w:line="283" w:lineRule="auto"/>
        <w:tabs>
          <w:tab w:leader="none" w:pos="68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w:t>
      </w:r>
    </w:p>
    <w:p>
      <w:pPr>
        <w:ind w:firstLine="7"/>
        <w:spacing w:after="0" w:line="284" w:lineRule="auto"/>
        <w:tabs>
          <w:tab w:leader="none" w:pos="28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certificate of incorporation, articles of association or bylaws (or other applicable organizational document) of the Company or any of its subsidiaries, or (C) any law or statute or any judgment, order, rule or regulation of any court or governmental agency or body having jurisdiction over the Company or any of its subsidiaries or any of their properties, except, in the case of clauses (A) or (C), for such defaults, breaches, or violations that would not, individually or in the aggregate, have a Material Adverse Effect and no consent, approval, authorization, order, registration or qualification of or with any such court or governmental agency or body is required for the consummation by the Company of the transactions contemplated by this Agreement except such as have been obtained under the Act, the approval by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64" w:lineRule="exact"/>
        <w:rPr>
          <w:rFonts w:ascii="Arial" w:cs="Arial" w:eastAsia="Arial" w:hAnsi="Arial"/>
          <w:sz w:val="16"/>
          <w:szCs w:val="16"/>
          <w:color w:val="auto"/>
        </w:rPr>
      </w:pPr>
    </w:p>
    <w:p>
      <w:pPr>
        <w:ind w:right="120" w:firstLine="444"/>
        <w:spacing w:after="0" w:line="270" w:lineRule="auto"/>
        <w:tabs>
          <w:tab w:leader="none" w:pos="64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respective certificate of incorporation, articles of association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71" w:lineRule="exact"/>
        <w:rPr>
          <w:rFonts w:ascii="Arial" w:cs="Arial" w:eastAsia="Arial" w:hAnsi="Arial"/>
          <w:sz w:val="17"/>
          <w:szCs w:val="17"/>
          <w:color w:val="auto"/>
        </w:rPr>
      </w:pPr>
    </w:p>
    <w:p>
      <w:pPr>
        <w:ind w:right="40" w:firstLine="444"/>
        <w:spacing w:after="0" w:line="253" w:lineRule="auto"/>
        <w:tabs>
          <w:tab w:leader="none" w:pos="73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Prospectus under the caption “Description of Share Capital and Articles of Association,” insofar as they purport to constitute a summary of the terms of the Shares, under the caption “Taxation,” and under the caption “Underwriting,” insofar as they purport to describe the provisions of the laws of the relevant jurisdictions (other than laws, rules and regulations relating to selling restrictions in various foreign jurisdictions) and documents referred to therein, constitute accurate summaries of the matters described therein in all material respects.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240" w:name="page241"/>
    <w:bookmarkEnd w:id="240"/>
    <w:p>
      <w:pPr>
        <w:ind w:firstLine="444"/>
        <w:spacing w:after="0" w:line="252" w:lineRule="auto"/>
        <w:tabs>
          <w:tab w:leader="none" w:pos="689"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 than as set forth in the Pricing Prospectus and the Prospectus, there are no legal or governmental proceedings pending to which the Company or any of its subsidiaries or, to the Company’s knowledge, any officer or director of the Company or any of its subsidiaries, is a party or of which any property of the Company or any of its subsidiaries or, to the Company’s knowledge, any officer or director of the Company or any of its subsidiaries,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86" w:lineRule="exact"/>
        <w:rPr>
          <w:rFonts w:ascii="Arial" w:cs="Arial" w:eastAsia="Arial" w:hAnsi="Arial"/>
          <w:sz w:val="18"/>
          <w:szCs w:val="18"/>
          <w:color w:val="auto"/>
        </w:rPr>
      </w:pPr>
    </w:p>
    <w:p>
      <w:pPr>
        <w:ind w:left="700" w:hanging="256"/>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is not an “investment company,” as such term is defined in the Investment Company Act of 1940, as amended.</w:t>
      </w:r>
    </w:p>
    <w:p>
      <w:pPr>
        <w:spacing w:after="0" w:line="113" w:lineRule="exact"/>
        <w:rPr>
          <w:rFonts w:ascii="Arial" w:cs="Arial" w:eastAsia="Arial" w:hAnsi="Arial"/>
          <w:sz w:val="18"/>
          <w:szCs w:val="18"/>
          <w:color w:val="auto"/>
        </w:rPr>
      </w:pPr>
    </w:p>
    <w:p>
      <w:pPr>
        <w:ind w:right="160" w:firstLine="444"/>
        <w:spacing w:after="0" w:line="281" w:lineRule="auto"/>
        <w:tabs>
          <w:tab w:leader="none" w:pos="689"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and at the earliest time thereafter that the Company or any offering participant made a bona fide offer (within the meaning of Rule 164(h)(2) under the Act) of the Shares, the Company was not and, as of the date hereof, the Company is not, an “ineligible issuer,” as defined under Rule 405 under the Act.</w:t>
      </w:r>
    </w:p>
    <w:p>
      <w:pPr>
        <w:spacing w:after="0" w:line="62" w:lineRule="exact"/>
        <w:rPr>
          <w:rFonts w:ascii="Arial" w:cs="Arial" w:eastAsia="Arial" w:hAnsi="Arial"/>
          <w:sz w:val="17"/>
          <w:szCs w:val="17"/>
          <w:color w:val="auto"/>
        </w:rPr>
      </w:pPr>
    </w:p>
    <w:p>
      <w:pPr>
        <w:jc w:val="both"/>
        <w:ind w:right="140" w:firstLine="444"/>
        <w:spacing w:after="0" w:line="335" w:lineRule="auto"/>
        <w:tabs>
          <w:tab w:leader="none" w:pos="68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Kost, Forer, Gabbay &amp; Kasierer, a member firm of Ernst &amp; Young Global, who has certified certain financial statements of the Company and its subsidiaries, is an independent registered public accounting firm as required by the Act and the rules and regulations of the Commission thereunder.</w:t>
      </w:r>
    </w:p>
    <w:p>
      <w:pPr>
        <w:spacing w:after="0" w:line="21" w:lineRule="exact"/>
        <w:rPr>
          <w:rFonts w:ascii="Arial" w:cs="Arial" w:eastAsia="Arial" w:hAnsi="Arial"/>
          <w:sz w:val="16"/>
          <w:szCs w:val="16"/>
          <w:color w:val="auto"/>
        </w:rPr>
      </w:pPr>
    </w:p>
    <w:p>
      <w:pPr>
        <w:ind w:left="660" w:hanging="216"/>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is a “foreign private issuer” within the meaning of Rule 405 under the Act.</w:t>
      </w:r>
    </w:p>
    <w:p>
      <w:pPr>
        <w:spacing w:after="0" w:line="113" w:lineRule="exact"/>
        <w:rPr>
          <w:rFonts w:ascii="Arial" w:cs="Arial" w:eastAsia="Arial" w:hAnsi="Arial"/>
          <w:sz w:val="18"/>
          <w:szCs w:val="18"/>
          <w:color w:val="auto"/>
        </w:rPr>
      </w:pPr>
    </w:p>
    <w:p>
      <w:pPr>
        <w:ind w:right="80" w:firstLine="444"/>
        <w:spacing w:after="0" w:line="284" w:lineRule="auto"/>
        <w:tabs>
          <w:tab w:leader="none" w:pos="66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(i) complies with the requirements of the Exchange Act applicable to the Company, (ii) provides reasonable assurance regarding the reliability of financial reporting and the preparation of financial statements for external purposes in accordance with generally accepted accounting principles and</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is sufficient to provide reasonable assurance that (A) transactions are executed in accordance with management’s general or specific authorization,</w:t>
      </w:r>
    </w:p>
    <w:p>
      <w:pPr>
        <w:spacing w:after="0" w:line="29" w:lineRule="exact"/>
        <w:rPr>
          <w:rFonts w:ascii="Arial" w:cs="Arial" w:eastAsia="Arial" w:hAnsi="Arial"/>
          <w:sz w:val="16"/>
          <w:szCs w:val="16"/>
          <w:color w:val="auto"/>
        </w:rPr>
      </w:pPr>
    </w:p>
    <w:p>
      <w:pPr>
        <w:ind w:right="60"/>
        <w:spacing w:after="0" w:line="279" w:lineRule="auto"/>
        <w:rPr>
          <w:rFonts w:ascii="Arial" w:cs="Arial" w:eastAsia="Arial" w:hAnsi="Arial"/>
          <w:sz w:val="16"/>
          <w:szCs w:val="16"/>
          <w:color w:val="auto"/>
        </w:rPr>
      </w:pPr>
      <w:r>
        <w:rPr>
          <w:rFonts w:ascii="Arial" w:cs="Arial" w:eastAsia="Arial" w:hAnsi="Arial"/>
          <w:sz w:val="16"/>
          <w:szCs w:val="16"/>
          <w:color w:val="auto"/>
        </w:rPr>
        <w:t>(B)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w:t>
      </w: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241" w:name="page242"/>
    <w:bookmarkEnd w:id="241"/>
    <w:p>
      <w:pPr>
        <w:ind w:left="-7" w:right="40" w:firstLine="444"/>
        <w:spacing w:after="0" w:line="259" w:lineRule="auto"/>
        <w:tabs>
          <w:tab w:leader="none" w:pos="642"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78" w:lineRule="exact"/>
        <w:rPr>
          <w:rFonts w:ascii="Arial" w:cs="Arial" w:eastAsia="Arial" w:hAnsi="Arial"/>
          <w:sz w:val="18"/>
          <w:szCs w:val="18"/>
          <w:color w:val="auto"/>
        </w:rPr>
      </w:pPr>
    </w:p>
    <w:p>
      <w:pPr>
        <w:ind w:left="-7" w:right="200" w:firstLine="444"/>
        <w:spacing w:after="0" w:line="275" w:lineRule="auto"/>
        <w:tabs>
          <w:tab w:leader="none" w:pos="68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are designed to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6" w:lineRule="exact"/>
        <w:rPr>
          <w:rFonts w:ascii="Arial" w:cs="Arial" w:eastAsia="Arial" w:hAnsi="Arial"/>
          <w:sz w:val="17"/>
          <w:szCs w:val="17"/>
          <w:color w:val="auto"/>
        </w:rPr>
      </w:pPr>
    </w:p>
    <w:p>
      <w:pPr>
        <w:ind w:left="-7" w:right="60" w:firstLine="444"/>
        <w:spacing w:after="0" w:line="271" w:lineRule="auto"/>
        <w:tabs>
          <w:tab w:leader="none" w:pos="68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There are no debt securities or preferred shares issued, or guaranteed by, the Company or any of its subsidiaries that are rated by a “nationally recognized statistical rating organization,” as such term is defined in Section 3(a)(62) of the Exchange Act.</w:t>
      </w:r>
    </w:p>
    <w:p>
      <w:pPr>
        <w:spacing w:after="0" w:line="67" w:lineRule="exact"/>
        <w:rPr>
          <w:rFonts w:ascii="Arial" w:cs="Arial" w:eastAsia="Arial" w:hAnsi="Arial"/>
          <w:sz w:val="18"/>
          <w:szCs w:val="18"/>
          <w:color w:val="auto"/>
        </w:rPr>
      </w:pPr>
    </w:p>
    <w:p>
      <w:pPr>
        <w:ind w:left="-7" w:right="420" w:firstLine="444"/>
        <w:spacing w:after="0" w:line="271" w:lineRule="auto"/>
        <w:tabs>
          <w:tab w:leader="none" w:pos="72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authorized, executed and delivered by the Company.</w:t>
      </w:r>
    </w:p>
    <w:p>
      <w:pPr>
        <w:spacing w:after="0" w:line="67" w:lineRule="exact"/>
        <w:rPr>
          <w:rFonts w:ascii="Arial" w:cs="Arial" w:eastAsia="Arial" w:hAnsi="Arial"/>
          <w:sz w:val="18"/>
          <w:szCs w:val="18"/>
          <w:color w:val="auto"/>
        </w:rPr>
      </w:pPr>
    </w:p>
    <w:p>
      <w:pPr>
        <w:ind w:left="-7" w:firstLine="444"/>
        <w:spacing w:after="0" w:line="259" w:lineRule="auto"/>
        <w:tabs>
          <w:tab w:leader="none" w:pos="68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statistical, demographic and market related data included in the Registration Statement, the Pricing Prospectus and the Prospectus are based on or derived from sources that the Company believes to be reliable and accurate in all material respects. To the extent required, the Company has obtained the written consent to the use of such data from such sources.</w:t>
      </w:r>
    </w:p>
    <w:p>
      <w:pPr>
        <w:spacing w:after="0" w:line="78" w:lineRule="exact"/>
        <w:rPr>
          <w:rFonts w:ascii="Arial" w:cs="Arial" w:eastAsia="Arial" w:hAnsi="Arial"/>
          <w:sz w:val="18"/>
          <w:szCs w:val="18"/>
          <w:color w:val="auto"/>
        </w:rPr>
      </w:pPr>
    </w:p>
    <w:p>
      <w:pPr>
        <w:ind w:left="-7" w:right="40" w:firstLine="444"/>
        <w:spacing w:after="0" w:line="284" w:lineRule="auto"/>
        <w:tabs>
          <w:tab w:leader="none" w:pos="68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None of the Company 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(ii) made, offered, promised or authorized any direct or indirect unlawful payment; or</w:t>
      </w:r>
    </w:p>
    <w:p>
      <w:pPr>
        <w:spacing w:after="0" w:line="1" w:lineRule="exact"/>
        <w:rPr>
          <w:rFonts w:ascii="Arial" w:cs="Arial" w:eastAsia="Arial" w:hAnsi="Arial"/>
          <w:sz w:val="16"/>
          <w:szCs w:val="16"/>
          <w:color w:val="auto"/>
        </w:rPr>
      </w:pPr>
    </w:p>
    <w:p>
      <w:pPr>
        <w:ind w:left="-7" w:right="160" w:firstLine="7"/>
        <w:spacing w:after="0" w:line="252" w:lineRule="auto"/>
        <w:tabs>
          <w:tab w:leader="none" w:pos="3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violated or is in violation of any provision of any applicable anti-bribery or anti-corruption law. The Company and each of its subsidiaries and affiliates has instituted and maintained and will continue to maintain policies and procedures reasonably designed to promote and achieve compliance with such laws.</w:t>
      </w:r>
    </w:p>
    <w:p>
      <w:pPr>
        <w:spacing w:after="0" w:line="84" w:lineRule="exact"/>
        <w:rPr>
          <w:rFonts w:ascii="Arial" w:cs="Arial" w:eastAsia="Arial" w:hAnsi="Arial"/>
          <w:sz w:val="18"/>
          <w:szCs w:val="18"/>
          <w:color w:val="auto"/>
        </w:rPr>
      </w:pPr>
    </w:p>
    <w:p>
      <w:pPr>
        <w:ind w:left="-7" w:right="80" w:firstLine="444"/>
        <w:spacing w:after="0" w:line="268" w:lineRule="auto"/>
        <w:tabs>
          <w:tab w:leader="none" w:pos="671"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the requirements of applicable anti-money laundering laws, including, but not limited to, the Bank Secrecy Act of 1970, as amended by the USA PATRIOT ACT of 2001, and the rules and regulations promulgated thereunder, financial recordkeeping and reporting requirements of the Currency and Foreign Transactions Reporting Act of 1970, as amended, the Israel Prohibition on Money Laundering Law, 5760-2000, the Israel Prohibition on Money Laundering Order, 5761-2001, the Israel Prohibition on Terrorist Financing Law, 5765-2005, and the anti-money laundering laws of the various jurisdictions in which the Company and its subsidiaries conduct business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1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53"/>
          </w:cols>
          <w:pgMar w:left="487" w:top="272" w:right="559" w:bottom="1440" w:gutter="0" w:footer="0" w:header="0"/>
        </w:sectPr>
      </w:pPr>
    </w:p>
    <w:bookmarkStart w:id="242" w:name="page243"/>
    <w:bookmarkEnd w:id="242"/>
    <w:p>
      <w:pPr>
        <w:ind w:left="-20" w:firstLine="444"/>
        <w:spacing w:after="0" w:line="285" w:lineRule="auto"/>
        <w:tabs>
          <w:tab w:leader="none" w:pos="7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None of the Company or any of its subsidiaries nor, to the knowledge of the Company, any director, officer, agent, employee or affiliate of the Company or any of its subsidiaries is, or is owned or controlled by one or more persons that are, currently the subject or the target of any sanctions administered or enforced by the United States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or the United Nations Security Council, or a resident or incorporated or engaged in a business in an “Enemy State” pursuant to the Israeli Trade with the Enemy Ordinance, 1939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(a “</w:t>
      </w:r>
      <w:r>
        <w:rPr>
          <w:rFonts w:ascii="Arial" w:cs="Arial" w:eastAsia="Arial" w:hAnsi="Arial"/>
          <w:sz w:val="16"/>
          <w:szCs w:val="16"/>
          <w:b w:val="1"/>
          <w:bCs w:val="1"/>
          <w:color w:val="auto"/>
        </w:rPr>
        <w:t>Sanctioned Jurisdiction</w:t>
      </w:r>
      <w:r>
        <w:rPr>
          <w:rFonts w:ascii="Arial" w:cs="Arial" w:eastAsia="Arial" w:hAnsi="Arial"/>
          <w:sz w:val="16"/>
          <w:szCs w:val="16"/>
          <w:color w:val="auto"/>
        </w:rPr>
        <w:t>”). Except as disclosed in the Registration Statement, the Pricing Disclosure Package and the Prospectus, for the past five years, the Company and its subsidiaries have not directly or knowingly indirectly engaged in, and are not now directly or knowingly indirectly engaged in, any dealings or transactions with any person that at the time of the dealing or transaction is or was the subject or the target of Sanctions or with any Sanctioned Jurisdiction.</w:t>
      </w:r>
    </w:p>
    <w:p>
      <w:pPr>
        <w:spacing w:after="0" w:line="61" w:lineRule="exact"/>
        <w:rPr>
          <w:rFonts w:ascii="Arial" w:cs="Arial" w:eastAsia="Arial" w:hAnsi="Arial"/>
          <w:sz w:val="16"/>
          <w:szCs w:val="16"/>
          <w:color w:val="auto"/>
        </w:rPr>
      </w:pPr>
    </w:p>
    <w:p>
      <w:pPr>
        <w:ind w:left="-20" w:firstLine="444"/>
        <w:spacing w:after="0" w:line="284" w:lineRule="auto"/>
        <w:tabs>
          <w:tab w:leader="none" w:pos="7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therein and the statement of operations, shareholders’ equity and cash flows of the Company and its subsidiaries for the periods specified; said financial statements have been prepared in conformity with U.S. generally accepted accounting principles or any other applicable accounting standards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62" w:lineRule="exact"/>
        <w:rPr>
          <w:rFonts w:ascii="Arial" w:cs="Arial" w:eastAsia="Arial" w:hAnsi="Arial"/>
          <w:sz w:val="16"/>
          <w:szCs w:val="16"/>
          <w:color w:val="auto"/>
        </w:rPr>
      </w:pPr>
    </w:p>
    <w:p>
      <w:pPr>
        <w:ind w:left="-20" w:right="500" w:firstLine="444"/>
        <w:spacing w:after="0" w:line="301" w:lineRule="auto"/>
        <w:tabs>
          <w:tab w:leader="none" w:pos="73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There are no persons with registration rights or similar rights to have any securities registered pursuant to the Registration Statement or otherwise registered by the Company under the Act, except as have been validly waived or complied with.</w:t>
      </w:r>
    </w:p>
    <w:p>
      <w:pPr>
        <w:spacing w:after="0" w:line="44" w:lineRule="exact"/>
        <w:rPr>
          <w:rFonts w:ascii="Arial" w:cs="Arial" w:eastAsia="Arial" w:hAnsi="Arial"/>
          <w:sz w:val="17"/>
          <w:szCs w:val="17"/>
          <w:color w:val="auto"/>
        </w:rPr>
      </w:pPr>
    </w:p>
    <w:p>
      <w:pPr>
        <w:ind w:left="-20" w:right="180" w:firstLine="444"/>
        <w:spacing w:after="0" w:line="259" w:lineRule="auto"/>
        <w:tabs>
          <w:tab w:leader="none" w:pos="75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From the time of the initial confidential submission of a registration statement relating to the Shares with the Commission (or, if earlier, the first date on which a Testing-the-Waters Communication was made) through the date hereof, the Company has been and is an “emerging growth company” as defined in Section 2(a)(19)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00" w:top="272" w:right="519" w:bottom="1440" w:gutter="0" w:footer="0" w:header="0"/>
        </w:sectPr>
      </w:pPr>
    </w:p>
    <w:bookmarkStart w:id="243" w:name="page244"/>
    <w:bookmarkEnd w:id="243"/>
    <w:p>
      <w:pPr>
        <w:jc w:val="both"/>
        <w:ind w:left="-40" w:right="160" w:firstLine="444"/>
        <w:spacing w:after="0" w:line="275" w:lineRule="auto"/>
        <w:tabs>
          <w:tab w:leader="none" w:pos="718" w:val="left"/>
        </w:tabs>
        <w:numPr>
          <w:ilvl w:val="0"/>
          <w:numId w:val="1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of the Company and its subsidiaries have filed all federal, state, local and foreign income and franchise tax returns required to be filed through the date hereof, subject to permitted extensions, have paid all such taxes due (except where the failure to file or pay would not, individually or in the aggregate, reasonably be expected to have a Material Adverse Effect), and no material tax deficiency has been determined adversely to the Company.</w:t>
      </w:r>
    </w:p>
    <w:p>
      <w:pPr>
        <w:spacing w:after="0" w:line="66" w:lineRule="exact"/>
        <w:rPr>
          <w:rFonts w:ascii="Arial" w:cs="Arial" w:eastAsia="Arial" w:hAnsi="Arial"/>
          <w:sz w:val="17"/>
          <w:szCs w:val="17"/>
          <w:color w:val="auto"/>
        </w:rPr>
      </w:pPr>
    </w:p>
    <w:p>
      <w:pPr>
        <w:ind w:left="-40" w:right="100" w:firstLine="444"/>
        <w:spacing w:after="0" w:line="270" w:lineRule="auto"/>
        <w:tabs>
          <w:tab w:leader="none" w:pos="67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and its subsidiaries carry, or are covered by, insurance for the conduct of their respective businesses, operations, personnel and the value of their respective properties, if applicable, in such amounts and covering such risks as the Company reasonably believes is adequate and customary for companies engaged in similar businesses. The Company has no reason to believe that it or any of its subsidiaries will not be able to renew its respective existing insurance coverage as and when such coverage expires or to obtain similar coverage from similar insurers as may be necessary to continue its business, except where this would not reasonably be expected, individually or in the aggregate, to have a Material Adverse Effect.</w:t>
      </w:r>
    </w:p>
    <w:p>
      <w:pPr>
        <w:spacing w:after="0" w:line="71" w:lineRule="exact"/>
        <w:rPr>
          <w:rFonts w:ascii="Arial" w:cs="Arial" w:eastAsia="Arial" w:hAnsi="Arial"/>
          <w:sz w:val="17"/>
          <w:szCs w:val="17"/>
          <w:color w:val="auto"/>
        </w:rPr>
      </w:pPr>
    </w:p>
    <w:p>
      <w:pPr>
        <w:ind w:left="-40" w:right="20" w:firstLine="444"/>
        <w:spacing w:after="0" w:line="251" w:lineRule="auto"/>
        <w:tabs>
          <w:tab w:leader="none" w:pos="7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(i) is not in violation of any, laws, regulations, ordinances, rules, orders, judgments, decrees, permits or other legal requirements of any governmental authority, including, without limitation, any international, national, state, provincial, regional, or local authority, relating to the use, management, disposal or release of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applicable to the Company, and (ii) has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w:t>
      </w:r>
    </w:p>
    <w:p>
      <w:pPr>
        <w:spacing w:after="0" w:line="89" w:lineRule="exact"/>
        <w:rPr>
          <w:rFonts w:ascii="Arial" w:cs="Arial" w:eastAsia="Arial" w:hAnsi="Arial"/>
          <w:sz w:val="18"/>
          <w:szCs w:val="18"/>
          <w:color w:val="auto"/>
        </w:rPr>
      </w:pPr>
    </w:p>
    <w:p>
      <w:pPr>
        <w:ind w:left="-40" w:firstLine="444"/>
        <w:spacing w:after="0" w:line="284" w:lineRule="auto"/>
        <w:tabs>
          <w:tab w:leader="none" w:pos="73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(i) each “employee benefit plan” within the meaning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subject to ERISA, for which the Company or any member of its “</w:t>
      </w:r>
      <w:r>
        <w:rPr>
          <w:rFonts w:ascii="Arial" w:cs="Arial" w:eastAsia="Arial" w:hAnsi="Arial"/>
          <w:sz w:val="16"/>
          <w:szCs w:val="16"/>
          <w:b w:val="1"/>
          <w:bCs w:val="1"/>
          <w:color w:val="auto"/>
        </w:rPr>
        <w:t>Controlled Group</w:t>
      </w:r>
      <w:r>
        <w:rPr>
          <w:rFonts w:ascii="Arial" w:cs="Arial" w:eastAsia="Arial" w:hAnsi="Arial"/>
          <w:sz w:val="16"/>
          <w:szCs w:val="16"/>
          <w:color w:val="auto"/>
        </w:rPr>
        <w:t>”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 (iv) there is no pending audit or investigation by the Internal Revenue Service, the U.S. Department of Labor, the Pension Benefit Guaranty Corporation or any other governmental agency with respect to any Plan that would reasonably be expected to result in liability to the Company; and (v) the Company has not incurred any liability for any prohibited transaction, the failure of any Plan to meet the minimum funding standards required by law, including by ERISA or the Code, or any complete or partial withdrawal liability with respect to any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520" w:top="272" w:right="519" w:bottom="1440" w:gutter="0" w:footer="0" w:header="0"/>
        </w:sectPr>
      </w:pPr>
    </w:p>
    <w:bookmarkStart w:id="244" w:name="page245"/>
    <w:bookmarkEnd w:id="244"/>
    <w:p>
      <w:pPr>
        <w:ind w:left="-20" w:right="100" w:firstLine="444"/>
        <w:spacing w:after="0" w:line="271" w:lineRule="auto"/>
        <w:tabs>
          <w:tab w:leader="none" w:pos="6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labor dispute with the employees of the Company or any of its subsidiaries exists or, to the knowledge of the Company, is threatened, that would, individually or in the aggregate, reasonably be expected to have a Material Adverse Effect.</w:t>
      </w:r>
    </w:p>
    <w:p>
      <w:pPr>
        <w:spacing w:after="0" w:line="67" w:lineRule="exact"/>
        <w:rPr>
          <w:rFonts w:ascii="Arial" w:cs="Arial" w:eastAsia="Arial" w:hAnsi="Arial"/>
          <w:sz w:val="18"/>
          <w:szCs w:val="18"/>
          <w:color w:val="auto"/>
        </w:rPr>
      </w:pPr>
    </w:p>
    <w:p>
      <w:pPr>
        <w:ind w:left="-20" w:right="80" w:firstLine="444"/>
        <w:spacing w:after="0" w:line="293" w:lineRule="auto"/>
        <w:tabs>
          <w:tab w:leader="none" w:pos="67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neither the Company nor any of its subsidiaries has sent or received any written communication regarding termination of, or intent not to renew, any of the contracts or agreements referred to or described in the Pricing Prospectus or the Prospectus, or specifically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53" w:lineRule="exact"/>
        <w:rPr>
          <w:rFonts w:ascii="Arial" w:cs="Arial" w:eastAsia="Arial" w:hAnsi="Arial"/>
          <w:sz w:val="16"/>
          <w:szCs w:val="16"/>
          <w:color w:val="auto"/>
        </w:rPr>
      </w:pPr>
    </w:p>
    <w:p>
      <w:pPr>
        <w:ind w:left="-20" w:right="40" w:firstLine="444"/>
        <w:spacing w:after="0" w:line="293" w:lineRule="auto"/>
        <w:tabs>
          <w:tab w:leader="none" w:pos="7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has not, and, to its knowledge, no one acting on its behalf has, other than as contemplated in this Agreement, taken, directly or indirectly, any action designed to or that could reasonably be expected to cause or result in any stabilization or manipulation of the price of the Shares. In addition, the Company has not engaged in any form of solicitation, advertising or other action constituting an offer or a sale under the Israeli Securities Law, 5728-1968, as amended, and the regulations promulgated thereunder (collectively, the “</w:t>
      </w:r>
      <w:r>
        <w:rPr>
          <w:rFonts w:ascii="Arial" w:cs="Arial" w:eastAsia="Arial" w:hAnsi="Arial"/>
          <w:sz w:val="16"/>
          <w:szCs w:val="16"/>
          <w:b w:val="1"/>
          <w:bCs w:val="1"/>
          <w:color w:val="auto"/>
        </w:rPr>
        <w:t>Israeli Securities Law</w:t>
      </w:r>
      <w:r>
        <w:rPr>
          <w:rFonts w:ascii="Arial" w:cs="Arial" w:eastAsia="Arial" w:hAnsi="Arial"/>
          <w:sz w:val="16"/>
          <w:szCs w:val="16"/>
          <w:color w:val="auto"/>
        </w:rPr>
        <w:t>”) in connection with the transactions contemplated hereby, which would require the Company to publish a prospectus in the State of Israel under the laws of the State of Israel.</w:t>
      </w:r>
    </w:p>
    <w:p>
      <w:pPr>
        <w:spacing w:after="0" w:line="53" w:lineRule="exact"/>
        <w:rPr>
          <w:rFonts w:ascii="Arial" w:cs="Arial" w:eastAsia="Arial" w:hAnsi="Arial"/>
          <w:sz w:val="16"/>
          <w:szCs w:val="16"/>
          <w:color w:val="auto"/>
        </w:rPr>
      </w:pPr>
    </w:p>
    <w:p>
      <w:pPr>
        <w:ind w:left="-20" w:right="280" w:firstLine="444"/>
        <w:spacing w:after="0" w:line="271" w:lineRule="auto"/>
        <w:tabs>
          <w:tab w:leader="none" w:pos="6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are no business relationships or related-party transactions involving the Company or any other person required to be described in the Registration Statement, the Pricing Prospectus or the Prospectus that have not been described as required.</w:t>
      </w:r>
    </w:p>
    <w:p>
      <w:pPr>
        <w:spacing w:after="0" w:line="67" w:lineRule="exact"/>
        <w:rPr>
          <w:rFonts w:ascii="Arial" w:cs="Arial" w:eastAsia="Arial" w:hAnsi="Arial"/>
          <w:sz w:val="18"/>
          <w:szCs w:val="18"/>
          <w:color w:val="auto"/>
        </w:rPr>
      </w:pPr>
    </w:p>
    <w:p>
      <w:pPr>
        <w:ind w:left="-20" w:right="240" w:firstLine="444"/>
        <w:spacing w:after="0" w:line="271" w:lineRule="auto"/>
        <w:tabs>
          <w:tab w:leader="none" w:pos="85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pursuant to this Agreement, there is no broker, finder or other party that is entitled to receive from the Company any brokerage or finder’s fee or other fee or commission as a result of any transactions contemplated by this Agreement.</w:t>
      </w:r>
    </w:p>
    <w:p>
      <w:pPr>
        <w:spacing w:after="0" w:line="67" w:lineRule="exact"/>
        <w:rPr>
          <w:rFonts w:ascii="Arial" w:cs="Arial" w:eastAsia="Arial" w:hAnsi="Arial"/>
          <w:sz w:val="18"/>
          <w:szCs w:val="18"/>
          <w:color w:val="auto"/>
        </w:rPr>
      </w:pPr>
    </w:p>
    <w:p>
      <w:pPr>
        <w:ind w:left="-20" w:firstLine="444"/>
        <w:spacing w:after="0" w:line="269" w:lineRule="auto"/>
        <w:tabs>
          <w:tab w:leader="none" w:pos="75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the State of Israel. The Company has the power to submit, and pursuant to this Agreement, has legally, validly, effectively and irrevocably submitted, to the personal jurisdiction of each United States federal court and New York state court located in the Borough of Manhattan, in the City of New York, New York, United States of America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the Company has the power to designate, appoint and authorize, and pursuant to this Agreement, has legally, validly, effectively and irrevocably designated, appointed and authorized an agent for service of process in any action arising out of or relating to this Agreement or the transactions contemplated hereby in any New York Court, and service of process effected on such authorized agent will be effective to confer valid personal jurisdiction over the Company.</w:t>
      </w:r>
    </w:p>
    <w:p>
      <w:pPr>
        <w:spacing w:after="0" w:line="71" w:lineRule="exact"/>
        <w:rPr>
          <w:rFonts w:ascii="Arial" w:cs="Arial" w:eastAsia="Arial" w:hAnsi="Arial"/>
          <w:sz w:val="17"/>
          <w:szCs w:val="17"/>
          <w:color w:val="auto"/>
        </w:rPr>
      </w:pPr>
    </w:p>
    <w:p>
      <w:pPr>
        <w:ind w:left="-20" w:right="100" w:firstLine="444"/>
        <w:spacing w:after="0" w:line="255" w:lineRule="auto"/>
        <w:tabs>
          <w:tab w:leader="none" w:pos="75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as provided by laws or statutes generally applicable to transactions of the type described in this Agreement, neither the Company nor any of its respective properties, assets or revenues has any right of immunity under the laws of New York or United States law, from any legal action, suit or proceeding, from the giving of any relief in any such legal action, suit or proceeding, from set-off or counterclaim, from the jurisdiction of any New York or United States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72" w:right="519" w:bottom="1440" w:gutter="0" w:footer="0" w:header="0"/>
        </w:sectPr>
      </w:pPr>
    </w:p>
    <w:bookmarkStart w:id="245" w:name="page246"/>
    <w:bookmarkEnd w:id="245"/>
    <w:p>
      <w:pPr>
        <w:ind w:right="3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this Agreement.</w:t>
      </w:r>
    </w:p>
    <w:p>
      <w:pPr>
        <w:spacing w:after="0" w:line="87" w:lineRule="exact"/>
        <w:rPr>
          <w:sz w:val="20"/>
          <w:szCs w:val="20"/>
          <w:color w:val="auto"/>
        </w:rPr>
      </w:pPr>
    </w:p>
    <w:p>
      <w:pPr>
        <w:ind w:firstLine="444"/>
        <w:spacing w:after="0" w:line="259" w:lineRule="auto"/>
        <w:tabs>
          <w:tab w:leader="none" w:pos="7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contained in the Registration Statement, the Pricing Prospectus or the Prospectus has been made or reaffirmed without a reasonable basis or has been disclosed other than in good faith.</w:t>
      </w:r>
    </w:p>
    <w:p>
      <w:pPr>
        <w:spacing w:after="0" w:line="78" w:lineRule="exact"/>
        <w:rPr>
          <w:rFonts w:ascii="Arial" w:cs="Arial" w:eastAsia="Arial" w:hAnsi="Arial"/>
          <w:sz w:val="18"/>
          <w:szCs w:val="18"/>
          <w:color w:val="auto"/>
        </w:rPr>
      </w:pPr>
    </w:p>
    <w:p>
      <w:pPr>
        <w:ind w:right="60" w:firstLine="444"/>
        <w:spacing w:after="0" w:line="281" w:lineRule="auto"/>
        <w:tabs>
          <w:tab w:leader="none" w:pos="7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Company has not received any funding, grants or subsidies from or on behalf of or under the authority of the Israel Innovation Authority of the Israeli Ministry of Economy and Industry, the Authority for Investment and Development of Industry and the Economy of the State of Israel, or any other governmental or regulatory agency or authority or any bi- or multi-national grant program, framework or foundation.</w:t>
      </w:r>
    </w:p>
    <w:p>
      <w:pPr>
        <w:spacing w:after="0" w:line="62" w:lineRule="exact"/>
        <w:rPr>
          <w:rFonts w:ascii="Arial" w:cs="Arial" w:eastAsia="Arial" w:hAnsi="Arial"/>
          <w:sz w:val="17"/>
          <w:szCs w:val="17"/>
          <w:color w:val="auto"/>
        </w:rPr>
      </w:pPr>
    </w:p>
    <w:p>
      <w:pPr>
        <w:ind w:left="720" w:hanging="276"/>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has validly appointed Global-e US Inc. as its authorized agent for service of process in the United States.</w:t>
      </w:r>
    </w:p>
    <w:p>
      <w:pPr>
        <w:spacing w:after="0" w:line="113" w:lineRule="exact"/>
        <w:rPr>
          <w:rFonts w:ascii="Arial" w:cs="Arial" w:eastAsia="Arial" w:hAnsi="Arial"/>
          <w:sz w:val="18"/>
          <w:szCs w:val="18"/>
          <w:color w:val="auto"/>
        </w:rPr>
      </w:pPr>
    </w:p>
    <w:p>
      <w:pPr>
        <w:ind w:right="120" w:firstLine="444"/>
        <w:spacing w:after="0" w:line="275" w:lineRule="auto"/>
        <w:tabs>
          <w:tab w:leader="none" w:pos="73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the State of Israel. The irrevocable and unconditional waiver and agreement of the Company contained in Section 22 not to plead or claim any such immunity in any legal action, suit or proceeding based on this Agreement is valid and binding under the laws of the State of Israel.</w:t>
      </w:r>
    </w:p>
    <w:p>
      <w:pPr>
        <w:spacing w:after="0" w:line="66" w:lineRule="exact"/>
        <w:rPr>
          <w:rFonts w:ascii="Arial" w:cs="Arial" w:eastAsia="Arial" w:hAnsi="Arial"/>
          <w:sz w:val="17"/>
          <w:szCs w:val="17"/>
          <w:color w:val="auto"/>
        </w:rPr>
      </w:pPr>
    </w:p>
    <w:p>
      <w:pPr>
        <w:ind w:right="60" w:firstLine="444"/>
        <w:spacing w:after="0" w:line="267" w:lineRule="auto"/>
        <w:tabs>
          <w:tab w:leader="none" w:pos="69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Assuming that (A) the Underwriters are not otherwise subject to taxation in the State of Israel due to Israeli tax residence or the existence of a permanent establishment in Israel or any presence, including but not limited to any branch, registered company or representative office (“</w:t>
      </w:r>
      <w:r>
        <w:rPr>
          <w:rFonts w:ascii="Arial" w:cs="Arial" w:eastAsia="Arial" w:hAnsi="Arial"/>
          <w:sz w:val="17"/>
          <w:szCs w:val="17"/>
          <w:b w:val="1"/>
          <w:bCs w:val="1"/>
          <w:color w:val="auto"/>
        </w:rPr>
        <w:t>Israeli</w:t>
      </w:r>
      <w:r>
        <w:rPr>
          <w:rFonts w:ascii="Arial" w:cs="Arial" w:eastAsia="Arial" w:hAnsi="Arial"/>
          <w:sz w:val="17"/>
          <w:szCs w:val="17"/>
          <w:color w:val="auto"/>
        </w:rPr>
        <w:t xml:space="preserve"> </w:t>
      </w:r>
      <w:r>
        <w:rPr>
          <w:rFonts w:ascii="Arial" w:cs="Arial" w:eastAsia="Arial" w:hAnsi="Arial"/>
          <w:sz w:val="17"/>
          <w:szCs w:val="17"/>
          <w:b w:val="1"/>
          <w:bCs w:val="1"/>
          <w:color w:val="auto"/>
        </w:rPr>
        <w:t>Affiliates</w:t>
      </w:r>
      <w:r>
        <w:rPr>
          <w:rFonts w:ascii="Arial" w:cs="Arial" w:eastAsia="Arial" w:hAnsi="Arial"/>
          <w:sz w:val="17"/>
          <w:szCs w:val="17"/>
          <w:color w:val="auto"/>
        </w:rPr>
        <w:t>”), or due to any former connection between the Underwriters and Israel, and (B) the Underwriters’ services under this Agreement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entirely outside of Israel, none of (i) the sale and delivery of the Shares by the Selling Shareholders; (ii) the sale and delivery by the Underwriters of the Shares to purchasers thereof; or (iii) the execution and delivery of, and the consummation of the transactions contemplated by this Agreement or any other document to be furnished hereunder will be subject to any tax (including interest and penalties) imposed on any Underwriter by the State of Israel or any taxing authority or other political subdivision thereof, whether imposed directly or through withholding (other than any withholding taxes which the Underwriters may be required to withhold pursuant to Israeli law from the purchase price payable to Selling Shareholders hereunder as contemplated under Section 5(a)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246" w:name="page247"/>
    <w:bookmarkEnd w:id="246"/>
    <w:p>
      <w:pPr>
        <w:ind w:left="-40" w:firstLine="444"/>
        <w:spacing w:after="0" w:line="266" w:lineRule="auto"/>
        <w:tabs>
          <w:tab w:leader="none" w:pos="738"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and each of its Israeli subsidiaries is in compliance with all conditions and requirements stipulated under any applicable law and by any instruments of approval and tax rulings (the “</w:t>
      </w:r>
      <w:r>
        <w:rPr>
          <w:rFonts w:ascii="Arial" w:cs="Arial" w:eastAsia="Arial" w:hAnsi="Arial"/>
          <w:sz w:val="17"/>
          <w:szCs w:val="17"/>
          <w:b w:val="1"/>
          <w:bCs w:val="1"/>
          <w:color w:val="auto"/>
        </w:rPr>
        <w:t>Ruling</w:t>
      </w:r>
      <w:r>
        <w:rPr>
          <w:rFonts w:ascii="Arial" w:cs="Arial" w:eastAsia="Arial" w:hAnsi="Arial"/>
          <w:sz w:val="17"/>
          <w:szCs w:val="17"/>
          <w:color w:val="auto"/>
        </w:rPr>
        <w:t>”) granted to it with respect to any “Approved Enterprise,” “Benefited Enterprise,” or “Industrial Company” status of the Company or its Israeli subsidiaries or any of their facilities as well as with respect to any other tax benefits claimed or received by any of them, including any “Preferred Enterprise,” “Preferred Technological Enterprise” or “Special Preferred Technological Enterprise” status or benefits (collectively, “</w:t>
      </w:r>
      <w:r>
        <w:rPr>
          <w:rFonts w:ascii="Arial" w:cs="Arial" w:eastAsia="Arial" w:hAnsi="Arial"/>
          <w:sz w:val="17"/>
          <w:szCs w:val="17"/>
          <w:b w:val="1"/>
          <w:bCs w:val="1"/>
          <w:color w:val="auto"/>
        </w:rPr>
        <w:t>Tax Incentive Program</w:t>
      </w:r>
      <w:r>
        <w:rPr>
          <w:rFonts w:ascii="Arial" w:cs="Arial" w:eastAsia="Arial" w:hAnsi="Arial"/>
          <w:sz w:val="17"/>
          <w:szCs w:val="17"/>
          <w:color w:val="auto"/>
        </w:rPr>
        <w:t>”) and by Israeli laws and regulations relating to any Tax Incentive Program; (ii) all information supplied by the Company and its Israeli subsidiaries with respect to applications or notifications relating to any Tax Incentive Program (including in connection with any Ruling) was true, correct and complete when supplied to the appropriate authorities; and (iii) neither the Company nor any of its Israeli subsidiaries has received any notice of any proceeding or investigation relating to revocation or modification or denial of any current or past Tax Incentive Program granted with respect to the Company and its Israeli subsidiaries or any of their facilities or any such status or benefits, in each case, except for any failure to comply, inaccuracy or notice (as appropriate) that would not, individually or in the aggregate, reasonably be expected to have a Material Adverse Effect.</w:t>
      </w:r>
    </w:p>
    <w:p>
      <w:pPr>
        <w:spacing w:after="0" w:line="73" w:lineRule="exact"/>
        <w:rPr>
          <w:rFonts w:ascii="Arial" w:cs="Arial" w:eastAsia="Arial" w:hAnsi="Arial"/>
          <w:sz w:val="17"/>
          <w:szCs w:val="17"/>
          <w:color w:val="auto"/>
        </w:rPr>
      </w:pPr>
    </w:p>
    <w:p>
      <w:pPr>
        <w:ind w:left="-40" w:right="20" w:firstLine="444"/>
        <w:spacing w:after="0" w:line="267" w:lineRule="auto"/>
        <w:tabs>
          <w:tab w:leader="none" w:pos="73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obligations of the Company to provide statutory severance pay to all its currently engaged employees in Israel (“</w:t>
      </w:r>
      <w:r>
        <w:rPr>
          <w:rFonts w:ascii="Arial" w:cs="Arial" w:eastAsia="Arial" w:hAnsi="Arial"/>
          <w:sz w:val="17"/>
          <w:szCs w:val="17"/>
          <w:b w:val="1"/>
          <w:bCs w:val="1"/>
          <w:color w:val="auto"/>
        </w:rPr>
        <w:t>Israeli Employees</w:t>
      </w:r>
      <w:r>
        <w:rPr>
          <w:rFonts w:ascii="Arial" w:cs="Arial" w:eastAsia="Arial" w:hAnsi="Arial"/>
          <w:sz w:val="17"/>
          <w:szCs w:val="17"/>
          <w:color w:val="auto"/>
        </w:rPr>
        <w:t>”) are, with such exceptions as are not material, in accordance with Section 14 of the Israeli Severance Pay Law (5723-1963) (the “</w:t>
      </w:r>
      <w:r>
        <w:rPr>
          <w:rFonts w:ascii="Arial" w:cs="Arial" w:eastAsia="Arial" w:hAnsi="Arial"/>
          <w:sz w:val="17"/>
          <w:szCs w:val="17"/>
          <w:b w:val="1"/>
          <w:bCs w:val="1"/>
          <w:color w:val="auto"/>
        </w:rPr>
        <w:t>Severance Pay Law</w:t>
      </w:r>
      <w:r>
        <w:rPr>
          <w:rFonts w:ascii="Arial" w:cs="Arial" w:eastAsia="Arial" w:hAnsi="Arial"/>
          <w:sz w:val="17"/>
          <w:szCs w:val="17"/>
          <w:color w:val="auto"/>
        </w:rPr>
        <w:t>”) and are fully funded or are accrued on the financial statements of the Company, and all such employees have been subject to the provisions of Section 14 of the Severance Pay Law with respect to their entire salary, as defined under the Severance Pay Law from the date of commencement of their employment with the Company, and the Company has been, with such exceptions as are not material, in full compliance with the technical and substantive requirements for a Section 14 Arrangement with respect to severance pay with respect to 100% of such salary for which severance pay is due under the Severance Pay Law; and all amounts that the Company is required by contract or applicable law either (A) to deduct from Israeli Employees’ salaries or to transfer to such Israeli Employees’ pension or provident, life insurance, incapacity insurance, advance study fund or other similar funds or (B) to withhold from their Israeli Employees’ salaries and benefits and to pay to any Israeli governmental authority as required by applicable Israeli tax Law, have, in each case, been duly deducted, transferred, withheld and paid, and the Company has no outstanding obligation to make any such deduction, transfer, withholding or payment.</w:t>
      </w:r>
    </w:p>
    <w:p>
      <w:pPr>
        <w:spacing w:after="0" w:line="72" w:lineRule="exact"/>
        <w:rPr>
          <w:rFonts w:ascii="Arial" w:cs="Arial" w:eastAsia="Arial" w:hAnsi="Arial"/>
          <w:sz w:val="17"/>
          <w:szCs w:val="17"/>
          <w:color w:val="auto"/>
        </w:rPr>
      </w:pPr>
    </w:p>
    <w:p>
      <w:pPr>
        <w:ind w:left="-40" w:right="160" w:firstLine="444"/>
        <w:spacing w:after="0" w:line="307" w:lineRule="auto"/>
        <w:tabs>
          <w:tab w:leader="none" w:pos="81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payments to be made by or on behalf of the Company under this Agreement and, except as disclosed in the Registration Statement, the Pricing Prospectus and the Prospectus, all dividends and other distributions declared and payable on the Shares may, under the current laws and regulations of Israel, be paid in United States dollars that may be converted into another currency and freely transferred out of Israel.</w:t>
      </w:r>
    </w:p>
    <w:p>
      <w:pPr>
        <w:spacing w:after="0" w:line="42" w:lineRule="exact"/>
        <w:rPr>
          <w:rFonts w:ascii="Arial" w:cs="Arial" w:eastAsia="Arial" w:hAnsi="Arial"/>
          <w:sz w:val="16"/>
          <w:szCs w:val="16"/>
          <w:color w:val="auto"/>
        </w:rPr>
      </w:pPr>
    </w:p>
    <w:p>
      <w:pPr>
        <w:ind w:left="-40" w:right="120" w:firstLine="444"/>
        <w:spacing w:after="0" w:line="290" w:lineRule="auto"/>
        <w:tabs>
          <w:tab w:leader="none" w:pos="73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sufficient rights to use all patents, inventions, copyrights, know how (including trade secrets and other unpatented and/or unpatentable proprietary or confidential information, systems or procedures), trademarks, service marks and trade names necessary for the conduct of their respective businesses as described in the Pricing Prospectus and the Prospectus, except as would not, individually or in the aggregate, have a Material Adverse Effect, and neither the Company nor any of its subsidiaries has received any notice of infringement or violation of asserted intellectual property rights of others with respect to any of the foregoing which, singly or in the aggregate, if the subject of an unfavorable decision, ruling or finding, would have a Material Adverse Effect.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20" w:top="272" w:right="519" w:bottom="1440" w:gutter="0" w:footer="0" w:header="0"/>
        </w:sectPr>
      </w:pPr>
    </w:p>
    <w:bookmarkStart w:id="247" w:name="page248"/>
    <w:bookmarkEnd w:id="247"/>
    <w:p>
      <w:pPr>
        <w:ind w:left="-100" w:firstLine="444"/>
        <w:spacing w:after="0" w:line="283" w:lineRule="auto"/>
        <w:tabs>
          <w:tab w:leader="none" w:pos="678"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Company’s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to the knowledge of the Company, of all material bugs, errors, defects, Trojan horses, time bombs, malware and other corruptants. The Company and its subsidiaries have implemented and maintain commercially reasonable controls, policies, procedures, safeguards and other measures to maintain and protect their material confidential information and the integrity, availability and security of the IT Systems and data (including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used in connection with their business,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in all material respects with all applicable laws or statutes (including, but not limited to, the Israeli Privacy Protection Regulations, Information, Security, 2017)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68" w:lineRule="exact"/>
        <w:rPr>
          <w:rFonts w:ascii="Arial" w:cs="Arial" w:eastAsia="Arial" w:hAnsi="Arial"/>
          <w:sz w:val="16"/>
          <w:szCs w:val="16"/>
          <w:color w:val="auto"/>
        </w:rPr>
      </w:pPr>
    </w:p>
    <w:p>
      <w:pPr>
        <w:ind w:left="-100" w:right="40" w:firstLine="444"/>
        <w:spacing w:after="0" w:line="252" w:lineRule="auto"/>
        <w:tabs>
          <w:tab w:leader="none" w:pos="6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and permits issued by the appropriate federal, state or foreign regulatory authorities necessary or material to the conduct of their business as now conducted, except where the failure to obtain such certificates, authorizations or permits would not have a Material Adverse Effect,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except as described in each of the Registration Statement, the Pricing Prospectus and the Prospectus.</w:t>
      </w:r>
    </w:p>
    <w:p>
      <w:pPr>
        <w:spacing w:after="0" w:line="87" w:lineRule="exact"/>
        <w:rPr>
          <w:sz w:val="20"/>
          <w:szCs w:val="20"/>
          <w:color w:val="auto"/>
        </w:rPr>
      </w:pPr>
    </w:p>
    <w:p>
      <w:pPr>
        <w:ind w:left="-100" w:right="180" w:firstLine="444"/>
        <w:spacing w:after="0" w:line="297" w:lineRule="auto"/>
        <w:tabs>
          <w:tab w:leader="none" w:pos="73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final judgment for a fixed or determined sum of money rendered by any New York Court having jurisdiction under its own laws in respect of any suit, action or proceeding against the Company based upon this Agreement would be declared enforceable against the Company by the courts of the State of Israel, without reconsideration or reexamination of the merits, subject to the conditions, qualifications and restrictions described under the caption “Enforceability of Civil Liabilities” in the Registration Statement, the Pricing Disclosure Package and the Prospectus.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80" w:top="272" w:right="579" w:bottom="1440" w:gutter="0" w:footer="0" w:header="0"/>
        </w:sectPr>
      </w:pPr>
    </w:p>
    <w:bookmarkStart w:id="248" w:name="page249"/>
    <w:bookmarkEnd w:id="248"/>
    <w:p>
      <w:pPr>
        <w:ind w:left="-7" w:right="140" w:firstLine="444"/>
        <w:spacing w:after="0" w:line="275" w:lineRule="auto"/>
        <w:tabs>
          <w:tab w:leader="none" w:pos="8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U.S. federal income tax purposes for its current taxable year or in the foreseeable future.</w:t>
      </w:r>
    </w:p>
    <w:p>
      <w:pPr>
        <w:spacing w:after="0" w:line="65" w:lineRule="exact"/>
        <w:rPr>
          <w:sz w:val="20"/>
          <w:szCs w:val="20"/>
          <w:color w:val="auto"/>
        </w:rPr>
      </w:pPr>
    </w:p>
    <w:p>
      <w:pPr>
        <w:ind w:left="-7" w:right="660" w:firstLine="444"/>
        <w:spacing w:after="0" w:line="271" w:lineRule="auto"/>
        <w:tabs>
          <w:tab w:leader="none" w:pos="60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Selling Shareholders severally and not jointly represents and warrants to, and agrees with, each of the Underwriters and the Company that:</w:t>
      </w:r>
    </w:p>
    <w:p>
      <w:pPr>
        <w:spacing w:after="0" w:line="68" w:lineRule="exact"/>
        <w:rPr>
          <w:sz w:val="20"/>
          <w:szCs w:val="20"/>
          <w:color w:val="auto"/>
        </w:rPr>
      </w:pPr>
    </w:p>
    <w:p>
      <w:pPr>
        <w:ind w:left="-7" w:firstLine="444"/>
        <w:spacing w:after="0" w:line="251" w:lineRule="auto"/>
        <w:tabs>
          <w:tab w:leader="none" w:pos="67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consents, approvals, authorizations and orders necessary for the execution and delivery by such Selling Shareholder of this Agreement, the Power of Attorney (as defined below) and the Paying Agent Agreement (as defined below), and for the sale and delivery of the Shares to be sold by such Selling Shareholder hereunder, have been obtained except for the registration under the Act of the Shares and such consents, approvals, authorizations and orders as may be required under state securities or Blue Sky laws, the rules and regulations of FINRA or the approval for listing on the Exchange in connection with the purchase and distribution of the Shares by the Underwriters and except for such consents, approvals, authorizations, or orders that have been obtained or will be obtained prior to the Time of Delivery; and such Selling Shareholder has full right, power and authority to enter into this Agreement, the Power of Attorney and the Paying Agent Agreement and to sell, assign, transfer and deliver the Shares to be sold by such Selling Shareholder hereunder.</w:t>
      </w:r>
    </w:p>
    <w:p>
      <w:pPr>
        <w:spacing w:after="0" w:line="87" w:lineRule="exact"/>
        <w:rPr>
          <w:rFonts w:ascii="Arial" w:cs="Arial" w:eastAsia="Arial" w:hAnsi="Arial"/>
          <w:sz w:val="18"/>
          <w:szCs w:val="18"/>
          <w:color w:val="auto"/>
        </w:rPr>
      </w:pPr>
    </w:p>
    <w:p>
      <w:pPr>
        <w:ind w:left="-7" w:right="60" w:firstLine="444"/>
        <w:spacing w:after="0" w:line="281" w:lineRule="auto"/>
        <w:tabs>
          <w:tab w:leader="none" w:pos="68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sale of the Shares to be sold by such Selling Shareholder hereunder and the compliance by such Selling Shareholder with this Agreement, the Power of Attorney and the Paying Agent Agreement and the consummation of the transactions herein and therein contemplated (i) will not conflict with or result in a breach or violation of any of the terms or provisions of, or constitute a default under, any indenture, mortgage, deed of trust, loan agreement or other agreement or instrument to which such Selling Shareholder is a party or by which such Selling Shareholder is bound or to which any of the property or assets of such Selling Shareholder is subject and (ii) will not result in any violation of the provisions of (x) the organizational documents of such Selling Shareholder or (y) any statute or any judgment, order, rule or regulation of any court or governmental agency or body having jurisdiction over such Selling Shareholder or any of its subsidiaries or any property or assets of such Selling Shareholder, except, in the case of clause</w:t>
      </w:r>
    </w:p>
    <w:p>
      <w:pPr>
        <w:spacing w:after="0" w:line="2" w:lineRule="exact"/>
        <w:rPr>
          <w:rFonts w:ascii="Arial" w:cs="Arial" w:eastAsia="Arial" w:hAnsi="Arial"/>
          <w:sz w:val="16"/>
          <w:szCs w:val="16"/>
          <w:color w:val="auto"/>
        </w:rPr>
      </w:pPr>
    </w:p>
    <w:p>
      <w:pPr>
        <w:ind w:left="-7" w:right="500" w:firstLine="7"/>
        <w:spacing w:after="0" w:line="252" w:lineRule="auto"/>
        <w:tabs>
          <w:tab w:leader="none" w:pos="2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and (ii)(y), for such defaults, breaches or violations that would not, individually or in the aggregate, reasonably be expected to have a material adverse effect on the ability of such Selling Shareholder to perform its obligations under this Agreement or to consummate any of the transactions contemplated hereby.</w:t>
      </w:r>
    </w:p>
    <w:p>
      <w:pPr>
        <w:spacing w:after="0" w:line="12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13"/>
          </w:cols>
          <w:pgMar w:left="487" w:top="268" w:right="499" w:bottom="1440" w:gutter="0" w:footer="0" w:header="0"/>
        </w:sectPr>
      </w:pPr>
    </w:p>
    <w:bookmarkStart w:id="249" w:name="page250"/>
    <w:bookmarkEnd w:id="249"/>
    <w:p>
      <w:pPr>
        <w:ind w:left="-100" w:right="100" w:firstLine="444"/>
        <w:spacing w:after="0" w:line="253" w:lineRule="auto"/>
        <w:tabs>
          <w:tab w:leader="none" w:pos="579"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Selling Shareholder has, and immediately prior to each Time of Delivery (as defined in Section 5 hereof) such Selling Shareholder will have, good and valid title to, or a valid “security entitlement” within the meaning of Section 8-501 of the New York Uniform Commercial Code in respect of, the Shares to be sold by such Selling Shareholder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85" w:lineRule="exact"/>
        <w:rPr>
          <w:rFonts w:ascii="Arial" w:cs="Arial" w:eastAsia="Arial" w:hAnsi="Arial"/>
          <w:sz w:val="18"/>
          <w:szCs w:val="18"/>
          <w:color w:val="auto"/>
        </w:rPr>
      </w:pPr>
    </w:p>
    <w:p>
      <w:pPr>
        <w:ind w:left="-100" w:right="440" w:firstLine="444"/>
        <w:spacing w:after="0" w:line="271" w:lineRule="auto"/>
        <w:tabs>
          <w:tab w:leader="none" w:pos="5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or prior to the date of the Pricing Prospectus, such Selling Shareholder has executed and delivered to the Underwriters an agreement substantially in the form of Annex II hereto.</w:t>
      </w:r>
    </w:p>
    <w:p>
      <w:pPr>
        <w:spacing w:after="0" w:line="67" w:lineRule="exact"/>
        <w:rPr>
          <w:rFonts w:ascii="Arial" w:cs="Arial" w:eastAsia="Arial" w:hAnsi="Arial"/>
          <w:sz w:val="18"/>
          <w:szCs w:val="18"/>
          <w:color w:val="auto"/>
        </w:rPr>
      </w:pPr>
    </w:p>
    <w:p>
      <w:pPr>
        <w:ind w:left="-100" w:firstLine="444"/>
        <w:spacing w:after="0" w:line="284" w:lineRule="auto"/>
        <w:tabs>
          <w:tab w:leader="none" w:pos="57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Shareholder expressly for use therein, such Registration Statement and Preliminary Prospectus did, and the Prospectus and any further amendments or supplements to the Registration Statement and the Prospectus will, when they become effective or are filed with the Commission, as the case may be, conform in all material respects to the requirements of the Act and the rules and regulations of the Commission thereunder and not contain any untrue statement of a material fact or omit to state any material fact required to be stated therein or necessary to make the statements therein not misleading; it being understood and agreed that the written information furnished by the Selling Shareholder consists only of (i) the legal name, address and the number of shares owned by the Selling Shareholder, (ii) the other information (excluding percentages) with respect to the Selling Shareholder which appear in the table (and corresponding footnotes) under the caption “Principal and Selling Shareholders” in the Registration Statement, any Preliminary Prospectus, the Prospectus or any Issuer Free Writing Prospectus and (iii) if applicable, the information with respect to the Selling Shareholder which appears under the caption “Management” in the Registration Statement, any Preliminary Prospectus, the Prospectus or any Issuer Free Writing Prospectus (collectively, the “</w:t>
      </w:r>
      <w:r>
        <w:rPr>
          <w:rFonts w:ascii="Arial" w:cs="Arial" w:eastAsia="Arial" w:hAnsi="Arial"/>
          <w:sz w:val="16"/>
          <w:szCs w:val="16"/>
          <w:b w:val="1"/>
          <w:bCs w:val="1"/>
          <w:color w:val="auto"/>
        </w:rPr>
        <w:t>Selling Shareholder Information</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00" w:right="40" w:firstLine="444"/>
        <w:spacing w:after="0" w:line="272" w:lineRule="auto"/>
        <w:tabs>
          <w:tab w:leader="none" w:pos="55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order to document the Underwriters’ compliance with the reporting and withholding provisions of the Tax Equity and Fiscal Responsibility Act of 1982 with respect to the transactions herein contemplated, such Selling Shareholder will deliver to the Representatives prior to or at the First Time of Delivery (as defined in Section 5 hereof) a properly completed and executed United States Treasury Department Form W-9, if the Selling Shareholder is a United States person, or the applicable Form W-8, if the Selling Shareholder is a non-United States person, (or, in each case, other applicable form or statement specified by Treasury Department regulations in lieu thereof).</w:t>
      </w:r>
    </w:p>
    <w:p>
      <w:pPr>
        <w:spacing w:after="0" w:line="65" w:lineRule="exact"/>
        <w:rPr>
          <w:rFonts w:ascii="Arial" w:cs="Arial" w:eastAsia="Arial" w:hAnsi="Arial"/>
          <w:sz w:val="17"/>
          <w:szCs w:val="17"/>
          <w:color w:val="auto"/>
        </w:rPr>
      </w:pPr>
    </w:p>
    <w:p>
      <w:pPr>
        <w:ind w:left="-100" w:right="60" w:firstLine="444"/>
        <w:spacing w:after="0" w:line="271" w:lineRule="auto"/>
        <w:tabs>
          <w:tab w:leader="none" w:pos="58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Such Selling Shareholder has duly executed and delivered a Power of Attorney, in the form heretofore furnished to you (the “</w:t>
      </w:r>
      <w:r>
        <w:rPr>
          <w:rFonts w:ascii="Arial" w:cs="Arial" w:eastAsia="Arial" w:hAnsi="Arial"/>
          <w:sz w:val="17"/>
          <w:szCs w:val="17"/>
          <w:b w:val="1"/>
          <w:bCs w:val="1"/>
          <w:color w:val="auto"/>
        </w:rPr>
        <w:t>Power of</w:t>
      </w:r>
      <w:r>
        <w:rPr>
          <w:rFonts w:ascii="Arial" w:cs="Arial" w:eastAsia="Arial" w:hAnsi="Arial"/>
          <w:sz w:val="17"/>
          <w:szCs w:val="17"/>
          <w:color w:val="auto"/>
        </w:rPr>
        <w:t xml:space="preserve"> </w:t>
      </w:r>
      <w:r>
        <w:rPr>
          <w:rFonts w:ascii="Arial" w:cs="Arial" w:eastAsia="Arial" w:hAnsi="Arial"/>
          <w:sz w:val="17"/>
          <w:szCs w:val="17"/>
          <w:b w:val="1"/>
          <w:bCs w:val="1"/>
          <w:color w:val="auto"/>
        </w:rPr>
        <w:t>Attorney</w:t>
      </w:r>
      <w:r>
        <w:rPr>
          <w:rFonts w:ascii="Arial" w:cs="Arial" w:eastAsia="Arial" w:hAnsi="Arial"/>
          <w:sz w:val="17"/>
          <w:szCs w:val="17"/>
          <w:color w:val="auto"/>
        </w:rPr>
        <w:t>”), appointing Amir Schlachet as such Selling Shareholder’s attorney-in-fact (the “</w:t>
      </w:r>
      <w:r>
        <w:rPr>
          <w:rFonts w:ascii="Arial" w:cs="Arial" w:eastAsia="Arial" w:hAnsi="Arial"/>
          <w:sz w:val="17"/>
          <w:szCs w:val="17"/>
          <w:b w:val="1"/>
          <w:bCs w:val="1"/>
          <w:color w:val="auto"/>
        </w:rPr>
        <w:t>Attorney-in-Fact</w:t>
      </w:r>
      <w:r>
        <w:rPr>
          <w:rFonts w:ascii="Arial" w:cs="Arial" w:eastAsia="Arial" w:hAnsi="Arial"/>
          <w:sz w:val="17"/>
          <w:szCs w:val="17"/>
          <w:color w:val="auto"/>
        </w:rPr>
        <w:t>”) with authority to execute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on behalf of such Selling Shareholder, to determine the purchase price to be paid by the Underwriters to the Selling Shareholders as provided in Section 3 hereof, to authorize the delivery of the Shares to be sold by such Selling Shareholder hereunder and otherwise to act on behalf of such Selling Shareholder in connection with the transactions contemplated by this Agreement and the Paying Agent Agreement, in each case to the extent and subject to the limitations set forth therein.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272" w:right="599" w:bottom="1440" w:gutter="0" w:footer="0" w:header="0"/>
        </w:sectPr>
      </w:pPr>
    </w:p>
    <w:bookmarkStart w:id="250" w:name="page251"/>
    <w:bookmarkEnd w:id="250"/>
    <w:p>
      <w:pPr>
        <w:ind w:left="-20" w:firstLine="444"/>
        <w:spacing w:after="0" w:line="287" w:lineRule="auto"/>
        <w:tabs>
          <w:tab w:leader="none" w:pos="6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obligations of the Selling Shareholders hereunder shall not be terminated by operation of law, whether by the death or incapacity of any individual Selling Shareholder or, in the case of an estate or trust, by the death or incapacity of any executor or trustee or the termination of such estate or trust, or in the case of a partnership, limited liability company or corporation, by the dissolution of such partnership, limited liability company or corporation, or by the occurrence of any other event. If any individual Selling Shareholder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such Selling Shareholder hereunder, actions taken by the Attorney-in-Fact pursuant to the Powers of Attorney shall be as valid as if such death, incapacity, termination, dissolution or other event had not occurred, regardless of whether or not the Attorney-in-Fact shall have received notice of such death, incapacity, termination, dissolution or other event.</w:t>
      </w:r>
    </w:p>
    <w:p>
      <w:pPr>
        <w:spacing w:after="0" w:line="58" w:lineRule="exact"/>
        <w:rPr>
          <w:rFonts w:ascii="Arial" w:cs="Arial" w:eastAsia="Arial" w:hAnsi="Arial"/>
          <w:sz w:val="16"/>
          <w:szCs w:val="16"/>
          <w:color w:val="auto"/>
        </w:rPr>
      </w:pPr>
    </w:p>
    <w:p>
      <w:pPr>
        <w:ind w:left="-20" w:right="20" w:firstLine="444"/>
        <w:spacing w:after="0" w:line="268" w:lineRule="auto"/>
        <w:tabs>
          <w:tab w:leader="none" w:pos="62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Neither such Selling Shareholder nor any of such Selling Shareholder’s subsidiaries nor, to the knowledge of such Selling Shareholder, any director, officer, agent, employee or controlled affiliate of such Selling Shareholder or any of its subsidiaries is, or is owned or controlled by one or more persons that are, currently the subject or the target of any Sanctions, nor is such Selling Shareholder or any of its subsidiaries located, organized or resident in a Sanctioned Jurisdiction. Such Selling Shareholder will not directly or knowingly indirectly use the proceeds of the offering of the Shares hereunder, or lend, contribute or otherwise make available such proceeds to any subsidiary, joint venture partner or other person or entity (i) to fund or facilitate, in a manner that violates Sanctions,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72" w:lineRule="exact"/>
        <w:rPr>
          <w:rFonts w:ascii="Arial" w:cs="Arial" w:eastAsia="Arial" w:hAnsi="Arial"/>
          <w:sz w:val="17"/>
          <w:szCs w:val="17"/>
          <w:color w:val="auto"/>
        </w:rPr>
      </w:pPr>
    </w:p>
    <w:p>
      <w:pPr>
        <w:ind w:left="-20" w:right="160" w:firstLine="444"/>
        <w:spacing w:after="0" w:line="271" w:lineRule="auto"/>
        <w:tabs>
          <w:tab w:leader="none" w:pos="6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pursuant to this Agreement, there is no broker, finder or other party that is entitled to receive from any of the Selling Shareholders any brokerage or finder’s fee or other fee or commission as a result of any transactions contemplated by this Agreement.</w:t>
      </w:r>
    </w:p>
    <w:p>
      <w:pPr>
        <w:spacing w:after="0" w:line="67" w:lineRule="exact"/>
        <w:rPr>
          <w:rFonts w:ascii="Arial" w:cs="Arial" w:eastAsia="Arial" w:hAnsi="Arial"/>
          <w:sz w:val="18"/>
          <w:szCs w:val="18"/>
          <w:color w:val="auto"/>
        </w:rPr>
      </w:pPr>
    </w:p>
    <w:p>
      <w:pPr>
        <w:ind w:left="-20" w:firstLine="444"/>
        <w:spacing w:after="0" w:line="290" w:lineRule="auto"/>
        <w:tabs>
          <w:tab w:leader="none" w:pos="6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choice of laws of the State of New York as the governing law of this Agreement is a valid choice of law under the laws of the jurisdiction where Selling Shareholder is resident. Such Selling Shareholder has the power to submit, and pursuant to this Agreement, has legally, validly, effectively and irrevocably submitted, to the personal jurisdiction of each New York Court, and such Selling Shareholder has the power to designate, appoint and authorize, and pursuant to this Agreement, has legally, validly, effectively and irrevocably designated, appointed and authorized an agent for service of process in any action arising out of or relating to this Agreement or the transactions contemplated hereby in any New York Court, and service of process effected on such authorized agent will be effective to confer valid personal jurisdiction over such Selling Shareholder.</w:t>
      </w:r>
    </w:p>
    <w:p>
      <w:pPr>
        <w:spacing w:after="0" w:line="56" w:lineRule="exact"/>
        <w:rPr>
          <w:rFonts w:ascii="Arial" w:cs="Arial" w:eastAsia="Arial" w:hAnsi="Arial"/>
          <w:sz w:val="16"/>
          <w:szCs w:val="16"/>
          <w:color w:val="auto"/>
        </w:rPr>
      </w:pPr>
    </w:p>
    <w:p>
      <w:pPr>
        <w:ind w:left="-20" w:right="20" w:firstLine="444"/>
        <w:spacing w:after="0" w:line="255" w:lineRule="auto"/>
        <w:tabs>
          <w:tab w:leader="none" w:pos="6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provided by laws or statutes generally applicable to transactions of the type described in this Agreement, neither such Selling Shareholder nor any of its properties, assets or revenues has any right of immunity under the laws of New York or United States law, from any legal action, suit or proceeding, from the giving of any relief in any such legal action, suit or proceeding, from set-off or counterclaim, from the jurisdiction of any New York or United States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2" w:right="499" w:bottom="1440" w:gutter="0" w:footer="0" w:header="0"/>
        </w:sectPr>
      </w:pPr>
    </w:p>
    <w:bookmarkStart w:id="251" w:name="page252"/>
    <w:bookmarkEnd w:id="251"/>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such Selling Shareholder or any of its respective properties, assets or revenues may have or may hereafter become entitled to any such right of immunity in any such court in which proceedings may at any time be commenced, such Selling Shareholder waives or will waive such right to the extent permitted by law and has consented to such relief and enforcement as provided in this Agreement.</w:t>
      </w:r>
    </w:p>
    <w:p>
      <w:pPr>
        <w:spacing w:after="0" w:line="71" w:lineRule="exact"/>
        <w:rPr>
          <w:sz w:val="20"/>
          <w:szCs w:val="20"/>
          <w:color w:val="auto"/>
        </w:rPr>
      </w:pPr>
    </w:p>
    <w:p>
      <w:pPr>
        <w:ind w:left="740" w:hanging="296"/>
        <w:spacing w:after="0"/>
        <w:tabs>
          <w:tab w:leader="none" w:pos="7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Such Selling Shareholder has validly appointed CT Corporation System as its authorized agent for service of process in the United States.</w:t>
      </w:r>
    </w:p>
    <w:p>
      <w:pPr>
        <w:spacing w:after="0" w:line="136" w:lineRule="exact"/>
        <w:rPr>
          <w:rFonts w:ascii="Arial" w:cs="Arial" w:eastAsia="Arial" w:hAnsi="Arial"/>
          <w:sz w:val="16"/>
          <w:szCs w:val="16"/>
          <w:color w:val="auto"/>
        </w:rPr>
      </w:pPr>
    </w:p>
    <w:p>
      <w:pPr>
        <w:ind w:right="20" w:firstLine="444"/>
        <w:spacing w:after="0" w:line="253" w:lineRule="auto"/>
        <w:tabs>
          <w:tab w:leader="none" w:pos="68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Neither such Selling Shareholder nor any of such Selling Shareholder’s properties or assets has any immunity from the jurisdiction of any court or from any legal process (whether through service or notice, attachment prior to judgment, attachment in aid of execution or otherwise) under the laws of the State of Israel. The irrevocable and unconditional waiver and agreement of such Selling Shareholder contained in Section 22 not to plead or claim any such immunity in any legal action, suit or proceeding based on this Agreement is valid and binding under the laws of the jurisdiction in which such Selling Shareholder is resident.</w:t>
      </w:r>
    </w:p>
    <w:p>
      <w:pPr>
        <w:spacing w:after="0" w:line="85" w:lineRule="exact"/>
        <w:rPr>
          <w:rFonts w:ascii="Arial" w:cs="Arial" w:eastAsia="Arial" w:hAnsi="Arial"/>
          <w:sz w:val="18"/>
          <w:szCs w:val="18"/>
          <w:color w:val="auto"/>
        </w:rPr>
      </w:pPr>
    </w:p>
    <w:p>
      <w:pPr>
        <w:ind w:firstLine="444"/>
        <w:spacing w:after="0" w:line="272" w:lineRule="auto"/>
        <w:tabs>
          <w:tab w:leader="none" w:pos="68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final judgment for a fixed or determined sum of money rendered by any New York Court having jurisdiction under its own laws in respect of any suit, action or proceeding against such Selling Shareholder based upon this Agreement would be declared enforceable against such Selling Shareholder by the courts of the jurisdiction in which such Selling Shareholder is resident, without reconsideration or reexamination of the merits, subject to, if applicable to such Selling Shareholder, the conditions, qualifications and restrictions described under the caption “Enforceability of Civil Liabilities” in the Registration Statement, the Pricing Disclosure Package and the Prospectus.</w:t>
      </w:r>
    </w:p>
    <w:p>
      <w:pPr>
        <w:spacing w:after="0" w:line="69" w:lineRule="exact"/>
        <w:rPr>
          <w:rFonts w:ascii="Arial" w:cs="Arial" w:eastAsia="Arial" w:hAnsi="Arial"/>
          <w:sz w:val="17"/>
          <w:szCs w:val="17"/>
          <w:color w:val="auto"/>
        </w:rPr>
      </w:pPr>
    </w:p>
    <w:p>
      <w:pPr>
        <w:ind w:firstLine="444"/>
        <w:spacing w:after="0" w:line="253" w:lineRule="auto"/>
        <w:tabs>
          <w:tab w:leader="none" w:pos="68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Selling Shareholder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 In addition, such Selling Shareholder has not engaged in any form of solicitation, advertising or other action constituting an offer or a sale under the Israeli Securities Law in connection with the transactions contemplated hereby which would require the publication of a prospectus in the State of Israel under the laws of the State of Israel.</w:t>
      </w:r>
    </w:p>
    <w:p>
      <w:pPr>
        <w:spacing w:after="0" w:line="85" w:lineRule="exact"/>
        <w:rPr>
          <w:rFonts w:ascii="Arial" w:cs="Arial" w:eastAsia="Arial" w:hAnsi="Arial"/>
          <w:sz w:val="18"/>
          <w:szCs w:val="18"/>
          <w:color w:val="auto"/>
        </w:rPr>
      </w:pPr>
    </w:p>
    <w:p>
      <w:pPr>
        <w:ind w:right="300" w:firstLine="444"/>
        <w:spacing w:after="0" w:line="271" w:lineRule="auto"/>
        <w:tabs>
          <w:tab w:leader="none" w:pos="68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Selling Shareholder is not prompted by any information concerning the Company or any of its subsidiaries that is not disclosed in the Pricing Prospectus to sell its Shares pursuant to this Agreement.</w:t>
      </w:r>
    </w:p>
    <w:p>
      <w:pPr>
        <w:spacing w:after="0" w:line="68" w:lineRule="exact"/>
        <w:rPr>
          <w:sz w:val="20"/>
          <w:szCs w:val="20"/>
          <w:color w:val="auto"/>
        </w:rPr>
      </w:pPr>
    </w:p>
    <w:p>
      <w:pPr>
        <w:ind w:right="100" w:firstLine="444"/>
        <w:spacing w:after="0" w:line="255" w:lineRule="auto"/>
        <w:tabs>
          <w:tab w:leader="none" w:pos="6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(a) each of the Selling Shareholders agrees, severally and not jointly, to sell to each of the Underwriters, and each of the Underwriters agrees, severally and not jointly, to purchase from the Selling Shareholders, at a purchase price per share of $[•], the number of Firm Shares (to be adjusted by you so as to eliminate fractional shares) determined by multiplying the aggregate number of Firm Shares to be sold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252" w:name="page253"/>
    <w:bookmarkEnd w:id="252"/>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of the Selling Shareholders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Shareholders hereunder and (b) in the event and to the extent that the Underwriters shall exercise the election to purchase Optional Shares as provided below, each of the Selling Shareholders agrees, severally and not jointly, to sell to each of the Underwriters, and each of the Underwriters agrees, severally and not jointly, to purchase from each of the Selling Shareholders, at the purchase price per share set forth in clause (a) of this Section 3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ind w:right="20" w:firstLine="436"/>
        <w:spacing w:after="0" w:line="267" w:lineRule="auto"/>
        <w:rPr>
          <w:sz w:val="20"/>
          <w:szCs w:val="20"/>
          <w:color w:val="auto"/>
        </w:rPr>
      </w:pPr>
      <w:r>
        <w:rPr>
          <w:rFonts w:ascii="Arial" w:cs="Arial" w:eastAsia="Arial" w:hAnsi="Arial"/>
          <w:sz w:val="17"/>
          <w:szCs w:val="17"/>
          <w:color w:val="auto"/>
        </w:rPr>
        <w:t xml:space="preserve">The Selling Shareholders, as and to the extent indicated in Schedule II hereto, hereby grant, severally and not jointly, to the Underwriters the right to purchase at their election up to [•] Optional Shares, at the purchase price per share set forth in the paragraph above, for the sole purpose of covering sales of shares in excess of the number of Firm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number of Optional Shares to be sold by each Selling Shareholder. Any such election to purchase Optional Shares may be exercised only by written notice from you to the Company and the Attorney-in-Fact,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5 hereof) or, unless you and the Company and the Attorney-in-Fact otherwise agree in writing, earlier than two or later than ten business days after the date of such notice.</w:t>
      </w:r>
    </w:p>
    <w:p>
      <w:pPr>
        <w:spacing w:after="0" w:line="72" w:lineRule="exact"/>
        <w:rPr>
          <w:sz w:val="20"/>
          <w:szCs w:val="20"/>
          <w:color w:val="auto"/>
        </w:rPr>
      </w:pPr>
    </w:p>
    <w:p>
      <w:pPr>
        <w:ind w:right="280" w:firstLine="444"/>
        <w:spacing w:after="0" w:line="271" w:lineRule="auto"/>
        <w:tabs>
          <w:tab w:leader="none" w:pos="6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Pricing Prospectus and the Prospectus.</w:t>
      </w:r>
    </w:p>
    <w:p>
      <w:pPr>
        <w:spacing w:after="0" w:line="67" w:lineRule="exact"/>
        <w:rPr>
          <w:rFonts w:ascii="Arial" w:cs="Arial" w:eastAsia="Arial" w:hAnsi="Arial"/>
          <w:sz w:val="18"/>
          <w:szCs w:val="18"/>
          <w:color w:val="auto"/>
        </w:rPr>
      </w:pPr>
    </w:p>
    <w:p>
      <w:pPr>
        <w:ind w:right="140" w:firstLine="444"/>
        <w:spacing w:after="0" w:line="293" w:lineRule="auto"/>
        <w:tabs>
          <w:tab w:leader="none" w:pos="61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Shareholders shall be delivered by or on behalf of the Selling Shareholders to the Representatives,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(same-day) funds to the account specified by ESOP Management and Trust Services Ltd. (the “</w:t>
      </w:r>
      <w:r>
        <w:rPr>
          <w:rFonts w:ascii="Arial" w:cs="Arial" w:eastAsia="Arial" w:hAnsi="Arial"/>
          <w:sz w:val="16"/>
          <w:szCs w:val="16"/>
          <w:b w:val="1"/>
          <w:bCs w:val="1"/>
          <w:color w:val="auto"/>
        </w:rPr>
        <w:t>Paying Agent</w:t>
      </w:r>
      <w:r>
        <w:rPr>
          <w:rFonts w:ascii="Arial" w:cs="Arial" w:eastAsia="Arial" w:hAnsi="Arial"/>
          <w:sz w:val="16"/>
          <w:szCs w:val="16"/>
          <w:color w:val="auto"/>
        </w:rPr>
        <w:t>”) to the Representatives at least forty-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480" w:top="272" w:right="53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eight hours in advance. With respect to any withholding taxes imposed under applicable Israeli law, the Paying Agent shall act as the withholding agent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Underwriters, all in accordance with the provisions of the Paying Agent Agreement substantially in the form attached hereto as Annex I</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Paying Agent Agreement</w:t>
      </w:r>
      <w:r>
        <w:rPr>
          <w:rFonts w:ascii="Arial" w:cs="Arial" w:eastAsia="Arial" w:hAnsi="Arial"/>
          <w:sz w:val="16"/>
          <w:szCs w:val="16"/>
          <w:color w:val="auto"/>
        </w:rPr>
        <w:t>”). To the extent the Paying Agent delivers to the Underwriters prior to the First Time of Delivery an undertaking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the Income Tax Circular 19/2018 in the form attached as Exhibit C to the Paying Agent Agreement, then the payment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made by the Underwriters to the Paying Agent shall be without any deduction or withholding of any taxes imposed under Israeli law; rather, such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amounts (if any) will be withheld by the Paying Agent pursuant to the terms and conditions of the Paying Agent Agreement. To the extent any amounts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are so deducted or withheld, such amounts shall be treated for all purposes of this Agreement as having been paid to the applicable Selling Shareholder.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the Selling Shareholders will cause the certificates, if any, representing the Shares to be made available for checking and packaging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least twenty-four hours prior to the Time of Delivery (as defined below) with respect thereto at the office of DTC or its designated custodian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Office</w:t>
      </w:r>
      <w:r>
        <w:rPr>
          <w:rFonts w:ascii="Arial" w:cs="Arial" w:eastAsia="Arial" w:hAnsi="Arial"/>
          <w:sz w:val="16"/>
          <w:szCs w:val="16"/>
          <w:color w:val="auto"/>
        </w:rPr>
        <w:t>”). The time and date of such delivery and payment shall be, with respect to the Firm Shares, 10:00 a.m., New York City time, 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September [•], 2021 or such other time and date as the Representatives, the Company and the Attorney-in-Fact may agree upon in writing, and, with</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respect to the Optional Shares, 10:00 a.m., New York City time, on the date specified by the Representatives in each written notice given by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the Underwriters’ election to purchase such Optional Shares, or such other time and date as the Representatives, the Company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Attorney-in-Fact may agree upon in writing. Such time and date for delivery of the Firm Shares is herein called the “</w:t>
      </w:r>
      <w:r>
        <w:rPr>
          <w:rFonts w:ascii="Arial" w:cs="Arial" w:eastAsia="Arial" w:hAnsi="Arial"/>
          <w:sz w:val="16"/>
          <w:szCs w:val="16"/>
          <w:b w:val="1"/>
          <w:bCs w:val="1"/>
          <w:color w:val="auto"/>
        </w:rPr>
        <w:t>First Time of Delivery</w:t>
      </w:r>
      <w:r>
        <w:rPr>
          <w:rFonts w:ascii="Arial" w:cs="Arial" w:eastAsia="Arial" w:hAnsi="Arial"/>
          <w:sz w:val="16"/>
          <w:szCs w:val="16"/>
          <w:color w:val="auto"/>
        </w:rPr>
        <w:t>,” each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such time and date for delivery of the Optional Shares, if not the First Time of Delivery, is herein called the “</w:t>
      </w:r>
      <w:r>
        <w:rPr>
          <w:rFonts w:ascii="Arial" w:cs="Arial" w:eastAsia="Arial" w:hAnsi="Arial"/>
          <w:sz w:val="16"/>
          <w:szCs w:val="16"/>
          <w:b w:val="1"/>
          <w:bCs w:val="1"/>
          <w:color w:val="auto"/>
        </w:rPr>
        <w:t>Second Time of Delivery</w:t>
      </w:r>
      <w:r>
        <w:rPr>
          <w:rFonts w:ascii="Arial" w:cs="Arial" w:eastAsia="Arial" w:hAnsi="Arial"/>
          <w:sz w:val="16"/>
          <w:szCs w:val="16"/>
          <w:color w:val="auto"/>
        </w:rPr>
        <w:t>,” and each such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time and date for delivery is herein called a “</w:t>
      </w:r>
      <w:r>
        <w:rPr>
          <w:rFonts w:ascii="Arial" w:cs="Arial" w:eastAsia="Arial" w:hAnsi="Arial"/>
          <w:sz w:val="18"/>
          <w:szCs w:val="18"/>
          <w:b w:val="1"/>
          <w:bCs w:val="1"/>
          <w:color w:val="auto"/>
        </w:rPr>
        <w:t>Time of Delivery</w:t>
      </w:r>
      <w:r>
        <w:rPr>
          <w:rFonts w:ascii="Arial" w:cs="Arial" w:eastAsia="Arial" w:hAnsi="Arial"/>
          <w:sz w:val="18"/>
          <w:szCs w:val="18"/>
          <w:color w:val="auto"/>
        </w:rPr>
        <w:t>.”</w:t>
      </w:r>
    </w:p>
    <w:p>
      <w:pPr>
        <w:spacing w:after="0" w:line="101" w:lineRule="exact"/>
        <w:rPr>
          <w:sz w:val="20"/>
          <w:szCs w:val="20"/>
          <w:color w:val="auto"/>
        </w:rPr>
      </w:pPr>
    </w:p>
    <w:p>
      <w:pPr>
        <w:ind w:right="100" w:firstLine="444"/>
        <w:spacing w:after="0" w:line="253" w:lineRule="auto"/>
        <w:tabs>
          <w:tab w:leader="none" w:pos="6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9 hereof, including the cross receipt for the Shares and any additional documents requested by the Underwriters pursuant to Section 9(q) hereof, will be delivered at the offices of Latham &amp; Watkins LLP, 1271 Avenue of the Americas, New York, NY 10020 (the “</w:t>
      </w:r>
      <w:r>
        <w:rPr>
          <w:rFonts w:ascii="Arial" w:cs="Arial" w:eastAsia="Arial" w:hAnsi="Arial"/>
          <w:sz w:val="18"/>
          <w:szCs w:val="18"/>
          <w:b w:val="1"/>
          <w:bCs w:val="1"/>
          <w:color w:val="auto"/>
        </w:rPr>
        <w:t>Closing Location</w:t>
      </w:r>
      <w:r>
        <w:rPr>
          <w:rFonts w:ascii="Arial" w:cs="Arial" w:eastAsia="Arial" w:hAnsi="Arial"/>
          <w:sz w:val="18"/>
          <w:szCs w:val="18"/>
          <w:color w:val="auto"/>
        </w:rPr>
        <w:t xml:space="preserve">”), and the Shares will be delivered at the Designated Office, all at such Time of Delivery;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physical delivery is requested by the Representatives, such documents may be delivered electronically.</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The Company agrees with each of the Underwriters:</w:t>
      </w:r>
    </w:p>
    <w:p>
      <w:pPr>
        <w:spacing w:after="0" w:line="114" w:lineRule="exact"/>
        <w:rPr>
          <w:sz w:val="20"/>
          <w:szCs w:val="20"/>
          <w:color w:val="auto"/>
        </w:rPr>
      </w:pPr>
    </w:p>
    <w:p>
      <w:pPr>
        <w:ind w:right="20" w:firstLine="444"/>
        <w:spacing w:after="0" w:line="288" w:lineRule="auto"/>
        <w:tabs>
          <w:tab w:leader="none" w:pos="67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the Company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the Company receives notice thereof, of the issuance by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254" w:name="page255"/>
    <w:bookmarkEnd w:id="254"/>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reasonable efforts to obtain the withdrawal of such order;</w:t>
      </w:r>
    </w:p>
    <w:p>
      <w:pPr>
        <w:spacing w:after="0" w:line="54" w:lineRule="exact"/>
        <w:rPr>
          <w:sz w:val="20"/>
          <w:szCs w:val="20"/>
          <w:color w:val="auto"/>
        </w:rPr>
      </w:pPr>
    </w:p>
    <w:p>
      <w:pPr>
        <w:ind w:right="120" w:firstLine="444"/>
        <w:spacing w:after="0" w:line="253" w:lineRule="auto"/>
        <w:tabs>
          <w:tab w:leader="none" w:pos="68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you may reasonably request to qualify the Shares for offering and sale under the securities laws of such jurisdictions as you may request and to use commercially reasonable efforts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(where not otherwise required) or to file a general consent to service of process in any jurisdiction (where not otherwise required);</w:t>
      </w:r>
    </w:p>
    <w:p>
      <w:pPr>
        <w:spacing w:after="0" w:line="85" w:lineRule="exact"/>
        <w:rPr>
          <w:rFonts w:ascii="Arial" w:cs="Arial" w:eastAsia="Arial" w:hAnsi="Arial"/>
          <w:sz w:val="18"/>
          <w:szCs w:val="18"/>
          <w:color w:val="auto"/>
        </w:rPr>
      </w:pPr>
    </w:p>
    <w:p>
      <w:pPr>
        <w:ind w:firstLine="444"/>
        <w:spacing w:after="0" w:line="283" w:lineRule="auto"/>
        <w:tabs>
          <w:tab w:leader="none" w:pos="67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later time as may be agreed to by the Company and you)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65" w:lineRule="exact"/>
        <w:rPr>
          <w:rFonts w:ascii="Arial" w:cs="Arial" w:eastAsia="Arial" w:hAnsi="Arial"/>
          <w:sz w:val="16"/>
          <w:szCs w:val="16"/>
          <w:color w:val="auto"/>
        </w:rPr>
      </w:pPr>
    </w:p>
    <w:p>
      <w:pPr>
        <w:ind w:right="140" w:firstLine="444"/>
        <w:spacing w:after="0" w:line="253" w:lineRule="auto"/>
        <w:tabs>
          <w:tab w:leader="none" w:pos="68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(which may be satisfied by filing with the Commission’s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under the Act);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255" w:name="page256"/>
    <w:bookmarkEnd w:id="255"/>
    <w:p>
      <w:pPr>
        <w:ind w:left="-7" w:right="100" w:firstLine="444"/>
        <w:spacing w:after="0" w:line="281" w:lineRule="auto"/>
        <w:tabs>
          <w:tab w:leader="none" w:pos="671" w:val="left"/>
        </w:tabs>
        <w:numPr>
          <w:ilvl w:val="1"/>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furnish to its shareholders within such period required by the Exchange Act after the end of each fiscal year an annual report (including a balance sheet and statements of income, shareholders’ equity and cash flows of the Company and its consolidated subsidiaries certified by independent public accountants) (which may be through the filing of an Annual Report on Form 20-F on EDGAR);</w:t>
      </w:r>
    </w:p>
    <w:p>
      <w:pPr>
        <w:spacing w:after="0" w:line="62" w:lineRule="exact"/>
        <w:rPr>
          <w:rFonts w:ascii="Arial" w:cs="Arial" w:eastAsia="Arial" w:hAnsi="Arial"/>
          <w:sz w:val="17"/>
          <w:szCs w:val="17"/>
          <w:color w:val="auto"/>
        </w:rPr>
      </w:pPr>
    </w:p>
    <w:p>
      <w:pPr>
        <w:ind w:left="-7" w:firstLine="444"/>
        <w:spacing w:after="0" w:line="272" w:lineRule="auto"/>
        <w:tabs>
          <w:tab w:leader="none" w:pos="65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shareholders, and to deliver to you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7"/>
          <w:szCs w:val="17"/>
          <w:i w:val="1"/>
          <w:iCs w:val="1"/>
          <w:color w:val="auto"/>
        </w:rPr>
        <w:t>provided</w:t>
      </w:r>
      <w:r>
        <w:rPr>
          <w:rFonts w:ascii="Arial" w:cs="Arial" w:eastAsia="Arial" w:hAnsi="Arial"/>
          <w:sz w:val="17"/>
          <w:szCs w:val="17"/>
          <w:color w:val="auto"/>
        </w:rPr>
        <w:t>, that no reports, documents or other information needs to be furnished pursuant to this Section 6(f) to the extent they are available on EDGAR;</w:t>
      </w:r>
    </w:p>
    <w:p>
      <w:pPr>
        <w:spacing w:after="0" w:line="65" w:lineRule="exact"/>
        <w:rPr>
          <w:rFonts w:ascii="Arial" w:cs="Arial" w:eastAsia="Arial" w:hAnsi="Arial"/>
          <w:sz w:val="17"/>
          <w:szCs w:val="17"/>
          <w:color w:val="auto"/>
        </w:rPr>
      </w:pPr>
    </w:p>
    <w:p>
      <w:pPr>
        <w:ind w:left="693" w:hanging="256"/>
        <w:spacing w:after="0"/>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use its best efforts to list for quotation the Shares on the Nasdaq Global Select Market (the “</w:t>
      </w:r>
      <w:r>
        <w:rPr>
          <w:rFonts w:ascii="Arial" w:cs="Arial" w:eastAsia="Arial" w:hAnsi="Arial"/>
          <w:sz w:val="18"/>
          <w:szCs w:val="18"/>
          <w:b w:val="1"/>
          <w:bCs w:val="1"/>
          <w:color w:val="auto"/>
        </w:rPr>
        <w:t>Exchange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140" w:firstLine="444"/>
        <w:spacing w:after="0" w:line="275" w:lineRule="auto"/>
        <w:tabs>
          <w:tab w:leader="none" w:pos="681"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66" w:lineRule="exact"/>
        <w:rPr>
          <w:rFonts w:ascii="Arial" w:cs="Arial" w:eastAsia="Arial" w:hAnsi="Arial"/>
          <w:sz w:val="17"/>
          <w:szCs w:val="17"/>
          <w:color w:val="auto"/>
        </w:rPr>
      </w:pPr>
    </w:p>
    <w:p>
      <w:pPr>
        <w:ind w:left="-7" w:right="60" w:firstLine="444"/>
        <w:spacing w:after="0" w:line="255" w:lineRule="auto"/>
        <w:tabs>
          <w:tab w:leader="none" w:pos="64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Upon reasonable request of any Underwriter in writing, to furnish, or cause to be furnished, to such Underwriter an electronic version of the Company’s trademarks, service marks and corporate logo for use on the website, if any, operated by such Underwriter for the purpose of facilitating the on-line offering of the Shares (the “</w:t>
      </w:r>
      <w:r>
        <w:rPr>
          <w:rFonts w:ascii="Arial" w:cs="Arial" w:eastAsia="Arial" w:hAnsi="Arial"/>
          <w:sz w:val="18"/>
          <w:szCs w:val="18"/>
          <w:b w:val="1"/>
          <w:b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License shall be used solely for the purpose described above, is granted without any fee and may not be assigned or transferred; and</w:t>
      </w:r>
    </w:p>
    <w:p>
      <w:pPr>
        <w:spacing w:after="0" w:line="83" w:lineRule="exact"/>
        <w:rPr>
          <w:rFonts w:ascii="Arial" w:cs="Arial" w:eastAsia="Arial" w:hAnsi="Arial"/>
          <w:sz w:val="18"/>
          <w:szCs w:val="18"/>
          <w:color w:val="auto"/>
        </w:rPr>
      </w:pPr>
    </w:p>
    <w:p>
      <w:pPr>
        <w:ind w:left="653" w:hanging="216"/>
        <w:spacing w:after="0"/>
        <w:tabs>
          <w:tab w:leader="none" w:pos="653"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To promptly notify you if the Company ceases to be an Emerging Growth Company or a foreign private issuer at any time prior to the later of</w:t>
      </w:r>
    </w:p>
    <w:p>
      <w:pPr>
        <w:spacing w:after="0" w:line="42" w:lineRule="exact"/>
        <w:rPr>
          <w:rFonts w:ascii="Arial" w:cs="Arial" w:eastAsia="Arial" w:hAnsi="Arial"/>
          <w:sz w:val="16"/>
          <w:szCs w:val="16"/>
          <w:color w:val="auto"/>
        </w:rPr>
      </w:pPr>
    </w:p>
    <w:p>
      <w:pPr>
        <w:ind w:left="213" w:hanging="213"/>
        <w:spacing w:after="0"/>
        <w:tabs>
          <w:tab w:leader="none" w:pos="2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Act and (ii) the last Time of Delivery.</w:t>
      </w:r>
    </w:p>
    <w:p>
      <w:pPr>
        <w:spacing w:after="0" w:line="101" w:lineRule="exact"/>
        <w:rPr>
          <w:sz w:val="20"/>
          <w:szCs w:val="20"/>
          <w:color w:val="auto"/>
        </w:rPr>
      </w:pPr>
    </w:p>
    <w:p>
      <w:pPr>
        <w:ind w:left="-7" w:right="240" w:firstLine="444"/>
        <w:spacing w:after="0" w:line="269" w:lineRule="auto"/>
        <w:tabs>
          <w:tab w:leader="none" w:pos="60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Shareholder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111"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73"/>
          </w:cols>
          <w:pgMar w:left="487" w:top="272" w:right="539" w:bottom="1440" w:gutter="0" w:footer="0" w:header="0"/>
        </w:sectPr>
      </w:pPr>
    </w:p>
    <w:bookmarkStart w:id="256" w:name="page257"/>
    <w:bookmarkEnd w:id="256"/>
    <w:p>
      <w:pPr>
        <w:ind w:right="840" w:firstLine="444"/>
        <w:spacing w:after="0" w:line="271" w:lineRule="auto"/>
        <w:tabs>
          <w:tab w:leader="none" w:pos="689"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w:t>
      </w:r>
    </w:p>
    <w:p>
      <w:pPr>
        <w:spacing w:after="0" w:line="67" w:lineRule="exact"/>
        <w:rPr>
          <w:rFonts w:ascii="Arial" w:cs="Arial" w:eastAsia="Arial" w:hAnsi="Arial"/>
          <w:sz w:val="18"/>
          <w:szCs w:val="18"/>
          <w:color w:val="auto"/>
        </w:rPr>
      </w:pPr>
    </w:p>
    <w:p>
      <w:pPr>
        <w:ind w:firstLine="444"/>
        <w:spacing w:after="0" w:line="250" w:lineRule="auto"/>
        <w:tabs>
          <w:tab w:leader="none" w:pos="67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the obligations under this Section 7(c) shall not apply to any statements or omissions in an Issuer Free Writing Prospectus or Written Testing-the-Waters Communication made in reliance upon and in conformity with the Underwriter Information (as defined below).</w:t>
      </w:r>
    </w:p>
    <w:p>
      <w:pPr>
        <w:spacing w:after="0" w:line="92" w:lineRule="exact"/>
        <w:rPr>
          <w:rFonts w:ascii="Arial" w:cs="Arial" w:eastAsia="Arial" w:hAnsi="Arial"/>
          <w:sz w:val="18"/>
          <w:szCs w:val="18"/>
          <w:color w:val="auto"/>
        </w:rPr>
      </w:pPr>
    </w:p>
    <w:p>
      <w:pPr>
        <w:ind w:right="40" w:firstLine="444"/>
        <w:spacing w:after="0" w:line="270" w:lineRule="auto"/>
        <w:tabs>
          <w:tab w:leader="none" w:pos="68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w:t>
      </w:r>
    </w:p>
    <w:p>
      <w:pPr>
        <w:spacing w:after="0" w:line="71" w:lineRule="exact"/>
        <w:rPr>
          <w:rFonts w:ascii="Arial" w:cs="Arial" w:eastAsia="Arial" w:hAnsi="Arial"/>
          <w:sz w:val="17"/>
          <w:szCs w:val="17"/>
          <w:color w:val="auto"/>
        </w:rPr>
      </w:pPr>
    </w:p>
    <w:p>
      <w:pPr>
        <w:ind w:right="40" w:firstLine="444"/>
        <w:spacing w:after="0" w:line="252" w:lineRule="auto"/>
        <w:tabs>
          <w:tab w:leader="none" w:pos="67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and each Selling Shareholder acknowledges, understands and agrees that the Shares may be offered and sold in Israel only by the Underwriters and only to Israeli investors who submit written confirmation to the Underwriters and the Company that such investor (A) falls within the scope of the First Addendum (the “</w:t>
      </w:r>
      <w:r>
        <w:rPr>
          <w:rFonts w:ascii="Arial" w:cs="Arial" w:eastAsia="Arial" w:hAnsi="Arial"/>
          <w:sz w:val="18"/>
          <w:szCs w:val="18"/>
          <w:b w:val="1"/>
          <w:bCs w:val="1"/>
          <w:color w:val="auto"/>
        </w:rPr>
        <w:t>Addendum</w:t>
      </w:r>
      <w:r>
        <w:rPr>
          <w:rFonts w:ascii="Arial" w:cs="Arial" w:eastAsia="Arial" w:hAnsi="Arial"/>
          <w:sz w:val="18"/>
          <w:szCs w:val="18"/>
          <w:color w:val="auto"/>
        </w:rPr>
        <w:t>”) to the Israeli Securities Law, is aware of the meaning of same and agrees to it and (B) is acquiring the Shares for investment for its own account or, if applicable, for investment for clients who are investors under Section 15A(b) of the Israeli Securities Law and in any event not as a nominee, market maker or agent and not with a view to, or for the resale in connection with, any distribution thereof (“</w:t>
      </w:r>
      <w:r>
        <w:rPr>
          <w:rFonts w:ascii="Arial" w:cs="Arial" w:eastAsia="Arial" w:hAnsi="Arial"/>
          <w:sz w:val="18"/>
          <w:szCs w:val="18"/>
          <w:b w:val="1"/>
          <w:bCs w:val="1"/>
          <w:color w:val="auto"/>
        </w:rPr>
        <w:t>Israeli Accredited Investors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300" w:firstLine="444"/>
        <w:spacing w:after="0" w:line="271" w:lineRule="auto"/>
        <w:tabs>
          <w:tab w:leader="none" w:pos="65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Underwriter acknowledges, agrees and undertakes that the Shares may be sold in Israel by the Underwriters only to Israeli Accredited Investors.</w:t>
      </w:r>
    </w:p>
    <w:p>
      <w:pPr>
        <w:spacing w:after="0" w:line="67" w:lineRule="exact"/>
        <w:rPr>
          <w:rFonts w:ascii="Arial" w:cs="Arial" w:eastAsia="Arial" w:hAnsi="Arial"/>
          <w:sz w:val="18"/>
          <w:szCs w:val="18"/>
          <w:color w:val="auto"/>
        </w:rPr>
      </w:pPr>
    </w:p>
    <w:p>
      <w:pPr>
        <w:jc w:val="both"/>
        <w:ind w:firstLine="444"/>
        <w:spacing w:after="0" w:line="255" w:lineRule="auto"/>
        <w:tabs>
          <w:tab w:leader="none" w:pos="68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Underwriter represents and agrees that (i) any Testing-the-Waters Communications undertaken by it were with entities that are qualified institutional buyers as defined in Rule 144A under the Act or institutions that are accredited investors as defined in Rule 501(a) under the Act and (ii) it will not distribute, or authorize any other person to distribute, any Written Testing-the-Waters Communication, other than those distributed with the prior authorization of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2" w:right="499" w:bottom="1440" w:gutter="0" w:footer="0" w:header="0"/>
        </w:sectPr>
      </w:pPr>
    </w:p>
    <w:bookmarkStart w:id="257" w:name="page258"/>
    <w:bookmarkEnd w:id="257"/>
    <w:p>
      <w:pPr>
        <w:ind w:left="-7" w:firstLine="444"/>
        <w:spacing w:after="0" w:line="280" w:lineRule="auto"/>
        <w:tabs>
          <w:tab w:leader="none" w:pos="607" w:val="left"/>
        </w:tabs>
        <w:numPr>
          <w:ilvl w:val="1"/>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and each of the Selling Shareholders covenant and agree with one another and with the several Underwriters that (a) the Company will pay or cause to be paid the following: (i) the fees, disbursements and expenses of the Company’s counsel and accountants and any fees and expenses of counsel for such Selling Shareholders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if any,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6(b) hereof, including the fees and disbursements of counsel for the Underwriters in connection with such qualification and in connection with the Blue Sky survey, if any; (iv) all fees and expenses in connection with listing the Shares on the Exchange; (v) the filing fees incident to, and the fees and disbursements of counsel for the Underwriters in connection with, any required review by FINRA of the terms of the sale of the Shares; (vi) the cost of preparing share certificates, if applicable; (vi) the cost and charges of any transfer agent or registrar; and (vii) all other costs and expenses incident to the performance of its obligations hereunder which are not otherwise specifically provided for in this Section 8, including the fees of the Paying Agent; and (b) such Selling Shareholder will pay or cause to be paid all costs and expenses incident to the performance of such Selling Shareholder’s obligations hereunder with respect to (i) fees and expenses of any tax or other advisor to such Selling Shareholder and</w:t>
      </w:r>
    </w:p>
    <w:p>
      <w:pPr>
        <w:spacing w:after="0" w:line="2" w:lineRule="exact"/>
        <w:rPr>
          <w:rFonts w:ascii="Arial" w:cs="Arial" w:eastAsia="Arial" w:hAnsi="Arial"/>
          <w:sz w:val="16"/>
          <w:szCs w:val="16"/>
          <w:color w:val="auto"/>
        </w:rPr>
      </w:pPr>
    </w:p>
    <w:p>
      <w:pPr>
        <w:ind w:left="-7" w:right="40" w:firstLine="7"/>
        <w:spacing w:after="0" w:line="265" w:lineRule="auto"/>
        <w:tabs>
          <w:tab w:leader="none" w:pos="2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all transfer, stamp and other similar taxes incident to the sale and delivery of the Shares to be sold by such Selling Shareholder to the Underwriters hereunder. It is understood, however, that the amount payable by the Company pursuant to subsections (iii) and (v) for the fees and disbursements of counsel for the Underwriters shall not exceed $15,000 in the aggregate. It is understood, however, that, except as provided in this Section 8, and Sections 10 and 13 hereof, (i) the Underwriters will pay all of their own costs and expenses, including the fees of their counsel and any advertising expenses connected with any offers they may make; (ii) the Company will bear all of the Company’s (but not the Underwriters’) travel expenses and the Underwriters will bear all of the Underwriters’ (but not the Company’s) travel expenses, in each case, in connection with any “roadshow” presentation to investors and (iii) notwithstanding clause (ii), the Company, on the one hand, and the Underwriters, on the other hand, shall each pay 50% of the cost of any chartered plane, chartered jet or other chartered aircraft that is used to transport representatives from both the Company and the Underwriters in connection with any “roadshow” presentation to investors.</w:t>
      </w:r>
    </w:p>
    <w:p>
      <w:pPr>
        <w:spacing w:after="0" w:line="77" w:lineRule="exact"/>
        <w:rPr>
          <w:rFonts w:ascii="Arial" w:cs="Arial" w:eastAsia="Arial" w:hAnsi="Arial"/>
          <w:sz w:val="17"/>
          <w:szCs w:val="17"/>
          <w:color w:val="auto"/>
        </w:rPr>
      </w:pPr>
    </w:p>
    <w:p>
      <w:pPr>
        <w:ind w:left="-7" w:right="100" w:firstLine="444"/>
        <w:spacing w:after="0" w:line="275" w:lineRule="auto"/>
        <w:tabs>
          <w:tab w:leader="none" w:pos="60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obligations of the Underwriters hereunder, as to the Shares to be delivered at each Time of Delivery, shall be subject, in their discretion, to the condition that all representations and warranties and other statements of the Company and the Selling Shareholders herein are, at and as of the Applicable Time and such Time of Delivery, true and correct, the condition that the Company and the Selling Shareholders shall have performed all of its and their obligations hereunder theretofore to be performed, and the following additional conditions:</w:t>
      </w:r>
    </w:p>
    <w:p>
      <w:pPr>
        <w:spacing w:after="0" w:line="107"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93"/>
          </w:cols>
          <w:pgMar w:left="487" w:top="272" w:right="519" w:bottom="1440" w:gutter="0" w:footer="0" w:header="0"/>
        </w:sectPr>
      </w:pPr>
    </w:p>
    <w:bookmarkStart w:id="258" w:name="page259"/>
    <w:bookmarkEnd w:id="258"/>
    <w:p>
      <w:pPr>
        <w:ind w:left="-20" w:right="40" w:firstLine="444"/>
        <w:spacing w:after="0" w:line="267" w:lineRule="auto"/>
        <w:tabs>
          <w:tab w:leader="none" w:pos="659"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Prospectus shall have been filed with the Commission pursuant to Rule 424(b) under the Act within the applicable time period prescribed for such filing by the rules and regulations under the Act and in accordance with Section 6(a)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under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75" w:lineRule="exact"/>
        <w:rPr>
          <w:rFonts w:ascii="Arial" w:cs="Arial" w:eastAsia="Arial" w:hAnsi="Arial"/>
          <w:sz w:val="17"/>
          <w:szCs w:val="17"/>
          <w:color w:val="auto"/>
        </w:rPr>
      </w:pPr>
    </w:p>
    <w:p>
      <w:pPr>
        <w:jc w:val="both"/>
        <w:ind w:left="-20" w:right="440" w:firstLine="444"/>
        <w:spacing w:after="0" w:line="259" w:lineRule="auto"/>
        <w:tabs>
          <w:tab w:leader="none" w:pos="6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Latham &amp; Watkins LLP, U.S. counsel for the Company,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8" w:lineRule="exact"/>
        <w:rPr>
          <w:rFonts w:ascii="Arial" w:cs="Arial" w:eastAsia="Arial" w:hAnsi="Arial"/>
          <w:sz w:val="18"/>
          <w:szCs w:val="18"/>
          <w:color w:val="auto"/>
        </w:rPr>
      </w:pPr>
    </w:p>
    <w:p>
      <w:pPr>
        <w:ind w:left="-20" w:right="460" w:firstLine="444"/>
        <w:spacing w:after="0" w:line="259" w:lineRule="auto"/>
        <w:tabs>
          <w:tab w:leader="none" w:pos="6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Meitar Law Offices, Israeli counsel for the Company,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8" w:lineRule="exact"/>
        <w:rPr>
          <w:rFonts w:ascii="Arial" w:cs="Arial" w:eastAsia="Arial" w:hAnsi="Arial"/>
          <w:sz w:val="18"/>
          <w:szCs w:val="18"/>
          <w:color w:val="auto"/>
        </w:rPr>
      </w:pPr>
    </w:p>
    <w:p>
      <w:pPr>
        <w:ind w:left="-20" w:firstLine="444"/>
        <w:spacing w:after="0" w:line="281" w:lineRule="auto"/>
        <w:tabs>
          <w:tab w:leader="none" w:pos="66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White &amp; Case LLP, U.S. counsel for Cross Ship S.à r.l., Red Dot Capital Partners, L.P. and Goor HoldCo Ltd.,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62" w:lineRule="exact"/>
        <w:rPr>
          <w:rFonts w:ascii="Arial" w:cs="Arial" w:eastAsia="Arial" w:hAnsi="Arial"/>
          <w:sz w:val="17"/>
          <w:szCs w:val="17"/>
          <w:color w:val="auto"/>
        </w:rPr>
      </w:pPr>
    </w:p>
    <w:p>
      <w:pPr>
        <w:ind w:left="-20" w:right="280" w:firstLine="444"/>
        <w:spacing w:after="0" w:line="281" w:lineRule="auto"/>
        <w:tabs>
          <w:tab w:leader="none" w:pos="65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respective local counsel for each of the Selling Shareholders, as indicated in Schedule IV hereto, each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62" w:lineRule="exact"/>
        <w:rPr>
          <w:rFonts w:ascii="Arial" w:cs="Arial" w:eastAsia="Arial" w:hAnsi="Arial"/>
          <w:sz w:val="17"/>
          <w:szCs w:val="17"/>
          <w:color w:val="auto"/>
        </w:rPr>
      </w:pPr>
    </w:p>
    <w:p>
      <w:pPr>
        <w:ind w:left="-20" w:right="140" w:firstLine="444"/>
        <w:spacing w:after="0" w:line="259" w:lineRule="auto"/>
        <w:tabs>
          <w:tab w:leader="none" w:pos="63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Skadden, Arps, Slate, Meagher &amp; Flom LLP, U.S. counsel for the Underwriters,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8" w:lineRule="exact"/>
        <w:rPr>
          <w:rFonts w:ascii="Arial" w:cs="Arial" w:eastAsia="Arial" w:hAnsi="Arial"/>
          <w:sz w:val="18"/>
          <w:szCs w:val="18"/>
          <w:color w:val="auto"/>
        </w:rPr>
      </w:pPr>
    </w:p>
    <w:p>
      <w:pPr>
        <w:ind w:left="-20" w:right="460" w:firstLine="444"/>
        <w:spacing w:after="0" w:line="259" w:lineRule="auto"/>
        <w:tabs>
          <w:tab w:leader="none" w:pos="6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Gornitzky &amp; Co., Israeli counsel for the Underwriters,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8" w:lineRule="exact"/>
        <w:rPr>
          <w:rFonts w:ascii="Arial" w:cs="Arial" w:eastAsia="Arial" w:hAnsi="Arial"/>
          <w:sz w:val="18"/>
          <w:szCs w:val="18"/>
          <w:color w:val="auto"/>
        </w:rPr>
      </w:pPr>
    </w:p>
    <w:p>
      <w:pPr>
        <w:ind w:left="-20" w:firstLine="444"/>
        <w:spacing w:after="0" w:line="255" w:lineRule="auto"/>
        <w:tabs>
          <w:tab w:leader="none" w:pos="6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10:00 a.m., New York City time, on the effective date of any post-effective amendment to the Registration Statement filed subsequent to the date of this Agreement and also at each Time of Delivery, Kost Forer Gabbay &amp; Kasierer, a member firm of Ernst &amp; Young Global, shall have furnished to you a letter or letters, dated the respective dates of delivery thereof, in form and substance satisfactory to you;</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500" w:top="272" w:right="519" w:bottom="1440" w:gutter="0" w:footer="0" w:header="0"/>
        </w:sectPr>
      </w:pPr>
    </w:p>
    <w:bookmarkStart w:id="259" w:name="page260"/>
    <w:bookmarkEnd w:id="259"/>
    <w:p>
      <w:pPr>
        <w:ind w:left="-40" w:right="100" w:firstLine="444"/>
        <w:spacing w:after="0" w:line="265" w:lineRule="auto"/>
        <w:tabs>
          <w:tab w:leader="none" w:pos="609"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share capital (other than as a result of the grant, vesting, exercise or settlement, if any, of share options or the award, if any, of share options, restricted shares or other equity incentives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shareholders’ equity or results of operations of the Company and its subsidiaries, taken as a whole, except as set forth or contemplated in the Pricing Prospectus and the Prospectus, or (y) the ability of the Company to perform its obligations under this Agreement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82" w:lineRule="exact"/>
        <w:rPr>
          <w:rFonts w:ascii="Arial" w:cs="Arial" w:eastAsia="Arial" w:hAnsi="Arial"/>
          <w:sz w:val="17"/>
          <w:szCs w:val="17"/>
          <w:color w:val="auto"/>
        </w:rPr>
      </w:pPr>
    </w:p>
    <w:p>
      <w:pPr>
        <w:ind w:left="-40" w:firstLine="444"/>
        <w:spacing w:after="0" w:line="250" w:lineRule="auto"/>
        <w:tabs>
          <w:tab w:leader="none" w:pos="60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New York State or Israeli authorities or a material disruption in commercial banking or securities settlement or clearance services in the United States or the State of Israel; (iv) the outbreak or escalation of hostilities involving the United States or the State of Israel or the declaration by the United States or the State of Israel of a national emergency or war or (v) the occurrence of any other calamity or crisis or any change in financial, political or economic conditions in the United States, the State of Israel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92" w:lineRule="exact"/>
        <w:rPr>
          <w:rFonts w:ascii="Arial" w:cs="Arial" w:eastAsia="Arial" w:hAnsi="Arial"/>
          <w:sz w:val="18"/>
          <w:szCs w:val="18"/>
          <w:color w:val="auto"/>
        </w:rPr>
      </w:pPr>
    </w:p>
    <w:p>
      <w:pPr>
        <w:ind w:left="660" w:hanging="256"/>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for quotation on the Exchange;</w:t>
      </w:r>
    </w:p>
    <w:p>
      <w:pPr>
        <w:spacing w:after="0" w:line="113" w:lineRule="exact"/>
        <w:rPr>
          <w:rFonts w:ascii="Arial" w:cs="Arial" w:eastAsia="Arial" w:hAnsi="Arial"/>
          <w:sz w:val="18"/>
          <w:szCs w:val="18"/>
          <w:color w:val="auto"/>
        </w:rPr>
      </w:pPr>
    </w:p>
    <w:p>
      <w:pPr>
        <w:ind w:left="-40" w:right="140" w:firstLine="444"/>
        <w:spacing w:after="0" w:line="301" w:lineRule="auto"/>
        <w:tabs>
          <w:tab w:leader="none" w:pos="60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shall have obtained and delivered to the Underwriters executed copies of an agreement from each shareholder of the Company listed on Schedule II hereto, substantially to the effect set forth in Annex II hereto in form and substance satisfactory to you;</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520" w:top="272" w:right="539" w:bottom="1440" w:gutter="0" w:footer="0" w:header="0"/>
        </w:sectPr>
      </w:pPr>
    </w:p>
    <w:bookmarkStart w:id="260" w:name="page261"/>
    <w:bookmarkEnd w:id="260"/>
    <w:p>
      <w:pPr>
        <w:ind w:left="-40" w:right="120" w:firstLine="444"/>
        <w:spacing w:after="0" w:line="271" w:lineRule="auto"/>
        <w:tabs>
          <w:tab w:leader="none" w:pos="6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shall have complied with the provisions of Section 6(c) hereof with respect to the furnishing of prospectuses on the New York Business Day next succeeding the date of this Agreement;</w:t>
      </w:r>
    </w:p>
    <w:p>
      <w:pPr>
        <w:spacing w:after="0" w:line="67" w:lineRule="exact"/>
        <w:rPr>
          <w:rFonts w:ascii="Arial" w:cs="Arial" w:eastAsia="Arial" w:hAnsi="Arial"/>
          <w:sz w:val="18"/>
          <w:szCs w:val="18"/>
          <w:color w:val="auto"/>
        </w:rPr>
      </w:pPr>
    </w:p>
    <w:p>
      <w:pPr>
        <w:ind w:left="-40" w:right="120" w:firstLine="444"/>
        <w:spacing w:after="0" w:line="253" w:lineRule="auto"/>
        <w:tabs>
          <w:tab w:leader="none" w:pos="64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and the Selling Shareholders shall have furnished or caused to be furnished to you at such Time of Delivery certificates of officers of the Company and of the Selling Shareholders, satisfactory to the Representatives as to the accuracy of the representations and warranties of the Company and the Selling Shareholders, respectively, herein at and as of such Time of Delivery, as to the performance by the Company and the Selling Shareholders of all of their respective obligations hereunder to be performed at or prior to such Time of Delivery, and as to the matters set forth in Section 9(a) and Section 9(i);</w:t>
      </w:r>
    </w:p>
    <w:p>
      <w:pPr>
        <w:spacing w:after="0" w:line="85" w:lineRule="exact"/>
        <w:rPr>
          <w:rFonts w:ascii="Arial" w:cs="Arial" w:eastAsia="Arial" w:hAnsi="Arial"/>
          <w:sz w:val="18"/>
          <w:szCs w:val="18"/>
          <w:color w:val="auto"/>
        </w:rPr>
      </w:pPr>
    </w:p>
    <w:p>
      <w:pPr>
        <w:ind w:left="-40" w:right="180" w:firstLine="444"/>
        <w:spacing w:after="0" w:line="271" w:lineRule="auto"/>
        <w:tabs>
          <w:tab w:leader="none" w:pos="64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a certificate of the chief financial officer of the Company in form and substance reasonably satisfactory to the Underwriters;</w:t>
      </w:r>
    </w:p>
    <w:p>
      <w:pPr>
        <w:spacing w:after="0" w:line="67" w:lineRule="exact"/>
        <w:rPr>
          <w:rFonts w:ascii="Arial" w:cs="Arial" w:eastAsia="Arial" w:hAnsi="Arial"/>
          <w:sz w:val="18"/>
          <w:szCs w:val="18"/>
          <w:color w:val="auto"/>
        </w:rPr>
      </w:pPr>
    </w:p>
    <w:p>
      <w:pPr>
        <w:ind w:left="660" w:hanging="256"/>
        <w:spacing w:after="0"/>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Selling Shareholder shall have furnished or caused to be furnished to you prior to such Time of Delivery a Power of Attorney; and</w:t>
      </w:r>
    </w:p>
    <w:p>
      <w:pPr>
        <w:spacing w:after="0" w:line="125" w:lineRule="exact"/>
        <w:rPr>
          <w:rFonts w:ascii="Arial" w:cs="Arial" w:eastAsia="Arial" w:hAnsi="Arial"/>
          <w:sz w:val="17"/>
          <w:szCs w:val="17"/>
          <w:color w:val="auto"/>
        </w:rPr>
      </w:pPr>
    </w:p>
    <w:p>
      <w:pPr>
        <w:ind w:left="-40" w:right="120" w:firstLine="444"/>
        <w:spacing w:after="0" w:line="259" w:lineRule="auto"/>
        <w:tabs>
          <w:tab w:leader="none" w:pos="64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a certification of beneficial ownership and such other required documentation as the Representatives may reasonably request in order to satisfy their obligations to the Financial Crimes Enforcement Networks.</w:t>
      </w:r>
    </w:p>
    <w:p>
      <w:pPr>
        <w:spacing w:after="0" w:line="79" w:lineRule="exact"/>
        <w:rPr>
          <w:sz w:val="20"/>
          <w:szCs w:val="20"/>
          <w:color w:val="auto"/>
        </w:rPr>
      </w:pPr>
    </w:p>
    <w:p>
      <w:pPr>
        <w:ind w:left="-40" w:firstLine="444"/>
        <w:spacing w:after="0" w:line="284" w:lineRule="auto"/>
        <w:tabs>
          <w:tab w:leader="none" w:pos="66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in any such case to the extent that any such loss, claim, damage or liability arises out of or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w:t>
      </w:r>
      <w:r>
        <w:rPr>
          <w:rFonts w:ascii="Arial" w:cs="Arial" w:eastAsia="Arial" w:hAnsi="Arial"/>
          <w:sz w:val="16"/>
          <w:szCs w:val="16"/>
          <w:b w:val="1"/>
          <w:bCs w:val="1"/>
          <w:color w:val="auto"/>
        </w:rPr>
        <w:t>,</w:t>
      </w:r>
      <w:r>
        <w:rPr>
          <w:rFonts w:ascii="Arial" w:cs="Arial" w:eastAsia="Arial" w:hAnsi="Arial"/>
          <w:sz w:val="16"/>
          <w:szCs w:val="16"/>
          <w:color w:val="auto"/>
        </w:rPr>
        <w:t xml:space="preserve"> in reliance upon and in conformity with the Underwriter Information.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520" w:top="272" w:right="519" w:bottom="1440" w:gutter="0" w:footer="0" w:header="0"/>
        </w:sectPr>
      </w:pPr>
    </w:p>
    <w:bookmarkStart w:id="261" w:name="page262"/>
    <w:bookmarkEnd w:id="261"/>
    <w:p>
      <w:pPr>
        <w:ind w:left="-20" w:firstLine="444"/>
        <w:spacing w:after="0" w:line="282" w:lineRule="auto"/>
        <w:tabs>
          <w:tab w:leader="none" w:pos="669"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Each of the Selling Shareholders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any roadshow or any Written Testing-the-Waters Communication, in reliance upon and in conformity with the Selling Shareholder Information; and will reimburse each Underwriter for any legal or other expenses reasonably incurred by such Underwriter in connection with investigating or defending any such action or claim as such expenses are incurred; provided, however, that such Selling Shareholder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Written Testing-the-Waters Communication in reliance upon and in conformity with the Underwriter Information; and provided further that the liability of a Selling Shareholder under this Section 10(b) shall in no event exceed an amount equal to the net proceeds received by such Selling Shareholder (before deducting expenses) from the Shares sold by such Selling Shareholder pursuant to this Agreement.</w:t>
      </w:r>
    </w:p>
    <w:p>
      <w:pPr>
        <w:spacing w:after="0" w:line="71" w:lineRule="exact"/>
        <w:rPr>
          <w:rFonts w:ascii="Arial" w:cs="Arial" w:eastAsia="Arial" w:hAnsi="Arial"/>
          <w:sz w:val="16"/>
          <w:szCs w:val="16"/>
          <w:color w:val="auto"/>
        </w:rPr>
      </w:pPr>
    </w:p>
    <w:p>
      <w:pPr>
        <w:ind w:left="-20" w:firstLine="444"/>
        <w:spacing w:after="0" w:line="282" w:lineRule="auto"/>
        <w:tabs>
          <w:tab w:leader="none" w:pos="65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and each Selling Shareholder against any losses, claims, damages or liabilities to which the Company or such Selling Shareholder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Written Testing-the-Waters Communication, in reliance upon and in conformity with the Underwriter Information; and will reimburse the Company and each Selling Shareholder for any legal or other expenses reasonably incurred by the Company or such Selling Shareholder in connection with investigating or defending any such action or claim as such expenses are incurred. As used in this Agreement with respect to an Underwriter and an applicable document, “</w:t>
      </w:r>
      <w:r>
        <w:rPr>
          <w:rFonts w:ascii="Arial" w:cs="Arial" w:eastAsia="Arial" w:hAnsi="Arial"/>
          <w:sz w:val="16"/>
          <w:szCs w:val="16"/>
          <w:b w:val="1"/>
          <w:bCs w:val="1"/>
          <w:color w:val="auto"/>
        </w:rPr>
        <w:t>Underwriter Information</w:t>
      </w:r>
      <w:r>
        <w:rPr>
          <w:rFonts w:ascii="Arial" w:cs="Arial" w:eastAsia="Arial" w:hAnsi="Arial"/>
          <w:sz w:val="16"/>
          <w:szCs w:val="16"/>
          <w:color w:val="auto"/>
        </w:rPr>
        <w:t>” shall mean the written information furnished to the Company by such Underwriter through the Representatives expressly for use therein; it being understood and agreed upon that the only such information furnished by any Underwriter consists of the information in the Prospectus furnished on behalf of each Underwriter: the concession and reallowance figures appearing in the [seventh] paragraph under the caption [“Underwriting,”] and the information contained in the [seventh, fifteenth and sixteenth] paragraphs under the caption [“Underwriting.”]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500" w:top="272" w:right="519" w:bottom="1440" w:gutter="0" w:footer="0" w:header="0"/>
        </w:sectPr>
      </w:pPr>
    </w:p>
    <w:bookmarkStart w:id="262" w:name="page263"/>
    <w:bookmarkEnd w:id="262"/>
    <w:p>
      <w:pPr>
        <w:ind w:left="-20" w:firstLine="444"/>
        <w:spacing w:after="0" w:line="281" w:lineRule="auto"/>
        <w:tabs>
          <w:tab w:leader="none" w:pos="669"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Promptly after receipt by an indemnified party under subsection (a), (b) or (c) of this Section 10 of notice of the commencement of any action, such indemnified party shall, if a claim in respect thereof is to be made against the indemnifying party under such subsection, notify the indemnifying party in writing of the commencement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notify the indemnifying party shall not relieve it from any liability that it may have under the preceding paragraphs of this Section 10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10. In case any such action shall be brought against any indemnified party and it shall notify the indemnifying party of the commencement thereof, the indemnifying party shall be entitled to (i) participate therein and (ii) in the case of any such action that is not a regulatory proceeding, to the extent that it shall wish, jointly with any other indemnifying party similarly notified, assume the defense thereof, with counsel reasonably satisfactory to such indemnified party (who shall not, except with the consent of the indemnified party, be counsel to the indemnifying party); provided that, after notice from the indemnifying party to such indemnified party of its election so to assume the defense of such non-regulatory proceeding,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includes an unconditional release of the indemnified party from all liability arising out of such action or claim and does not include a statement as to or an admission of fault, culpability or failure to act, by or on behalf of any indemnified party.</w:t>
      </w:r>
    </w:p>
    <w:p>
      <w:pPr>
        <w:spacing w:after="0" w:line="75" w:lineRule="exact"/>
        <w:rPr>
          <w:rFonts w:ascii="Arial" w:cs="Arial" w:eastAsia="Arial" w:hAnsi="Arial"/>
          <w:sz w:val="16"/>
          <w:szCs w:val="16"/>
          <w:color w:val="auto"/>
        </w:rPr>
      </w:pPr>
    </w:p>
    <w:p>
      <w:pPr>
        <w:ind w:left="-20" w:right="200" w:firstLine="444"/>
        <w:spacing w:after="0" w:line="252" w:lineRule="auto"/>
        <w:tabs>
          <w:tab w:leader="none" w:pos="65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10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Shareholders on the one hand and the Underwriters on the other from the offering of the Shares and with the proportion among the Company and the Selling Shareholders to reflect the relative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500" w:top="272" w:right="499" w:bottom="1440" w:gutter="0" w:footer="0" w:header="0"/>
        </w:sectPr>
      </w:pPr>
    </w:p>
    <w:bookmarkStart w:id="263" w:name="page264"/>
    <w:bookmarkEnd w:id="263"/>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fault of the Company and the Selling Shareholders.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Shareholders on the one hand and the Underwriters on the other in connection with the statements or omissions which resulted in such losses, claims, damages or liabilities (or actions in respect thereof), as well as any other relevant equitable considerations and with the proportion among the Company and the Selling Shareholders to reflect the relative fault of the Company and the Selling Shareholders. The relative benefits received by the Company and the Selling Shareholders on the one hand and the Underwriters on the other shall be deemed to be in the same proportion as the total net proceeds from the offering (before deducting expenses) received by the Company and the Selling Shareholders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Shareholders on the one hand or the Underwriters on the other and the parties’ relative intent, knowledge, access to information and opportunity to correct or prevent such statement or omission. The Company, each of the Selling Shareholders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under this Section 10 by reason of such untrue or alleged untrue statement or omission or alleged omission. The liability of a Selling Shareholder under this Section 10(e) shall in no event exceed an amount equal to the net proceeds received by such Selling Shareholder (before deducting expenses) from the Shares sold by such Selling Shareholder pursuant to this Agreement (reduced by any amounts such Selling Shareholder is obligated to pay under Section 10(b) above).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71" w:lineRule="exact"/>
        <w:rPr>
          <w:sz w:val="20"/>
          <w:szCs w:val="20"/>
          <w:color w:val="auto"/>
        </w:rPr>
      </w:pPr>
    </w:p>
    <w:p>
      <w:pPr>
        <w:ind w:firstLine="444"/>
        <w:spacing w:after="0" w:line="269" w:lineRule="auto"/>
        <w:tabs>
          <w:tab w:leader="none" w:pos="65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obligations of the Company and the Selling Shareholders under this Section 10 shall be in addition to any liability which the Company and the Selling Shareholders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Shareholder within the meaning of the Act and the Exchange Act.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80" w:top="272" w:right="539" w:bottom="1440" w:gutter="0" w:footer="0" w:header="0"/>
        </w:sectPr>
      </w:pPr>
    </w:p>
    <w:bookmarkStart w:id="264" w:name="page265"/>
    <w:bookmarkEnd w:id="264"/>
    <w:p>
      <w:pPr>
        <w:ind w:left="-20" w:firstLine="444"/>
        <w:spacing w:after="0" w:line="284" w:lineRule="auto"/>
        <w:tabs>
          <w:tab w:leader="none" w:pos="6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Shareholders shall be entitled to a further period of thirty-six hours within which to procure another party or other parties satisfactory to you to purchase such Shares on such terms. In the event that, within the respective prescribed periods, you notify the Company and the Selling Shareholders that you have so arranged for the purchase of such Shares, or the Company or a Selling Shareholder notifies you that it has so arranged for the purchase of such Shares, you or the Company or the Selling Shareholders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w:t>
      </w:r>
      <w:r>
        <w:rPr>
          <w:rFonts w:ascii="Arial" w:cs="Arial" w:eastAsia="Arial" w:hAnsi="Arial"/>
          <w:sz w:val="16"/>
          <w:szCs w:val="16"/>
          <w:b w:val="1"/>
          <w:bCs w:val="1"/>
          <w:color w:val="auto"/>
        </w:rPr>
        <w:t>Underwriter</w:t>
      </w:r>
      <w:r>
        <w:rPr>
          <w:rFonts w:ascii="Arial" w:cs="Arial" w:eastAsia="Arial" w:hAnsi="Arial"/>
          <w:sz w:val="16"/>
          <w:szCs w:val="16"/>
          <w:color w:val="auto"/>
        </w:rPr>
        <w:t>” as used in this Agreement shall include any person substituted under this Section with like effect as if such person had originally been a party to this Agreement with respect to such Shares.</w:t>
      </w:r>
    </w:p>
    <w:p>
      <w:pPr>
        <w:spacing w:after="0" w:line="66" w:lineRule="exact"/>
        <w:rPr>
          <w:sz w:val="20"/>
          <w:szCs w:val="20"/>
          <w:color w:val="auto"/>
        </w:rPr>
      </w:pPr>
    </w:p>
    <w:p>
      <w:pPr>
        <w:ind w:left="-20" w:right="60" w:firstLine="444"/>
        <w:spacing w:after="0" w:line="288" w:lineRule="auto"/>
        <w:tabs>
          <w:tab w:leader="none" w:pos="66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and the Selling Shareholders as provided in subsection (a) above, the aggregate number of such Shares which remains unpurchased does not exceed one-eleventh of the aggregate number of all the Shares to be purchased at such Time of Delivery, then the Company and the Selling Shareholders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59" w:lineRule="exact"/>
        <w:rPr>
          <w:rFonts w:ascii="Arial" w:cs="Arial" w:eastAsia="Arial" w:hAnsi="Arial"/>
          <w:sz w:val="16"/>
          <w:szCs w:val="16"/>
          <w:color w:val="auto"/>
        </w:rPr>
      </w:pPr>
    </w:p>
    <w:p>
      <w:pPr>
        <w:ind w:left="-20" w:right="20" w:firstLine="444"/>
        <w:spacing w:after="0" w:line="287" w:lineRule="auto"/>
        <w:tabs>
          <w:tab w:leader="none" w:pos="65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the Company and the Selling Shareholders as provided in subsection (a) above, the aggregate number of such Shares which remains unpurchased exceeds one-eleventh of the aggregate number of all the Shares to be purchased at such Time of Delivery, or if the Company and the Selling Shareholders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Selling Shareholders to sell the Optional Shares) shall thereupon terminate, without liability on the part of any non-defaulting Underwriter, the Company or the Selling Shareholders, except for the expenses to be borne by the Company, the Selling Shareholders and the Underwriters as provided in Section 8 hereof and the indemnity and contribution agreements in Section 10(f) hereof; but nothing herein shall relieve a defaulting Underwriter from liability for its default.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500" w:top="272" w:right="519" w:bottom="1440" w:gutter="0" w:footer="0" w:header="0"/>
        </w:sectPr>
      </w:pPr>
    </w:p>
    <w:bookmarkStart w:id="265" w:name="page266"/>
    <w:bookmarkEnd w:id="265"/>
    <w:p>
      <w:pPr>
        <w:ind w:right="60" w:firstLine="444"/>
        <w:spacing w:after="0" w:line="293" w:lineRule="auto"/>
        <w:tabs>
          <w:tab w:leader="none" w:pos="704"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respective indemnities, agreements, representations, warranties and other statements of the Company, the Selling Shareholders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Shareholders, or any officer or director or controlling person of the Company, or any controlling person of any Selling Shareholder and shall survive delivery of and payment for the Shares.</w:t>
      </w:r>
    </w:p>
    <w:p>
      <w:pPr>
        <w:spacing w:after="0" w:line="53" w:lineRule="exact"/>
        <w:rPr>
          <w:rFonts w:ascii="Arial" w:cs="Arial" w:eastAsia="Arial" w:hAnsi="Arial"/>
          <w:sz w:val="16"/>
          <w:szCs w:val="16"/>
          <w:color w:val="auto"/>
        </w:rPr>
      </w:pPr>
    </w:p>
    <w:p>
      <w:pPr>
        <w:ind w:right="60" w:firstLine="444"/>
        <w:spacing w:after="0" w:line="251" w:lineRule="auto"/>
        <w:tabs>
          <w:tab w:leader="none" w:pos="7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11 hereof, neither the Company nor the Selling Shareholders shall then be under any liability to any Underwriter except as provided in Sections 8 and 10(f) hereof; but, if for any other reason, any Shares are not delivered by or on behalf of the Selling Shareholders as provided herein or the Underwriters decline to purchase the Shares for any reason permitted under this Agreement, the Selling Shareholders pro rata will reimburse the Underwriters through you for all out-of-pocket expenses approved in writing by you, including reasonable and documented fees and disbursements of counsel, reasonably incurred by the Underwriters in making preparations for the purchase, sale and delivery of the Shares not so delivered, but the Company and the Selling Shareholders shall then be under no further liability to any Underwriter except as provided in Sections 8 and 10(f) hereof.</w:t>
      </w:r>
    </w:p>
    <w:p>
      <w:pPr>
        <w:spacing w:after="0" w:line="89" w:lineRule="exact"/>
        <w:rPr>
          <w:rFonts w:ascii="Arial" w:cs="Arial" w:eastAsia="Arial" w:hAnsi="Arial"/>
          <w:sz w:val="18"/>
          <w:szCs w:val="18"/>
          <w:color w:val="auto"/>
        </w:rPr>
      </w:pPr>
    </w:p>
    <w:p>
      <w:pPr>
        <w:ind w:right="40" w:firstLine="444"/>
        <w:spacing w:after="0" w:line="255" w:lineRule="auto"/>
        <w:tabs>
          <w:tab w:leader="none" w:pos="7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the Representatives and in all dealings with any Selling Shareholder hereunder, you and the Company shall be entitled to act and rely upon any statement, request, notice or agreement on behalf of such Selling Shareholder made or given by the Attorney-in-Fact for such Selling Shareholder.</w:t>
      </w:r>
    </w:p>
    <w:p>
      <w:pPr>
        <w:spacing w:after="0" w:line="190" w:lineRule="exact"/>
        <w:rPr>
          <w:sz w:val="20"/>
          <w:szCs w:val="20"/>
          <w:color w:val="auto"/>
        </w:rPr>
      </w:pPr>
    </w:p>
    <w:p>
      <w:pPr>
        <w:ind w:right="160" w:firstLine="436"/>
        <w:spacing w:after="0" w:line="268" w:lineRule="auto"/>
        <w:rPr>
          <w:sz w:val="20"/>
          <w:szCs w:val="20"/>
          <w:color w:val="auto"/>
        </w:rPr>
      </w:pPr>
      <w:r>
        <w:rPr>
          <w:rFonts w:ascii="Arial" w:cs="Arial" w:eastAsia="Arial" w:hAnsi="Arial"/>
          <w:sz w:val="17"/>
          <w:szCs w:val="17"/>
          <w:color w:val="auto"/>
        </w:rPr>
        <w:t xml:space="preserve">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if to any Selling shareholder shall be delivered or sent by mail, telex or facsimile transmission to the Attorney-in-Fact, c/o the Company at the address set forth on the cover of the Registration Statement, Attention: General Counsel; and if to the Company shall be delivered or sent by mail, telex or facsimile transmission to the address of the Company set forth in the Registration Statement, Attention: Secretary;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notice to an Underwriter pursuant to Section 10(d) hereof shall be delivered or sent by mail, telex or facsimile transmission to such Underwriter at its address set forth in its questionnaire, or telex constituting such questionnaire, which address will be supplied to the Company or the Selling Shareholders by you upon request.</w:t>
      </w:r>
    </w:p>
    <w:p>
      <w:pPr>
        <w:spacing w:after="0" w:line="180"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2" w:right="499" w:bottom="1440" w:gutter="0" w:footer="0" w:header="0"/>
        </w:sectPr>
      </w:pPr>
    </w:p>
    <w:bookmarkStart w:id="266" w:name="page267"/>
    <w:bookmarkEnd w:id="266"/>
    <w:p>
      <w:pPr>
        <w:ind w:left="-20" w:right="40" w:firstLine="444"/>
        <w:spacing w:after="0" w:line="265" w:lineRule="auto"/>
        <w:tabs>
          <w:tab w:leader="none" w:pos="684"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15,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w:t>
      </w:r>
      <w:r>
        <w:rPr>
          <w:rFonts w:ascii="Arial" w:cs="Arial" w:eastAsia="Arial" w:hAnsi="Arial"/>
          <w:sz w:val="17"/>
          <w:szCs w:val="17"/>
          <w:color w:val="auto"/>
        </w:rPr>
        <w:t xml:space="preserve"> </w:t>
      </w:r>
      <w:r>
        <w:rPr>
          <w:rFonts w:ascii="Arial" w:cs="Arial" w:eastAsia="Arial" w:hAnsi="Arial"/>
          <w:sz w:val="17"/>
          <w:szCs w:val="17"/>
          <w:b w:val="1"/>
          <w:bCs w:val="1"/>
          <w:color w:val="auto"/>
        </w:rPr>
        <w:t>Entity</w:t>
      </w:r>
      <w:r>
        <w:rPr>
          <w:rFonts w:ascii="Arial" w:cs="Arial" w:eastAsia="Arial" w:hAnsi="Arial"/>
          <w:sz w:val="17"/>
          <w:szCs w:val="17"/>
          <w:color w:val="auto"/>
        </w:rPr>
        <w:t>” means any of the following: (i) a “covered entity” as that term is defined in, and interpreted in accordance with, 12 C.F.R. § 252.82(b); (ii) a</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81" w:lineRule="exact"/>
        <w:rPr>
          <w:rFonts w:ascii="Arial" w:cs="Arial" w:eastAsia="Arial" w:hAnsi="Arial"/>
          <w:sz w:val="17"/>
          <w:szCs w:val="17"/>
          <w:color w:val="auto"/>
        </w:rPr>
      </w:pPr>
    </w:p>
    <w:p>
      <w:pPr>
        <w:ind w:left="-20" w:right="20" w:firstLine="444"/>
        <w:spacing w:after="0" w:line="253" w:lineRule="auto"/>
        <w:tabs>
          <w:tab w:leader="none" w:pos="6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the Selling Shareholders and, to the extent provided in Sections 10 and 12 hereof, the officers and directors of the Company and each person who controls the Company, any Selling Shareholder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81" w:lineRule="exact"/>
        <w:rPr>
          <w:rFonts w:ascii="Arial" w:cs="Arial" w:eastAsia="Arial" w:hAnsi="Arial"/>
          <w:sz w:val="18"/>
          <w:szCs w:val="18"/>
          <w:color w:val="auto"/>
        </w:rPr>
      </w:pPr>
    </w:p>
    <w:p>
      <w:pPr>
        <w:ind w:left="-20" w:right="60" w:firstLine="444"/>
        <w:spacing w:after="0" w:line="275" w:lineRule="auto"/>
        <w:tabs>
          <w:tab w:leader="none" w:pos="6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when the Commission’s office in Washington, D.C. is open for business.</w:t>
      </w:r>
    </w:p>
    <w:p>
      <w:pPr>
        <w:spacing w:after="0" w:line="64" w:lineRule="exact"/>
        <w:rPr>
          <w:rFonts w:ascii="Arial" w:cs="Arial" w:eastAsia="Arial" w:hAnsi="Arial"/>
          <w:sz w:val="18"/>
          <w:szCs w:val="18"/>
          <w:color w:val="auto"/>
        </w:rPr>
      </w:pPr>
    </w:p>
    <w:p>
      <w:pPr>
        <w:ind w:left="-20" w:firstLine="444"/>
        <w:spacing w:after="0" w:line="286" w:lineRule="auto"/>
        <w:tabs>
          <w:tab w:leader="none" w:pos="68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 and the Selling Shareholders acknowledge and agree that (i) the purchase and sale of the Shares pursuant to this Agreement is an arm’s-length commercial transaction between the Company and the Selling Shareholders,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or any Selling Shareholder, (iii) no Underwriter has assumed an advisory or fiduciary responsibility in favor of the Company or any Selling Shareholder with respect to the offering contemplated hereby or the process leading thereto (irrespective of whether such Underwriter has advised or is currently advising the Company or any Selling Shareholder on other matters) or any other obligation to the Company or any Selling Shareholder except the obligations expressly set forth in this Agreement, (iv) the Underwriters have not provided any legal, accounting, regulatory, investment or tax advice with respect to the offering of the Shares and the Company and each Selling Shareholder has consulted its own legal and financial advisors to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500" w:top="272" w:right="519" w:bottom="1440" w:gutter="0" w:footer="0" w:header="0"/>
        </w:sectPr>
      </w:pPr>
    </w:p>
    <w:bookmarkStart w:id="267" w:name="page268"/>
    <w:bookmarkEnd w:id="267"/>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extent it deemed appropriate and (v) none of the activities of or communications by the Underwriters in connection with the transactions contemplated herein constitute a recommendation, investment advice, or solicitation of any action by the Underwriters to or for any Selling Shareholder. The Company and each Selling Shareholder agrees that it will not claim that the Underwriters, or any of them, has rendered advisory services of any nature or respect, or owes a fiduciary or similar duty to the Company or any Selling Shareholder, in connection with such transaction or the process leading thereto.</w:t>
      </w:r>
    </w:p>
    <w:p>
      <w:pPr>
        <w:spacing w:after="0" w:line="86" w:lineRule="exact"/>
        <w:rPr>
          <w:sz w:val="20"/>
          <w:szCs w:val="20"/>
          <w:color w:val="auto"/>
        </w:rPr>
      </w:pPr>
    </w:p>
    <w:p>
      <w:pPr>
        <w:ind w:right="180" w:firstLine="444"/>
        <w:spacing w:after="0" w:line="271" w:lineRule="auto"/>
        <w:tabs>
          <w:tab w:leader="none" w:pos="7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among the Company, the Selling Shareholders and the Underwriters, or any of them, with respect to the subject matter hereof.</w:t>
      </w:r>
    </w:p>
    <w:p>
      <w:pPr>
        <w:spacing w:after="0" w:line="67" w:lineRule="exact"/>
        <w:rPr>
          <w:rFonts w:ascii="Arial" w:cs="Arial" w:eastAsia="Arial" w:hAnsi="Arial"/>
          <w:sz w:val="18"/>
          <w:szCs w:val="18"/>
          <w:color w:val="auto"/>
        </w:rPr>
      </w:pPr>
    </w:p>
    <w:p>
      <w:pPr>
        <w:ind w:firstLine="444"/>
        <w:spacing w:after="0" w:line="287" w:lineRule="auto"/>
        <w:tabs>
          <w:tab w:leader="none" w:pos="70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law other than the laws of the State of New York. The Company and each Selling Shareholder agree that any suit, action or proceeding arising in respect of this Agreement or any transaction contemplated by this Agreement (“</w:t>
      </w:r>
      <w:r>
        <w:rPr>
          <w:rFonts w:ascii="Arial" w:cs="Arial" w:eastAsia="Arial" w:hAnsi="Arial"/>
          <w:sz w:val="16"/>
          <w:szCs w:val="16"/>
          <w:b w:val="1"/>
          <w:bCs w:val="1"/>
          <w:color w:val="auto"/>
        </w:rPr>
        <w:t>Related Proceedings</w:t>
      </w:r>
      <w:r>
        <w:rPr>
          <w:rFonts w:ascii="Arial" w:cs="Arial" w:eastAsia="Arial" w:hAnsi="Arial"/>
          <w:sz w:val="16"/>
          <w:szCs w:val="16"/>
          <w:color w:val="auto"/>
        </w:rPr>
        <w:t>”) will be tried exclusively in the U.S. District Court for the Southern District of New York or, if that court does not have subject matter jurisdiction, in any state court located in The City and County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the Company and each Selling Shareholder agrees to submit to the jurisdiction of, and to venue in, such courts in any such suit, action or proceeding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w:t>
      </w:r>
    </w:p>
    <w:p>
      <w:pPr>
        <w:spacing w:after="0" w:line="58" w:lineRule="exact"/>
        <w:rPr>
          <w:rFonts w:ascii="Arial" w:cs="Arial" w:eastAsia="Arial" w:hAnsi="Arial"/>
          <w:sz w:val="16"/>
          <w:szCs w:val="16"/>
          <w:color w:val="auto"/>
        </w:rPr>
      </w:pPr>
    </w:p>
    <w:p>
      <w:pPr>
        <w:ind w:firstLine="444"/>
        <w:spacing w:after="0" w:line="284" w:lineRule="auto"/>
        <w:tabs>
          <w:tab w:leader="none" w:pos="70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each Selling Shareholder and each of the Underwriters hereby irrevocably waives, to the fullest extent permitted by applicable law, any and all right to trial by jury in any legal proceeding arising out of or relating to this Agreement or any Related Proceedings. The Company irrevocably appoints Global-e US Inc., as its authorized agent upon which process may be served in any such suit or proceeding, and agrees that service of process upon such agent, and written notice of said service to the Company by the person serving the same to the address provided in Section 14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no less than seven years from the date of this Agreement. Each Selling Shareholder irrevocably appoints CT Corporation System, 28 Liberty Street, New York, New York 10005 as its authorized agent upon which process may be served in any such suit or proceeding, and agrees that service of process upon such agent, and written notice of said service to such Selling Shareholder by the person serving the same to the address provided in Section 14 shall be deemed in every respect effective service of process upon such Selling Shareholders in any such suit or proceeding. Each Selling Shareholder further agrees to take any and all actions as may be necessary to maintain such designation and appointment of such agent in full force and effect for a period of no less than seven years from the date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480" w:top="272" w:right="519" w:bottom="1440" w:gutter="0" w:footer="0" w:header="0"/>
        </w:sectPr>
      </w:pPr>
    </w:p>
    <w:bookmarkStart w:id="268" w:name="page269"/>
    <w:bookmarkEnd w:id="268"/>
    <w:p>
      <w:pPr>
        <w:ind w:right="60" w:firstLine="444"/>
        <w:spacing w:after="0" w:line="251" w:lineRule="auto"/>
        <w:tabs>
          <w:tab w:leader="none" w:pos="704"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respect to any Related Proceedings, the Company, each Selling Shareholder and each of the Underwriters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Proceedings or Related Judgment, including, without limitation, any immunity pursuant to the United States Foreign Sovereign Immunities Act of 1976, as amended, and the Israeli Foreign States Immunity Law, 5769-2008, as amended.</w:t>
      </w:r>
    </w:p>
    <w:p>
      <w:pPr>
        <w:spacing w:after="0" w:line="89" w:lineRule="exact"/>
        <w:rPr>
          <w:rFonts w:ascii="Arial" w:cs="Arial" w:eastAsia="Arial" w:hAnsi="Arial"/>
          <w:sz w:val="18"/>
          <w:szCs w:val="18"/>
          <w:color w:val="auto"/>
        </w:rPr>
      </w:pPr>
    </w:p>
    <w:p>
      <w:pPr>
        <w:ind w:right="100" w:firstLine="444"/>
        <w:spacing w:after="0" w:line="287" w:lineRule="auto"/>
        <w:tabs>
          <w:tab w:leader="none" w:pos="70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obligations of the Company and each Selling Shareholder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and each Selling Shareholder agree as a separate obligation and notwithstanding any such judgment, to indemnify such Underwriter against such loss. If the United States dollars so purchased are greater than the sum originally due to such Underwriter hereunder, such Underwriter agrees to pay to the Company or the applicable Selling Shareholder an amount equal to the excess of the United States dollars so purchased over the sum originally due to such Underwriter hereunder.</w:t>
      </w:r>
    </w:p>
    <w:p>
      <w:pPr>
        <w:spacing w:after="0" w:line="58" w:lineRule="exact"/>
        <w:rPr>
          <w:rFonts w:ascii="Arial" w:cs="Arial" w:eastAsia="Arial" w:hAnsi="Arial"/>
          <w:sz w:val="16"/>
          <w:szCs w:val="16"/>
          <w:color w:val="auto"/>
        </w:rPr>
      </w:pPr>
    </w:p>
    <w:p>
      <w:pPr>
        <w:ind w:right="80" w:firstLine="444"/>
        <w:spacing w:after="0" w:line="253" w:lineRule="auto"/>
        <w:tabs>
          <w:tab w:leader="none" w:pos="70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payments (including payments in kind, such as sale and delivery of Shares by the Selling Shareholders to the Underwriters and the initial sale and delivery of Shares by the Underwriters to purchasers thereof) made or deemed to be made by or on behalf of the Company or any Selling Shareholder under this Agreement shall be exclusive of any value added tax or any other tax of a similar nature (“</w:t>
      </w:r>
      <w:r>
        <w:rPr>
          <w:rFonts w:ascii="Arial" w:cs="Arial" w:eastAsia="Arial" w:hAnsi="Arial"/>
          <w:sz w:val="18"/>
          <w:szCs w:val="18"/>
          <w:b w:val="1"/>
          <w:bCs w:val="1"/>
          <w:color w:val="auto"/>
        </w:rPr>
        <w:t>VAT</w:t>
      </w:r>
      <w:r>
        <w:rPr>
          <w:rFonts w:ascii="Arial" w:cs="Arial" w:eastAsia="Arial" w:hAnsi="Arial"/>
          <w:sz w:val="18"/>
          <w:szCs w:val="18"/>
          <w:color w:val="auto"/>
        </w:rPr>
        <w:t>”) which is chargeable thereon. If any VAT is or becomes chargeable in respect of any such payment or deemed payment, the Company or such Selling Shareholder, as applicable, shall pay in addition the amount of such VAT.</w:t>
      </w:r>
    </w:p>
    <w:p>
      <w:pPr>
        <w:spacing w:after="0" w:line="85" w:lineRule="exact"/>
        <w:rPr>
          <w:rFonts w:ascii="Arial" w:cs="Arial" w:eastAsia="Arial" w:hAnsi="Arial"/>
          <w:sz w:val="18"/>
          <w:szCs w:val="18"/>
          <w:color w:val="auto"/>
        </w:rPr>
      </w:pPr>
    </w:p>
    <w:p>
      <w:pPr>
        <w:ind w:firstLine="444"/>
        <w:spacing w:after="0" w:line="284" w:lineRule="auto"/>
        <w:tabs>
          <w:tab w:leader="none" w:pos="70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payments made or deemed to be made by the Company or any Selling Shareholder to the Underwriters under this Agreement, if any, will be made respectively without withholding or deduction for or on account of any present or future taxes, duties, assessments or governmental charges of whatever nature (other than taxes on net income or similar taxes) imposed or levied by or on behalf of the State of Israel, any other jurisdiction in which the Company or such Selling Shareholder, as applicable with respect to its own relevant jurisdiction, is organized or incorporated, engaged in business for tax purposes or is otherwise resident for tax purposes or has a permanent establishment, or any political subdivision, authority or agency in or of any of the foregoing having power to tax, unless the Company or any Selling Shareholder, as applicable, is or becomes required by law to withhold or deduct such taxes, duties, assessments or other governmental charges. In such event, the Company or the applicable Selling Shareholder, in each case solely with respect to payments made or deemed to be made by itself, will pay such additional amounts as will result, after such withholding or deduction imposed by the applicable jurisdiction with respect solely to such payments, in the receipt by each Underwriter of the amounts that would otherwise have been receivable had such deduction or withholding not been required. Notwithstanding anything to the contrary herein, in no event shall the Company or any Selling Shareholder be liable to (or pay additional amounts with respect to) any taxes, duties, assessments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80" w:top="272" w:right="499" w:bottom="1440" w:gutter="0" w:footer="0" w:header="0"/>
        </w:sectPr>
      </w:pPr>
    </w:p>
    <w:bookmarkStart w:id="269" w:name="page270"/>
    <w:bookmarkEnd w:id="269"/>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governmental charges, withholding or deduction imposed on an Underwriter by the State of Israel or any other relevant jurisdiction or any political subdivision or taxing authority thereof or therein as a result of the Underwriter being (currently or in the past) a tax resident of or having a permanent establishment or an Israeli Affiliate in the jurisdiction imposing the tax or as a result of any present or former connection (other than any connection resulting solely from the transactions contemplated by this Agreement) between the Underwriter and the jurisdiction imposing such tax, withholding or deductions or, to the extent resulting from the Underwriter’s services under this Agreement having been performed by the Underwriter inside the State of Israel. If requested by the Company or the Selling Shareholders, the Underwriters shall reasonably cooperate with the Company or the Selling Shareholders, as applicable, by providing reasonably required information for the Company or the Selling Shareholders, as applicable, to obtain an exemption certificate from withholding or deduction in connection with the payments under this Agreement.</w:t>
      </w:r>
    </w:p>
    <w:p>
      <w:pPr>
        <w:spacing w:after="0" w:line="59" w:lineRule="exact"/>
        <w:rPr>
          <w:sz w:val="20"/>
          <w:szCs w:val="20"/>
          <w:color w:val="auto"/>
        </w:rPr>
      </w:pPr>
    </w:p>
    <w:p>
      <w:pPr>
        <w:ind w:right="20" w:firstLine="444"/>
        <w:spacing w:after="0" w:line="272" w:lineRule="auto"/>
        <w:tabs>
          <w:tab w:leader="none" w:pos="70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69" w:lineRule="exact"/>
        <w:rPr>
          <w:rFonts w:ascii="Arial" w:cs="Arial" w:eastAsia="Arial" w:hAnsi="Arial"/>
          <w:sz w:val="17"/>
          <w:szCs w:val="17"/>
          <w:color w:val="auto"/>
        </w:rPr>
      </w:pPr>
    </w:p>
    <w:p>
      <w:pPr>
        <w:ind w:firstLine="444"/>
        <w:spacing w:after="0" w:line="252" w:lineRule="auto"/>
        <w:tabs>
          <w:tab w:leader="none" w:pos="70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and the Selling Shareholders are authorized to disclose to any persons the U.S. federal and state, Israeli, foreign or other income tax treatment and tax structure of the potential transaction and all materials of any kind (including tax opinions and other tax analyses) provided to the Company and the Selling Shareholders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80" w:top="272" w:right="519" w:bottom="1440" w:gutter="0" w:footer="0" w:header="0"/>
        </w:sectPr>
      </w:pPr>
    </w:p>
    <w:bookmarkStart w:id="270" w:name="page271"/>
    <w:bookmarkEnd w:id="270"/>
    <w:p>
      <w:pPr>
        <w:ind w:firstLine="43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the Company and each of the Selling Shareholders. It is understood that your acceptance of this letter on behalf of each of the Underwriters is pursuant to the authority set forth in a form of Agreement among Underwriters, the form of which shall be submitted to the Company and the Selling Shareholders for examination upon request, but without warranty on your part as to the authority of the signers thereof.</w:t>
      </w:r>
    </w:p>
    <w:p>
      <w:pPr>
        <w:spacing w:after="0" w:line="69"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Any person executing and delivering this Agreement as Attorney-in-Fact for a Selling Shareholder represents by so doing that he has been duly appointed as Attorney-in-Fact by such Selling Shareholder pursuant to a validly existing and binding Power of Attorney that authorizes such Attorney-in-Fact to take such action.</w:t>
      </w:r>
    </w:p>
    <w:p>
      <w:pPr>
        <w:spacing w:after="0" w:line="21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Goldman Sachs &amp; Co. LLC</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Morgan Stanley &amp; Co. LLC</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920"/>
          </w:cols>
          <w:pgMar w:left="480" w:top="272" w:right="499" w:bottom="1440" w:gutter="0" w:footer="0" w:header="0"/>
        </w:sectPr>
      </w:pPr>
    </w:p>
    <w:bookmarkStart w:id="271" w:name="page272"/>
    <w:bookmarkEnd w:id="27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Jefferies LLC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On behalf of each of the Underwriters</w:t>
      </w:r>
    </w:p>
    <w:p>
      <w:pPr>
        <w:spacing w:after="0" w:line="217"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The Selling Shareholders named in Schedule II hereto,</w:t>
      </w:r>
    </w:p>
    <w:p>
      <w:pPr>
        <w:spacing w:after="0" w:line="4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acting severally</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Attorney-in-Fact</w:t>
      </w:r>
    </w:p>
    <w:p>
      <w:pPr>
        <w:spacing w:after="0" w:line="208"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740"/>
          </w:cols>
          <w:pgMar w:left="1440" w:top="268" w:right="71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3"/>
              </w:rPr>
              <w:t>Total Number</w:t>
            </w:r>
          </w:p>
        </w:tc>
        <w:tc>
          <w:tcPr>
            <w:tcW w:w="9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Purchased if</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8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2"/>
          </w:tcPr>
          <w:p>
            <w:pPr>
              <w:jc w:val="center"/>
              <w:ind w:right="980"/>
              <w:spacing w:after="0" w:line="147" w:lineRule="exact"/>
              <w:rPr>
                <w:sz w:val="20"/>
                <w:szCs w:val="20"/>
                <w:color w:val="auto"/>
              </w:rPr>
            </w:pPr>
            <w:r>
              <w:rPr>
                <w:rFonts w:ascii="Arial" w:cs="Arial" w:eastAsia="Arial" w:hAnsi="Arial"/>
                <w:sz w:val="14"/>
                <w:szCs w:val="14"/>
                <w:b w:val="1"/>
                <w:bCs w:val="1"/>
                <w:color w:val="auto"/>
                <w:w w:val="93"/>
              </w:rPr>
              <w:t>of Firm Shares</w:t>
            </w:r>
          </w:p>
        </w:tc>
        <w:tc>
          <w:tcPr>
            <w:tcW w:w="9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780" w:type="dxa"/>
            <w:vAlign w:val="bottom"/>
            <w:tcBorders>
              <w:bottom w:val="single" w:sz="8" w:color="auto"/>
            </w:tcBorders>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4440" w:type="dxa"/>
            <w:vAlign w:val="bottom"/>
          </w:tcPr>
          <w:p>
            <w:pPr>
              <w:spacing w:after="0"/>
              <w:rPr>
                <w:sz w:val="13"/>
                <w:szCs w:val="13"/>
                <w:color w:val="auto"/>
              </w:rPr>
            </w:pPr>
          </w:p>
        </w:tc>
        <w:tc>
          <w:tcPr>
            <w:tcW w:w="1940" w:type="dxa"/>
            <w:vAlign w:val="bottom"/>
            <w:gridSpan w:val="2"/>
          </w:tcPr>
          <w:p>
            <w:pPr>
              <w:jc w:val="center"/>
              <w:ind w:right="980"/>
              <w:spacing w:after="0" w:line="157" w:lineRule="exact"/>
              <w:rPr>
                <w:sz w:val="20"/>
                <w:szCs w:val="20"/>
                <w:color w:val="auto"/>
              </w:rPr>
            </w:pPr>
            <w:r>
              <w:rPr>
                <w:rFonts w:ascii="Arial" w:cs="Arial" w:eastAsia="Arial" w:hAnsi="Arial"/>
                <w:sz w:val="14"/>
                <w:szCs w:val="14"/>
                <w:b w:val="1"/>
                <w:bCs w:val="1"/>
                <w:color w:val="auto"/>
                <w:w w:val="88"/>
              </w:rPr>
              <w:t>to be Purchased</w:t>
            </w:r>
          </w:p>
        </w:tc>
        <w:tc>
          <w:tcPr>
            <w:tcW w:w="9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Exercised</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44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00" w:type="dxa"/>
            <w:vAlign w:val="bottom"/>
            <w:gridSpan w:val="2"/>
            <w:vMerge w:val="continue"/>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90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4440" w:type="dxa"/>
            <w:vAlign w:val="bottom"/>
          </w:tcPr>
          <w:p>
            <w:pPr>
              <w:spacing w:after="0"/>
              <w:rPr>
                <w:sz w:val="18"/>
                <w:szCs w:val="18"/>
                <w:color w:val="auto"/>
              </w:rPr>
            </w:pPr>
          </w:p>
        </w:tc>
        <w:tc>
          <w:tcPr>
            <w:tcW w:w="19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4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4440" w:type="dxa"/>
            <w:vAlign w:val="bottom"/>
          </w:tcPr>
          <w:p>
            <w:pPr>
              <w:spacing w:after="0"/>
              <w:rPr>
                <w:sz w:val="18"/>
                <w:szCs w:val="18"/>
                <w:color w:val="auto"/>
              </w:rPr>
            </w:pPr>
          </w:p>
        </w:tc>
        <w:tc>
          <w:tcPr>
            <w:tcW w:w="19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380" w:type="dxa"/>
            <w:vAlign w:val="bottom"/>
            <w:gridSpan w:val="3"/>
          </w:tcPr>
          <w:p>
            <w:pPr>
              <w:ind w:left="1580"/>
              <w:spacing w:after="0"/>
              <w:rPr>
                <w:sz w:val="20"/>
                <w:szCs w:val="20"/>
                <w:color w:val="auto"/>
              </w:rPr>
            </w:pPr>
            <w:r>
              <w:rPr>
                <w:rFonts w:ascii="Arial" w:cs="Arial" w:eastAsia="Arial" w:hAnsi="Arial"/>
                <w:sz w:val="18"/>
                <w:szCs w:val="18"/>
                <w:color w:val="auto"/>
              </w:rPr>
              <w:t>Sch. I-1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68" w:right="49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II</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95"/>
              </w:rPr>
              <w:t>Total Number</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 Optional</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4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Shares to be Sold if</w:t>
            </w:r>
          </w:p>
        </w:tc>
        <w:tc>
          <w:tcPr>
            <w:tcW w:w="0" w:type="dxa"/>
            <w:vAlign w:val="bottom"/>
          </w:tcPr>
          <w:p>
            <w:pPr>
              <w:spacing w:after="0"/>
              <w:rPr>
                <w:sz w:val="1"/>
                <w:szCs w:val="1"/>
                <w:color w:val="auto"/>
              </w:rPr>
            </w:pPr>
          </w:p>
        </w:tc>
      </w:tr>
      <w:tr>
        <w:trPr>
          <w:trHeight w:val="147"/>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w:t>
            </w:r>
          </w:p>
        </w:tc>
        <w:tc>
          <w:tcPr>
            <w:tcW w:w="3360" w:type="dxa"/>
            <w:vAlign w:val="bottom"/>
          </w:tcPr>
          <w:p>
            <w:pPr>
              <w:spacing w:after="0"/>
              <w:rPr>
                <w:sz w:val="12"/>
                <w:szCs w:val="12"/>
                <w:color w:val="auto"/>
              </w:rPr>
            </w:pPr>
          </w:p>
        </w:tc>
        <w:tc>
          <w:tcPr>
            <w:tcW w:w="2000" w:type="dxa"/>
            <w:vAlign w:val="bottom"/>
            <w:gridSpan w:val="2"/>
          </w:tcPr>
          <w:p>
            <w:pPr>
              <w:jc w:val="center"/>
              <w:ind w:right="1100"/>
              <w:spacing w:after="0" w:line="147" w:lineRule="exact"/>
              <w:rPr>
                <w:sz w:val="20"/>
                <w:szCs w:val="20"/>
                <w:color w:val="auto"/>
              </w:rPr>
            </w:pPr>
            <w:r>
              <w:rPr>
                <w:rFonts w:ascii="Arial" w:cs="Arial" w:eastAsia="Arial" w:hAnsi="Arial"/>
                <w:sz w:val="14"/>
                <w:szCs w:val="14"/>
                <w:b w:val="1"/>
                <w:bCs w:val="1"/>
                <w:color w:val="auto"/>
                <w:w w:val="91"/>
              </w:rPr>
              <w:t>of Firm Shares</w:t>
            </w:r>
          </w:p>
        </w:tc>
        <w:tc>
          <w:tcPr>
            <w:tcW w:w="14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6"/>
              </w:rPr>
              <w:t>Maximum Option</w:t>
            </w:r>
          </w:p>
        </w:tc>
        <w:tc>
          <w:tcPr>
            <w:tcW w:w="0" w:type="dxa"/>
            <w:vAlign w:val="bottom"/>
          </w:tcPr>
          <w:p>
            <w:pPr>
              <w:spacing w:after="0"/>
              <w:rPr>
                <w:sz w:val="1"/>
                <w:szCs w:val="1"/>
                <w:color w:val="auto"/>
              </w:rPr>
            </w:pPr>
          </w:p>
        </w:tc>
      </w:tr>
      <w:tr>
        <w:trPr>
          <w:trHeight w:val="170"/>
        </w:trPr>
        <w:tc>
          <w:tcPr>
            <w:tcW w:w="4140" w:type="dxa"/>
            <w:vAlign w:val="bottom"/>
            <w:tcBorders>
              <w:bottom w:val="single" w:sz="8" w:color="CCEEFF"/>
            </w:tcBorders>
            <w:vMerge w:val="continue"/>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to be Sold</w:t>
            </w:r>
          </w:p>
        </w:tc>
        <w:tc>
          <w:tcPr>
            <w:tcW w:w="1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Cross Ship S.à r.l.</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Red Dot Capital Partners, L.P.</w:t>
            </w:r>
          </w:p>
        </w:tc>
        <w:tc>
          <w:tcPr>
            <w:tcW w:w="3360" w:type="dxa"/>
            <w:vAlign w:val="bottom"/>
          </w:tcPr>
          <w:p>
            <w:pPr>
              <w:spacing w:after="0"/>
              <w:rPr>
                <w:sz w:val="18"/>
                <w:szCs w:val="18"/>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Goor HoldCo Ltd.</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Itshak Shaked Assets Ltd.</w:t>
            </w:r>
          </w:p>
        </w:tc>
        <w:tc>
          <w:tcPr>
            <w:tcW w:w="3360" w:type="dxa"/>
            <w:vAlign w:val="bottom"/>
          </w:tcPr>
          <w:p>
            <w:pPr>
              <w:spacing w:after="0"/>
              <w:rPr>
                <w:sz w:val="18"/>
                <w:szCs w:val="18"/>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Nir Debbi</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Amir Schlachet</w:t>
            </w:r>
          </w:p>
        </w:tc>
        <w:tc>
          <w:tcPr>
            <w:tcW w:w="3360" w:type="dxa"/>
            <w:vAlign w:val="bottom"/>
          </w:tcPr>
          <w:p>
            <w:pPr>
              <w:spacing w:after="0"/>
              <w:rPr>
                <w:sz w:val="18"/>
                <w:szCs w:val="18"/>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Shahar Tamari</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Yaron Lemelbaum</w:t>
            </w:r>
          </w:p>
        </w:tc>
        <w:tc>
          <w:tcPr>
            <w:tcW w:w="3360" w:type="dxa"/>
            <w:vAlign w:val="bottom"/>
          </w:tcPr>
          <w:p>
            <w:pPr>
              <w:spacing w:after="0"/>
              <w:rPr>
                <w:sz w:val="18"/>
                <w:szCs w:val="18"/>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Natan Schlachet</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Roter Holdings Ltd.</w:t>
            </w:r>
          </w:p>
        </w:tc>
        <w:tc>
          <w:tcPr>
            <w:tcW w:w="3360" w:type="dxa"/>
            <w:vAlign w:val="bottom"/>
          </w:tcPr>
          <w:p>
            <w:pPr>
              <w:spacing w:after="0"/>
              <w:rPr>
                <w:sz w:val="18"/>
                <w:szCs w:val="18"/>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Viola Credit Five Fund Limited Partnership</w:t>
            </w:r>
          </w:p>
        </w:tc>
        <w:tc>
          <w:tcPr>
            <w:tcW w:w="3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60" w:type="dxa"/>
            <w:vAlign w:val="bottom"/>
          </w:tcPr>
          <w:p>
            <w:pPr>
              <w:spacing w:after="0"/>
              <w:rPr>
                <w:sz w:val="20"/>
                <w:szCs w:val="20"/>
                <w:color w:val="auto"/>
              </w:rPr>
            </w:pPr>
          </w:p>
        </w:tc>
        <w:tc>
          <w:tcPr>
            <w:tcW w:w="20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3"/>
        </w:trPr>
        <w:tc>
          <w:tcPr>
            <w:tcW w:w="4140" w:type="dxa"/>
            <w:vAlign w:val="bottom"/>
          </w:tcPr>
          <w:p>
            <w:pPr>
              <w:spacing w:after="0"/>
              <w:rPr>
                <w:sz w:val="24"/>
                <w:szCs w:val="24"/>
                <w:color w:val="auto"/>
              </w:rPr>
            </w:pPr>
          </w:p>
        </w:tc>
        <w:tc>
          <w:tcPr>
            <w:tcW w:w="5360" w:type="dxa"/>
            <w:vAlign w:val="bottom"/>
            <w:gridSpan w:val="3"/>
          </w:tcPr>
          <w:p>
            <w:pPr>
              <w:ind w:left="1020"/>
              <w:spacing w:after="0"/>
              <w:rPr>
                <w:sz w:val="20"/>
                <w:szCs w:val="20"/>
                <w:color w:val="auto"/>
              </w:rPr>
            </w:pPr>
            <w:r>
              <w:rPr>
                <w:rFonts w:ascii="Arial" w:cs="Arial" w:eastAsia="Arial" w:hAnsi="Arial"/>
                <w:sz w:val="18"/>
                <w:szCs w:val="18"/>
                <w:color w:val="auto"/>
              </w:rPr>
              <w:t>Sch. II-2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68" w:right="499" w:bottom="1440" w:gutter="0" w:footer="0" w:header="0"/>
        </w:sectPr>
      </w:pPr>
    </w:p>
    <w:bookmarkStart w:id="274" w:name="page275"/>
    <w:bookmarkEnd w:id="274"/>
    <w:p>
      <w:pPr>
        <w:ind w:left="483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III</w:t>
      </w:r>
    </w:p>
    <w:p>
      <w:pPr>
        <w:spacing w:after="0" w:line="131" w:lineRule="exact"/>
        <w:rPr>
          <w:sz w:val="20"/>
          <w:szCs w:val="20"/>
          <w:color w:val="auto"/>
        </w:rPr>
      </w:pPr>
    </w:p>
    <w:p>
      <w:pPr>
        <w:ind w:left="433" w:right="3759" w:hanging="433"/>
        <w:spacing w:after="0" w:line="379" w:lineRule="auto"/>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September [•], 2021</w:t>
      </w:r>
    </w:p>
    <w:p>
      <w:pPr>
        <w:spacing w:after="0" w:line="1" w:lineRule="exact"/>
        <w:rPr>
          <w:rFonts w:ascii="Arial" w:cs="Arial" w:eastAsia="Arial" w:hAnsi="Arial"/>
          <w:sz w:val="18"/>
          <w:szCs w:val="18"/>
          <w:color w:val="auto"/>
        </w:rPr>
      </w:pPr>
    </w:p>
    <w:p>
      <w:pPr>
        <w:ind w:left="433" w:right="6039" w:hanging="433"/>
        <w:spacing w:after="0" w:line="379" w:lineRule="auto"/>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documents incorporated by reference: N/A</w:t>
      </w:r>
    </w:p>
    <w:p>
      <w:pPr>
        <w:spacing w:after="0" w:line="1" w:lineRule="exact"/>
        <w:rPr>
          <w:rFonts w:ascii="Arial" w:cs="Arial" w:eastAsia="Arial" w:hAnsi="Arial"/>
          <w:sz w:val="18"/>
          <w:szCs w:val="18"/>
          <w:color w:val="auto"/>
        </w:rPr>
      </w:pPr>
    </w:p>
    <w:p>
      <w:pPr>
        <w:ind w:left="433" w:right="2959" w:hanging="433"/>
        <w:spacing w:after="0" w:line="372" w:lineRule="auto"/>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Public offering price per ordinary share: $[•]</w:t>
      </w:r>
    </w:p>
    <w:p>
      <w:pPr>
        <w:ind w:left="433"/>
        <w:spacing w:after="0"/>
        <w:rPr>
          <w:rFonts w:ascii="Arial" w:cs="Arial" w:eastAsia="Arial" w:hAnsi="Arial"/>
          <w:sz w:val="18"/>
          <w:szCs w:val="18"/>
          <w:color w:val="auto"/>
        </w:rPr>
      </w:pPr>
      <w:r>
        <w:rPr>
          <w:rFonts w:ascii="Arial" w:cs="Arial" w:eastAsia="Arial" w:hAnsi="Arial"/>
          <w:sz w:val="18"/>
          <w:szCs w:val="18"/>
          <w:color w:val="auto"/>
        </w:rPr>
        <w:t>Number of Firm Shares purchased by the Underwriters: [•]</w:t>
      </w:r>
    </w:p>
    <w:p>
      <w:pPr>
        <w:spacing w:after="0" w:line="113"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8"/>
          <w:szCs w:val="18"/>
          <w:color w:val="auto"/>
        </w:rPr>
        <w:t>Number of Optional Shares: [•]</w:t>
      </w:r>
    </w:p>
    <w:p>
      <w:pPr>
        <w:spacing w:after="0" w:line="123" w:lineRule="exact"/>
        <w:rPr>
          <w:rFonts w:ascii="Arial" w:cs="Arial" w:eastAsia="Arial" w:hAnsi="Arial"/>
          <w:sz w:val="18"/>
          <w:szCs w:val="18"/>
          <w:color w:val="auto"/>
        </w:rPr>
      </w:pPr>
    </w:p>
    <w:p>
      <w:pPr>
        <w:ind w:left="433" w:right="6059" w:hanging="433"/>
        <w:spacing w:after="0" w:line="399" w:lineRule="auto"/>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Written Testing-the-Waters Communications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ectPr>
          <w:pgSz w:w="11900" w:h="16838" w:orient="portrait"/>
          <w:cols w:equalWidth="0" w:num="1">
            <w:col w:w="9972"/>
          </w:cols>
          <w:pgMar w:left="487" w:top="268" w:right="1440"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1"/>
        </w:trPr>
        <w:tc>
          <w:tcPr>
            <w:tcW w:w="1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94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rPr>
              <w:t>SCHEDULE IV</w:t>
            </w:r>
          </w:p>
        </w:tc>
      </w:tr>
      <w:tr>
        <w:trPr>
          <w:trHeight w:val="409"/>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Selling Shareholder</w:t>
            </w:r>
          </w:p>
        </w:tc>
        <w:tc>
          <w:tcPr>
            <w:tcW w:w="27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7"/>
              </w:rPr>
              <w:t>Local Counsel</w:t>
            </w:r>
          </w:p>
        </w:tc>
      </w:tr>
      <w:tr>
        <w:trPr>
          <w:trHeight w:val="201"/>
        </w:trPr>
        <w:tc>
          <w:tcPr>
            <w:tcW w:w="39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Cross Ship S.à r.l.</w:t>
            </w:r>
          </w:p>
        </w:tc>
        <w:tc>
          <w:tcPr>
            <w:tcW w:w="60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w w:val="97"/>
              </w:rPr>
              <w:t>[•]</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Red Dot Capital Partners, L.P.</w:t>
            </w:r>
          </w:p>
        </w:tc>
        <w:tc>
          <w:tcPr>
            <w:tcW w:w="6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Goor HoldCo Ltd.</w:t>
            </w:r>
          </w:p>
        </w:tc>
        <w:tc>
          <w:tcPr>
            <w:tcW w:w="6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Itshak Shaked Assets Ltd.</w:t>
            </w:r>
          </w:p>
        </w:tc>
        <w:tc>
          <w:tcPr>
            <w:tcW w:w="6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Nir Debbi</w:t>
            </w:r>
          </w:p>
        </w:tc>
        <w:tc>
          <w:tcPr>
            <w:tcW w:w="6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Amir Schlachet</w:t>
            </w:r>
          </w:p>
        </w:tc>
        <w:tc>
          <w:tcPr>
            <w:tcW w:w="6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Shahar Tamari</w:t>
            </w:r>
          </w:p>
        </w:tc>
        <w:tc>
          <w:tcPr>
            <w:tcW w:w="6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Yaron Lemelbaum</w:t>
            </w:r>
          </w:p>
        </w:tc>
        <w:tc>
          <w:tcPr>
            <w:tcW w:w="6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Natan Schlachet</w:t>
            </w:r>
          </w:p>
        </w:tc>
        <w:tc>
          <w:tcPr>
            <w:tcW w:w="6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tcPr>
          <w:p>
            <w:pPr>
              <w:spacing w:after="0"/>
              <w:rPr>
                <w:sz w:val="20"/>
                <w:szCs w:val="20"/>
                <w:color w:val="auto"/>
              </w:rPr>
            </w:pPr>
            <w:r>
              <w:rPr>
                <w:rFonts w:ascii="Arial" w:cs="Arial" w:eastAsia="Arial" w:hAnsi="Arial"/>
                <w:sz w:val="18"/>
                <w:szCs w:val="18"/>
                <w:color w:val="auto"/>
              </w:rPr>
              <w:t>Roter Holdings Ltd.</w:t>
            </w:r>
          </w:p>
        </w:tc>
        <w:tc>
          <w:tcPr>
            <w:tcW w:w="6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Viola Credit Five Fund Limited Partnership</w:t>
            </w:r>
          </w:p>
        </w:tc>
        <w:tc>
          <w:tcPr>
            <w:tcW w:w="6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bl>
    <w:p>
      <w:pPr>
        <w:jc w:val="right"/>
        <w:ind w:right="600"/>
        <w:spacing w:after="0"/>
        <w:rPr>
          <w:sz w:val="20"/>
          <w:szCs w:val="20"/>
          <w:color w:val="auto"/>
        </w:rPr>
        <w:sectPr>
          <w:pgSz w:w="11900" w:h="16838" w:orient="portrait"/>
          <w:cols w:equalWidth="0" w:num="1">
            <w:col w:w="10920"/>
          </w:cols>
          <w:pgMar w:left="48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I</w:t>
      </w:r>
    </w:p>
    <w:p>
      <w:pPr>
        <w:spacing w:after="0" w:line="22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Form of Paying Agent Agreement</w:t>
      </w:r>
    </w:p>
    <w:p>
      <w:pPr>
        <w:sectPr>
          <w:pgSz w:w="11900" w:h="16838" w:orient="portrait"/>
          <w:cols w:equalWidth="0" w:num="1">
            <w:col w:w="9960"/>
          </w:cols>
          <w:pgMar w:left="1440" w:top="268" w:right="4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II</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Form of Lock-up Letter</w:t>
      </w:r>
    </w:p>
    <w:p>
      <w:pPr>
        <w:spacing w:after="0" w:line="24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Global-E Online Ltd.</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Lock-Up Agreement</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9960"/>
          </w:cols>
          <w:pgMar w:left="1440" w:top="268" w:right="4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LAW, 1999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226060</wp:posOffset>
            </wp:positionV>
            <wp:extent cx="1460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on March 22, 2021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RELIMINARY</w:t>
      </w:r>
    </w:p>
    <w:p>
      <w:pPr>
        <w:spacing w:after="0" w:line="248" w:lineRule="exact"/>
        <w:rPr>
          <w:sz w:val="20"/>
          <w:szCs w:val="20"/>
          <w:color w:val="auto"/>
        </w:rPr>
      </w:pPr>
    </w:p>
    <w:p>
      <w:pPr>
        <w:ind w:left="440" w:hanging="433"/>
        <w:spacing w:after="0"/>
        <w:tabs>
          <w:tab w:leader="none" w:pos="44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NTERPRETATION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20"/>
        <w:spacing w:after="0" w:line="271" w:lineRule="auto"/>
        <w:rPr>
          <w:rFonts w:ascii="Arial" w:cs="Arial" w:eastAsia="Arial" w:hAnsi="Arial"/>
          <w:sz w:val="18"/>
          <w:szCs w:val="18"/>
          <w:color w:val="auto"/>
        </w:rPr>
      </w:pPr>
      <w:r>
        <w:rPr>
          <w:rFonts w:ascii="Arial" w:cs="Arial" w:eastAsia="Arial" w:hAnsi="Arial"/>
          <w:sz w:val="18"/>
          <w:szCs w:val="18"/>
          <w:color w:val="auto"/>
        </w:rPr>
        <w:t>(a) In these Articles, the following terms (whether or not capitalized) shall bear the meanings set forth opposite them, respectively, unless the subject or context requires otherwise.</w:t>
      </w:r>
    </w:p>
    <w:p>
      <w:pPr>
        <w:sectPr>
          <w:pgSz w:w="11900" w:h="16838" w:orient="portrait"/>
          <w:cols w:equalWidth="0" w:num="1">
            <w:col w:w="10920"/>
          </w:cols>
          <w:pgMar w:left="480" w:top="121" w:right="499" w:bottom="1440" w:gutter="0" w:footer="0" w:header="0"/>
        </w:sect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shall mean these Amended and Restated Articles of Association, as amended from time to time.</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Board of Directors of the Company.</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“Chairperson”</w:t>
      </w:r>
    </w:p>
    <w:p>
      <w:pPr>
        <w:spacing w:after="0" w:line="20" w:lineRule="exact"/>
        <w:rPr>
          <w:sz w:val="20"/>
          <w:szCs w:val="20"/>
          <w:color w:val="auto"/>
        </w:rPr>
      </w:pPr>
      <w:r>
        <w:rPr>
          <w:sz w:val="20"/>
          <w:szCs w:val="20"/>
          <w:color w:val="auto"/>
        </w:rPr>
        <w:br w:type="column"/>
      </w:r>
    </w:p>
    <w:p>
      <w:pPr>
        <w:ind w:right="560"/>
        <w:spacing w:after="0" w:line="271" w:lineRule="auto"/>
        <w:rPr>
          <w:sz w:val="20"/>
          <w:szCs w:val="20"/>
          <w:color w:val="auto"/>
        </w:rPr>
      </w:pPr>
      <w:r>
        <w:rPr>
          <w:rFonts w:ascii="Arial" w:cs="Arial" w:eastAsia="Arial" w:hAnsi="Arial"/>
          <w:sz w:val="18"/>
          <w:szCs w:val="18"/>
          <w:color w:val="auto"/>
        </w:rPr>
        <w:t>shall mean the Chairperson of the Board of Directors, or the Chairperson of the General Meeting, as the context implies;</w:t>
      </w:r>
    </w:p>
    <w:p>
      <w:pPr>
        <w:spacing w:after="0" w:line="68"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“Companies Law”</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shall mean the Israeli Companies Law, 5759-1999, and the regulations promulgated thereunder. The Companies Law shall include reference to the Companies Ordinance (New Version), 5743-1983, of the State of Israel, to the extent in effect according to the provisions thereof.</w:t>
      </w:r>
    </w:p>
    <w:p>
      <w:pPr>
        <w:spacing w:after="0" w:line="75"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spacing w:after="0" w:line="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shall mean </w:t>
      </w:r>
      <w:r>
        <w:rPr>
          <w:rFonts w:ascii="Arial" w:cs="Arial" w:eastAsia="Arial" w:hAnsi="Arial"/>
          <w:sz w:val="16"/>
          <w:szCs w:val="16"/>
          <w:b w:val="1"/>
          <w:bCs w:val="1"/>
          <w:color w:val="auto"/>
        </w:rPr>
        <w:t>Global-E Online Ltd.</w:t>
      </w:r>
    </w:p>
    <w:p>
      <w:pPr>
        <w:spacing w:after="0" w:line="140"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member(s) of the Board of Directors holding office at a given time.</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“Economic Competition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Israeli Economic Competition Law, 5758-1988, and the regulations promulgated thereunder.</w:t>
      </w:r>
    </w:p>
    <w:p>
      <w:pPr>
        <w:spacing w:after="0" w:line="136" w:lineRule="exact"/>
        <w:rPr>
          <w:sz w:val="20"/>
          <w:szCs w:val="20"/>
          <w:color w:val="auto"/>
        </w:rPr>
      </w:pPr>
    </w:p>
    <w:p>
      <w:pPr>
        <w:sectPr>
          <w:pgSz w:w="11900" w:h="16838" w:orient="portrait"/>
          <w:cols w:equalWidth="0" w:num="2">
            <w:col w:w="2620" w:space="34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“External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provided for such term in the Companies Law.</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ind w:right="340"/>
        <w:spacing w:after="0" w:line="271" w:lineRule="auto"/>
        <w:rPr>
          <w:sz w:val="20"/>
          <w:szCs w:val="20"/>
          <w:color w:val="auto"/>
        </w:rPr>
      </w:pPr>
      <w:r>
        <w:rPr>
          <w:rFonts w:ascii="Arial" w:cs="Arial" w:eastAsia="Arial" w:hAnsi="Arial"/>
          <w:sz w:val="18"/>
          <w:szCs w:val="18"/>
          <w:color w:val="auto"/>
        </w:rPr>
        <w:t>shall mean an Annual General Meeting or Special General Meeting of the Shareholders (each as defined in Article 23 of these Articles), as the case may be.</w:t>
      </w:r>
    </w:p>
    <w:p>
      <w:pPr>
        <w:spacing w:after="0" w:line="68"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“NIS”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New Israeli Shekels.</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registered office of the Company at any given time.</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jc w:val="center"/>
        <w:ind w:left="440"/>
        <w:spacing w:after="0"/>
        <w:rPr>
          <w:sz w:val="20"/>
          <w:szCs w:val="20"/>
          <w:color w:val="auto"/>
        </w:rPr>
      </w:pPr>
      <w:r>
        <w:rPr>
          <w:rFonts w:ascii="Arial" w:cs="Arial" w:eastAsia="Arial" w:hAnsi="Arial"/>
          <w:sz w:val="17"/>
          <w:szCs w:val="17"/>
          <w:color w:val="auto"/>
        </w:rPr>
        <w:t>“Office Holder” or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provided for such term in the Companies Law.</w:t>
      </w:r>
    </w:p>
    <w:p>
      <w:pPr>
        <w:spacing w:after="0" w:line="136" w:lineRule="exact"/>
        <w:rPr>
          <w:sz w:val="20"/>
          <w:szCs w:val="20"/>
          <w:color w:val="auto"/>
        </w:rPr>
      </w:pPr>
    </w:p>
    <w:p>
      <w:pPr>
        <w:sectPr>
          <w:pgSz w:w="11900" w:h="16838" w:orient="portrait"/>
          <w:cols w:equalWidth="0" w:num="2">
            <w:col w:w="2500" w:space="46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“Securities Law”</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6"/>
          <w:szCs w:val="16"/>
          <w:color w:val="auto"/>
        </w:rPr>
        <w:t>shall mean the Israeli Securities Law, 5728-1968, and the regulations promulgated thereunder.</w:t>
      </w:r>
    </w:p>
    <w:p>
      <w:pPr>
        <w:spacing w:after="0" w:line="136" w:lineRule="exact"/>
        <w:rPr>
          <w:sz w:val="20"/>
          <w:szCs w:val="20"/>
          <w:color w:val="auto"/>
        </w:rPr>
      </w:pPr>
    </w:p>
    <w:p>
      <w:pPr>
        <w:sectPr>
          <w:pgSz w:w="11900" w:h="16838" w:orient="portrait"/>
          <w:cols w:equalWidth="0" w:num="2">
            <w:col w:w="2240" w:space="720"/>
            <w:col w:w="7960"/>
          </w:cols>
          <w:pgMar w:left="480" w:top="121" w:right="4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shareholder(s) of the Company, at any given time.</w:t>
      </w:r>
    </w:p>
    <w:p>
      <w:pPr>
        <w:sectPr>
          <w:pgSz w:w="11900" w:h="16838" w:orient="portrait"/>
          <w:cols w:equalWidth="0" w:num="2">
            <w:col w:w="2240" w:space="720"/>
            <w:col w:w="7960"/>
          </w:cols>
          <w:pgMar w:left="480" w:top="121" w:right="499" w:bottom="1440" w:gutter="0" w:footer="0" w:header="0"/>
          <w:type w:val="continuous"/>
        </w:sectPr>
      </w:pPr>
    </w:p>
    <w:bookmarkStart w:id="279" w:name="page280"/>
    <w:bookmarkEnd w:id="279"/>
    <w:p>
      <w:pPr>
        <w:ind w:left="433" w:firstLine="4"/>
        <w:spacing w:after="0" w:line="283" w:lineRule="auto"/>
        <w:tabs>
          <w:tab w:leader="none" w:pos="685" w:val="left"/>
        </w:tabs>
        <w:numPr>
          <w:ilvl w:val="0"/>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their entirety and not to any part hereof; all references herein to Articles or clauses shall be deemed references to Articles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law (‘</w:t>
      </w:r>
      <w:r>
        <w:rPr>
          <w:rFonts w:ascii="Arial" w:cs="Arial" w:eastAsia="Arial" w:hAnsi="Arial"/>
          <w:sz w:val="16"/>
          <w:szCs w:val="16"/>
          <w:i w:val="1"/>
          <w:iCs w:val="1"/>
          <w:color w:val="auto"/>
        </w:rPr>
        <w:t>din</w:t>
      </w:r>
      <w:r>
        <w:rPr>
          <w:rFonts w:ascii="Arial" w:cs="Arial" w:eastAsia="Arial" w:hAnsi="Arial"/>
          <w:sz w:val="16"/>
          <w:szCs w:val="16"/>
          <w:color w:val="auto"/>
        </w:rPr>
        <w:t>’) as defined in the Interpretation Law, 5741-1981, and any applicable supranational, national, federal, state, local, or foreign statute or law and shall be deemed also to refer to all rules and regulations promulgated thereunder; any reference to a “day” or a number of “days” (without any explicit reference otherwise, such as to business days) shall be interpreted as a reference to a calendar day or number of calendar days; any reference to a business day shall mean each calendar day other than any calendar day on which commercial banks Tel-Aviv, Israel are authorized or required by applicable law to close; reference to a month or year means according to the Gregorian calendar; any reference to a “Person” shall mean any individual, partnership, corporation, limited liability company, association, estate, any political, governmental, regulatory or similar agency or body, or other legal entity; and reference to “written” or “in writing” shall include written, printed, photocopied, typed, any electronic communication (including email, facsimile, signed electronically (in Adobe PDF, DocuSign or any other format)) or produced by any visible substitute for writing, or partly one and partly another, and signed shall be construed accordingly.</w:t>
      </w:r>
    </w:p>
    <w:p>
      <w:pPr>
        <w:spacing w:after="0" w:line="62" w:lineRule="exact"/>
        <w:rPr>
          <w:rFonts w:ascii="Arial" w:cs="Arial" w:eastAsia="Arial" w:hAnsi="Arial"/>
          <w:sz w:val="16"/>
          <w:szCs w:val="16"/>
          <w:color w:val="auto"/>
        </w:rPr>
      </w:pPr>
    </w:p>
    <w:p>
      <w:pPr>
        <w:ind w:left="433" w:right="80" w:firstLine="4"/>
        <w:spacing w:after="0" w:line="271" w:lineRule="auto"/>
        <w:tabs>
          <w:tab w:leader="none" w:pos="6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captions in these Articles are for convenience only and shall not be deemed a part hereof or affect the construction or interpretation of any provision hereof.</w:t>
      </w:r>
    </w:p>
    <w:p>
      <w:pPr>
        <w:spacing w:after="0" w:line="67" w:lineRule="exact"/>
        <w:rPr>
          <w:rFonts w:ascii="Arial" w:cs="Arial" w:eastAsia="Arial" w:hAnsi="Arial"/>
          <w:sz w:val="18"/>
          <w:szCs w:val="18"/>
          <w:color w:val="auto"/>
        </w:rPr>
      </w:pPr>
    </w:p>
    <w:p>
      <w:pPr>
        <w:ind w:left="693" w:hanging="256"/>
        <w:spacing w:after="0"/>
        <w:tabs>
          <w:tab w:leader="none" w:pos="69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specific provisions of these Articles shall supersede the provisions of the Companies Law to the extent permitted thereunder.</w:t>
      </w:r>
    </w:p>
    <w:p>
      <w:pPr>
        <w:spacing w:after="0" w:line="200" w:lineRule="exact"/>
        <w:rPr>
          <w:sz w:val="20"/>
          <w:szCs w:val="20"/>
          <w:color w:val="auto"/>
        </w:rPr>
      </w:pPr>
    </w:p>
    <w:p>
      <w:pPr>
        <w:spacing w:after="0" w:line="242"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p>
    <w:p>
      <w:pPr>
        <w:spacing w:after="0" w:line="252" w:lineRule="exact"/>
        <w:rPr>
          <w:sz w:val="20"/>
          <w:szCs w:val="20"/>
          <w:color w:val="auto"/>
        </w:rPr>
      </w:pPr>
    </w:p>
    <w:p>
      <w:pPr>
        <w:ind w:left="533" w:right="380" w:hanging="533"/>
        <w:spacing w:after="0" w:line="307" w:lineRule="auto"/>
        <w:tabs>
          <w:tab w:leader="none" w:pos="53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Company is a limited liability company and each Shareholder’s liability for the Company’s debts is therefore limited (in addition to any liabilities under any contract) to the payment of the full amount (par value (if any) and premium) such Shareholder was required to pay the Company for such Shareholder’s Shares (as defined below) and which amount has not yet been paid by such Shareholder.</w:t>
      </w:r>
    </w:p>
    <w:p>
      <w:pPr>
        <w:spacing w:after="0" w:line="360"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BJECTIVES</w:t>
      </w:r>
    </w:p>
    <w:p>
      <w:pPr>
        <w:spacing w:after="0" w:line="248" w:lineRule="exact"/>
        <w:rPr>
          <w:sz w:val="20"/>
          <w:szCs w:val="20"/>
          <w:color w:val="auto"/>
        </w:rPr>
      </w:pPr>
    </w:p>
    <w:p>
      <w:pPr>
        <w:ind w:left="433" w:hanging="433"/>
        <w:spacing w:after="0"/>
        <w:tabs>
          <w:tab w:leader="none" w:pos="433"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BJECTIVES</w:t>
      </w:r>
      <w:r>
        <w:rPr>
          <w:rFonts w:ascii="Arial" w:cs="Arial" w:eastAsia="Arial" w:hAnsi="Arial"/>
          <w:sz w:val="18"/>
          <w:szCs w:val="18"/>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8"/>
          <w:szCs w:val="18"/>
          <w:color w:val="auto"/>
        </w:rPr>
        <w:t>The Company’s objectives are to carry on any business, and do any act, which is not prohibited by law.</w:t>
      </w:r>
    </w:p>
    <w:p>
      <w:pPr>
        <w:spacing w:after="0" w:line="123" w:lineRule="exact"/>
        <w:rPr>
          <w:sz w:val="20"/>
          <w:szCs w:val="20"/>
          <w:color w:val="auto"/>
        </w:rPr>
      </w:pPr>
    </w:p>
    <w:p>
      <w:pPr>
        <w:ind w:left="433" w:hanging="433"/>
        <w:spacing w:after="0"/>
        <w:tabs>
          <w:tab w:leader="none" w:pos="433"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ONATIONS</w:t>
      </w:r>
      <w:r>
        <w:rPr>
          <w:rFonts w:ascii="Arial" w:cs="Arial" w:eastAsia="Arial" w:hAnsi="Arial"/>
          <w:sz w:val="18"/>
          <w:szCs w:val="18"/>
          <w:color w:val="auto"/>
        </w:rPr>
        <w:t>.</w:t>
      </w:r>
    </w:p>
    <w:p>
      <w:pPr>
        <w:spacing w:after="0" w:line="118" w:lineRule="exact"/>
        <w:rPr>
          <w:sz w:val="20"/>
          <w:szCs w:val="20"/>
          <w:color w:val="auto"/>
        </w:rPr>
      </w:pPr>
    </w:p>
    <w:p>
      <w:pPr>
        <w:ind w:left="433" w:right="20"/>
        <w:spacing w:after="0" w:line="259" w:lineRule="auto"/>
        <w:rPr>
          <w:sz w:val="20"/>
          <w:szCs w:val="20"/>
          <w:color w:val="auto"/>
        </w:rPr>
      </w:pPr>
      <w:r>
        <w:rPr>
          <w:rFonts w:ascii="Arial" w:cs="Arial" w:eastAsia="Arial" w:hAnsi="Arial"/>
          <w:sz w:val="18"/>
          <w:szCs w:val="18"/>
          <w:color w:val="auto"/>
        </w:rPr>
        <w:t>The Company may donate a reasonable amount of money (in cash or in kind, including the Company’s securities) to worthy purposes, as the Board of Directors may determine in its discretion, even if such donations are not made on the basis or within the scope of business considerations of the Company.</w:t>
      </w:r>
    </w:p>
    <w:p>
      <w:pPr>
        <w:spacing w:after="0" w:line="39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p>
    <w:p>
      <w:pPr>
        <w:spacing w:after="0" w:line="248" w:lineRule="exact"/>
        <w:rPr>
          <w:sz w:val="20"/>
          <w:szCs w:val="20"/>
          <w:color w:val="auto"/>
        </w:rPr>
      </w:pPr>
    </w:p>
    <w:p>
      <w:pPr>
        <w:ind w:left="433" w:hanging="433"/>
        <w:spacing w:after="0"/>
        <w:tabs>
          <w:tab w:leader="none" w:pos="433"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753" w:hanging="325"/>
        <w:spacing w:after="0"/>
        <w:tabs>
          <w:tab w:leader="none" w:pos="75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authorized share capital of the Company shall consist of 300,000,000 Ordinary Shares without par value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753" w:hanging="325"/>
        <w:spacing w:after="0"/>
        <w:tabs>
          <w:tab w:leader="none" w:pos="75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The Shares may be redeemable to the extent set forth in Article 18.</w:t>
      </w:r>
    </w:p>
    <w:p>
      <w:pPr>
        <w:spacing w:after="0" w:line="154" w:lineRule="exact"/>
        <w:rPr>
          <w:rFonts w:ascii="Arial" w:cs="Arial" w:eastAsia="Arial" w:hAnsi="Arial"/>
          <w:sz w:val="18"/>
          <w:szCs w:val="18"/>
          <w:color w:val="auto"/>
        </w:rPr>
      </w:pPr>
    </w:p>
    <w:p>
      <w:pPr>
        <w:ind w:left="5413" w:hanging="105"/>
        <w:spacing w:after="0"/>
        <w:tabs>
          <w:tab w:leader="none" w:pos="5413" w:val="left"/>
        </w:tabs>
        <w:numPr>
          <w:ilvl w:val="2"/>
          <w:numId w:val="1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13"/>
          </w:cols>
          <w:pgMar w:left="487" w:top="272" w:right="499" w:bottom="1440" w:gutter="0" w:footer="0" w:header="0"/>
        </w:sectPr>
      </w:pPr>
    </w:p>
    <w:bookmarkStart w:id="280" w:name="page281"/>
    <w:bookmarkEnd w:id="280"/>
    <w:p>
      <w:pPr>
        <w:ind w:left="433" w:hanging="433"/>
        <w:spacing w:after="0"/>
        <w:tabs>
          <w:tab w:leader="none" w:pos="433"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rFonts w:ascii="Arial" w:cs="Arial" w:eastAsia="Arial" w:hAnsi="Arial"/>
          <w:sz w:val="14"/>
          <w:szCs w:val="14"/>
          <w:b w:val="1"/>
          <w:bCs w:val="1"/>
          <w:u w:val="single" w:color="auto"/>
          <w:color w:val="auto"/>
        </w:rPr>
        <w:t>NCREASE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80" w:firstLine="4"/>
        <w:spacing w:after="0" w:line="255" w:lineRule="auto"/>
        <w:tabs>
          <w:tab w:leader="none" w:pos="67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may, from time to time, by a Shareholders’ resolution, whether or not all of the shares then authorized have been issued, and whether or not all of the shares theretofore issued have been called up for payment, increase its authorized share capital by increasing the number of shares it is authorized to issue by such amount, and such additional shares shall confer such rights and preferences, and shall be subject to such restrictions, as such resolution shall provide.</w:t>
      </w:r>
    </w:p>
    <w:p>
      <w:pPr>
        <w:spacing w:after="0" w:line="83" w:lineRule="exact"/>
        <w:rPr>
          <w:rFonts w:ascii="Arial" w:cs="Arial" w:eastAsia="Arial" w:hAnsi="Arial"/>
          <w:sz w:val="18"/>
          <w:szCs w:val="18"/>
          <w:color w:val="auto"/>
        </w:rPr>
      </w:pPr>
    </w:p>
    <w:p>
      <w:pPr>
        <w:ind w:left="433" w:right="140" w:firstLine="4"/>
        <w:spacing w:after="0" w:line="335" w:lineRule="auto"/>
        <w:tabs>
          <w:tab w:leader="none" w:pos="68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Except to the extent otherwise provided in such resolution, any new shares included in the authorized share capital increase as aforesaid shall be subject to all of the provisions of these Articles that are applicable to shares that are included in the existing share capital.</w:t>
      </w:r>
    </w:p>
    <w:p>
      <w:pPr>
        <w:spacing w:after="0" w:line="30" w:lineRule="exact"/>
        <w:rPr>
          <w:rFonts w:ascii="Arial" w:cs="Arial" w:eastAsia="Arial" w:hAnsi="Arial"/>
          <w:sz w:val="16"/>
          <w:szCs w:val="16"/>
          <w:color w:val="auto"/>
        </w:rPr>
      </w:pPr>
    </w:p>
    <w:p>
      <w:pPr>
        <w:ind w:left="433" w:hanging="433"/>
        <w:spacing w:after="0"/>
        <w:tabs>
          <w:tab w:leader="none" w:pos="433"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PECIAL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LASS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 M</w:t>
      </w:r>
      <w:r>
        <w:rPr>
          <w:rFonts w:ascii="Arial" w:cs="Arial" w:eastAsia="Arial" w:hAnsi="Arial"/>
          <w:sz w:val="14"/>
          <w:szCs w:val="14"/>
          <w:b w:val="1"/>
          <w:bCs w:val="1"/>
          <w:u w:val="single" w:color="auto"/>
          <w:color w:val="auto"/>
        </w:rPr>
        <w:t>ODIFICATION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firstLine="4"/>
        <w:spacing w:after="0" w:line="259" w:lineRule="auto"/>
        <w:tabs>
          <w:tab w:leader="none" w:pos="67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78" w:lineRule="exact"/>
        <w:rPr>
          <w:rFonts w:ascii="Arial" w:cs="Arial" w:eastAsia="Arial" w:hAnsi="Arial"/>
          <w:sz w:val="18"/>
          <w:szCs w:val="18"/>
          <w:color w:val="auto"/>
        </w:rPr>
      </w:pPr>
    </w:p>
    <w:p>
      <w:pPr>
        <w:ind w:left="433" w:right="220" w:firstLine="4"/>
        <w:spacing w:after="0" w:line="259" w:lineRule="auto"/>
        <w:tabs>
          <w:tab w:leader="none" w:pos="6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these Articles, may be modified or cancelled by the Company by a resolution of the General Meeting of the holders of all shares as one class, without any required separate resolution of any class of shares.</w:t>
      </w:r>
    </w:p>
    <w:p>
      <w:pPr>
        <w:spacing w:after="0" w:line="78" w:lineRule="exact"/>
        <w:rPr>
          <w:rFonts w:ascii="Arial" w:cs="Arial" w:eastAsia="Arial" w:hAnsi="Arial"/>
          <w:sz w:val="18"/>
          <w:szCs w:val="18"/>
          <w:color w:val="auto"/>
        </w:rPr>
      </w:pPr>
    </w:p>
    <w:p>
      <w:pPr>
        <w:ind w:left="433" w:firstLine="4"/>
        <w:spacing w:after="0" w:line="265" w:lineRule="auto"/>
        <w:tabs>
          <w:tab w:leader="none" w:pos="67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The provisions of these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any separate General Meeting of the holders of the shares of a particular class, it being clarified that the requisite quorum at any such separate General Meeting shall be two or more Shareholders present in person or by proxy and holding not less than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issued shares of such class, provided, however, that if (i) such separate General Meeting of the holders of the particular class was initiated by and convened pursuant to a resolution adopted by the Board of Directors and (ii) at the time of such meeting the Company is qualified to use the forms of a “foreign private issuer” under US securities laws, then the requisite quorum at any such separate General Meeting shall be two or more Shareholders (not in default in payment of any sum referred to in Article 13 hereof) present in person or by proxy and holding not less than twenty-five percent (25%) of the issued shares of such class. For the purpose of determining the quorum present at such General Meeting, a proxy may be deemed to be two (2) or more Shareholders pursuant to the number of Shareholders represented by the proxy holder.</w:t>
      </w:r>
    </w:p>
    <w:p>
      <w:pPr>
        <w:spacing w:after="0" w:line="77" w:lineRule="exact"/>
        <w:rPr>
          <w:rFonts w:ascii="Arial" w:cs="Arial" w:eastAsia="Arial" w:hAnsi="Arial"/>
          <w:sz w:val="16"/>
          <w:szCs w:val="16"/>
          <w:color w:val="auto"/>
        </w:rPr>
      </w:pPr>
    </w:p>
    <w:p>
      <w:pPr>
        <w:ind w:left="433" w:firstLine="4"/>
        <w:spacing w:after="0" w:line="255" w:lineRule="auto"/>
        <w:tabs>
          <w:tab w:leader="none" w:pos="6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p>
      <w:pPr>
        <w:spacing w:after="0" w:line="92" w:lineRule="exact"/>
        <w:rPr>
          <w:rFonts w:ascii="Arial" w:cs="Arial" w:eastAsia="Arial" w:hAnsi="Arial"/>
          <w:sz w:val="18"/>
          <w:szCs w:val="18"/>
          <w:color w:val="auto"/>
        </w:rPr>
      </w:pPr>
    </w:p>
    <w:p>
      <w:pPr>
        <w:ind w:left="433" w:hanging="433"/>
        <w:spacing w:after="0"/>
        <w:tabs>
          <w:tab w:leader="none" w:pos="433"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ONSOLIDATION</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IVISION</w:t>
      </w:r>
      <w:r>
        <w:rPr>
          <w:rFonts w:ascii="Arial" w:cs="Arial" w:eastAsia="Arial" w:hAnsi="Arial"/>
          <w:sz w:val="18"/>
          <w:szCs w:val="18"/>
          <w:b w:val="1"/>
          <w:bCs w:val="1"/>
          <w:u w:val="single" w:color="auto"/>
          <w:color w:val="auto"/>
        </w:rPr>
        <w:t>, C</w:t>
      </w:r>
      <w:r>
        <w:rPr>
          <w:rFonts w:ascii="Arial" w:cs="Arial" w:eastAsia="Arial" w:hAnsi="Arial"/>
          <w:sz w:val="14"/>
          <w:szCs w:val="14"/>
          <w:b w:val="1"/>
          <w:bCs w:val="1"/>
          <w:u w:val="single" w:color="auto"/>
          <w:color w:val="auto"/>
        </w:rPr>
        <w:t>ANCELLATION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EDUCTION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73" w:hanging="236"/>
        <w:spacing w:after="0"/>
        <w:tabs>
          <w:tab w:leader="none" w:pos="673"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Company may, from time to time, by or pursuant to an authorization of a Shareholders’ resolution, and subject to applicable law:</w:t>
      </w:r>
    </w:p>
    <w:p>
      <w:pPr>
        <w:spacing w:after="0" w:line="125" w:lineRule="exact"/>
        <w:rPr>
          <w:rFonts w:ascii="Arial" w:cs="Arial" w:eastAsia="Arial" w:hAnsi="Arial"/>
          <w:sz w:val="17"/>
          <w:szCs w:val="17"/>
          <w:color w:val="auto"/>
        </w:rPr>
      </w:pPr>
    </w:p>
    <w:p>
      <w:pPr>
        <w:ind w:left="1193" w:hanging="210"/>
        <w:spacing w:after="0"/>
        <w:tabs>
          <w:tab w:leader="none" w:pos="1193" w:val="left"/>
        </w:tabs>
        <w:numPr>
          <w:ilvl w:val="2"/>
          <w:numId w:val="189"/>
        </w:numPr>
        <w:rPr>
          <w:rFonts w:ascii="Arial" w:cs="Arial" w:eastAsia="Arial" w:hAnsi="Arial"/>
          <w:sz w:val="18"/>
          <w:szCs w:val="18"/>
          <w:color w:val="auto"/>
        </w:rPr>
      </w:pPr>
      <w:r>
        <w:rPr>
          <w:rFonts w:ascii="Arial" w:cs="Arial" w:eastAsia="Arial" w:hAnsi="Arial"/>
          <w:sz w:val="18"/>
          <w:szCs w:val="18"/>
          <w:color w:val="auto"/>
        </w:rPr>
        <w:t>consolidate all or any part of its issued or unissued authorized share capital;</w:t>
      </w:r>
    </w:p>
    <w:p>
      <w:pPr>
        <w:spacing w:after="0" w:line="113" w:lineRule="exact"/>
        <w:rPr>
          <w:rFonts w:ascii="Arial" w:cs="Arial" w:eastAsia="Arial" w:hAnsi="Arial"/>
          <w:sz w:val="18"/>
          <w:szCs w:val="18"/>
          <w:color w:val="auto"/>
        </w:rPr>
      </w:pPr>
    </w:p>
    <w:p>
      <w:pPr>
        <w:ind w:left="973" w:right="40" w:firstLine="10"/>
        <w:spacing w:after="0" w:line="255" w:lineRule="auto"/>
        <w:tabs>
          <w:tab w:leader="none" w:pos="1235" w:val="left"/>
        </w:tabs>
        <w:numPr>
          <w:ilvl w:val="2"/>
          <w:numId w:val="189"/>
        </w:numPr>
        <w:rPr>
          <w:rFonts w:ascii="Arial" w:cs="Arial" w:eastAsia="Arial" w:hAnsi="Arial"/>
          <w:sz w:val="18"/>
          <w:szCs w:val="18"/>
          <w:color w:val="auto"/>
        </w:rPr>
      </w:pPr>
      <w:r>
        <w:rPr>
          <w:rFonts w:ascii="Arial" w:cs="Arial" w:eastAsia="Arial" w:hAnsi="Arial"/>
          <w:sz w:val="18"/>
          <w:szCs w:val="18"/>
          <w:color w:val="auto"/>
        </w:rPr>
        <w:t>divide or sub-divide its shares (issued or unissued) or any of them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123" w:lineRule="exact"/>
        <w:rPr>
          <w:rFonts w:ascii="Arial" w:cs="Arial" w:eastAsia="Arial" w:hAnsi="Arial"/>
          <w:sz w:val="18"/>
          <w:szCs w:val="18"/>
          <w:color w:val="auto"/>
        </w:rPr>
      </w:pPr>
    </w:p>
    <w:p>
      <w:pPr>
        <w:ind w:left="5413" w:hanging="105"/>
        <w:spacing w:after="0"/>
        <w:tabs>
          <w:tab w:leader="none" w:pos="5413" w:val="left"/>
        </w:tabs>
        <w:numPr>
          <w:ilvl w:val="3"/>
          <w:numId w:val="18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93"/>
          </w:cols>
          <w:pgMar w:left="487" w:top="268" w:right="519" w:bottom="1440" w:gutter="0" w:footer="0" w:header="0"/>
        </w:sectPr>
      </w:pPr>
    </w:p>
    <w:bookmarkStart w:id="281" w:name="page282"/>
    <w:bookmarkEnd w:id="281"/>
    <w:p>
      <w:pPr>
        <w:ind w:left="1293" w:hanging="310"/>
        <w:spacing w:after="0"/>
        <w:tabs>
          <w:tab w:leader="none" w:pos="1293" w:val="left"/>
        </w:tabs>
        <w:numPr>
          <w:ilvl w:val="2"/>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cancel any authorized shares which, at the date of the adoption of such resolution, have not been issued to any person nor has the</w:t>
      </w:r>
    </w:p>
    <w:p>
      <w:pPr>
        <w:spacing w:after="0" w:line="42" w:lineRule="exact"/>
        <w:rPr>
          <w:rFonts w:ascii="Arial" w:cs="Arial" w:eastAsia="Arial" w:hAnsi="Arial"/>
          <w:sz w:val="16"/>
          <w:szCs w:val="16"/>
          <w:color w:val="auto"/>
        </w:rPr>
      </w:pPr>
    </w:p>
    <w:p>
      <w:pPr>
        <w:ind w:left="973" w:right="120"/>
        <w:spacing w:after="0" w:line="256" w:lineRule="auto"/>
        <w:rPr>
          <w:rFonts w:ascii="Arial" w:cs="Arial" w:eastAsia="Arial" w:hAnsi="Arial"/>
          <w:sz w:val="16"/>
          <w:szCs w:val="16"/>
          <w:color w:val="auto"/>
        </w:rPr>
      </w:pPr>
      <w:r>
        <w:rPr>
          <w:rFonts w:ascii="Arial" w:cs="Arial" w:eastAsia="Arial" w:hAnsi="Arial"/>
          <w:sz w:val="18"/>
          <w:szCs w:val="18"/>
          <w:color w:val="auto"/>
        </w:rPr>
        <w:t>Company made any commitment, including a conditional commitment, to issue such shares, and reduce the amount of its share capital by the amount of the shares so canceled; or</w:t>
      </w:r>
    </w:p>
    <w:p>
      <w:pPr>
        <w:spacing w:after="0" w:line="80" w:lineRule="exact"/>
        <w:rPr>
          <w:rFonts w:ascii="Arial" w:cs="Arial" w:eastAsia="Arial" w:hAnsi="Arial"/>
          <w:sz w:val="16"/>
          <w:szCs w:val="16"/>
          <w:color w:val="auto"/>
        </w:rPr>
      </w:pPr>
    </w:p>
    <w:p>
      <w:pPr>
        <w:ind w:left="1293" w:hanging="310"/>
        <w:spacing w:after="0"/>
        <w:tabs>
          <w:tab w:leader="none" w:pos="1293" w:val="left"/>
        </w:tabs>
        <w:numPr>
          <w:ilvl w:val="2"/>
          <w:numId w:val="190"/>
        </w:numPr>
        <w:rPr>
          <w:rFonts w:ascii="Arial" w:cs="Arial" w:eastAsia="Arial" w:hAnsi="Arial"/>
          <w:sz w:val="18"/>
          <w:szCs w:val="18"/>
          <w:color w:val="auto"/>
        </w:rPr>
      </w:pPr>
      <w:r>
        <w:rPr>
          <w:rFonts w:ascii="Arial" w:cs="Arial" w:eastAsia="Arial" w:hAnsi="Arial"/>
          <w:sz w:val="18"/>
          <w:szCs w:val="18"/>
          <w:color w:val="auto"/>
        </w:rPr>
        <w:t>reduce its share capital in any manner.</w:t>
      </w:r>
    </w:p>
    <w:p>
      <w:pPr>
        <w:spacing w:after="0" w:line="113" w:lineRule="exact"/>
        <w:rPr>
          <w:rFonts w:ascii="Arial" w:cs="Arial" w:eastAsia="Arial" w:hAnsi="Arial"/>
          <w:sz w:val="18"/>
          <w:szCs w:val="18"/>
          <w:color w:val="auto"/>
        </w:rPr>
      </w:pPr>
    </w:p>
    <w:p>
      <w:pPr>
        <w:ind w:left="433" w:right="300" w:firstLine="4"/>
        <w:spacing w:after="0" w:line="259" w:lineRule="auto"/>
        <w:tabs>
          <w:tab w:leader="none" w:pos="68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78" w:lineRule="exact"/>
        <w:rPr>
          <w:rFonts w:ascii="Arial" w:cs="Arial" w:eastAsia="Arial" w:hAnsi="Arial"/>
          <w:sz w:val="18"/>
          <w:szCs w:val="18"/>
          <w:color w:val="auto"/>
        </w:rPr>
      </w:pPr>
    </w:p>
    <w:p>
      <w:pPr>
        <w:ind w:left="1193" w:hanging="210"/>
        <w:spacing w:after="0"/>
        <w:tabs>
          <w:tab w:leader="none" w:pos="119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determine, as to the holder of shares so consolidated, which issued shares shall be consolidated;</w:t>
      </w:r>
    </w:p>
    <w:p>
      <w:pPr>
        <w:spacing w:after="0" w:line="113" w:lineRule="exact"/>
        <w:rPr>
          <w:rFonts w:ascii="Arial" w:cs="Arial" w:eastAsia="Arial" w:hAnsi="Arial"/>
          <w:sz w:val="18"/>
          <w:szCs w:val="18"/>
          <w:color w:val="auto"/>
        </w:rPr>
      </w:pPr>
    </w:p>
    <w:p>
      <w:pPr>
        <w:ind w:left="973" w:right="140" w:firstLine="10"/>
        <w:spacing w:after="0" w:line="271" w:lineRule="auto"/>
        <w:tabs>
          <w:tab w:leader="none" w:pos="123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issue, in contemplation of or subsequent to such consolidation or other action, shares sufficient to preclude or remove fractional share holdings;</w:t>
      </w:r>
    </w:p>
    <w:p>
      <w:pPr>
        <w:spacing w:after="0" w:line="67" w:lineRule="exact"/>
        <w:rPr>
          <w:rFonts w:ascii="Arial" w:cs="Arial" w:eastAsia="Arial" w:hAnsi="Arial"/>
          <w:sz w:val="18"/>
          <w:szCs w:val="18"/>
          <w:color w:val="auto"/>
        </w:rPr>
      </w:pPr>
    </w:p>
    <w:p>
      <w:pPr>
        <w:ind w:left="1293" w:hanging="310"/>
        <w:spacing w:after="0"/>
        <w:tabs>
          <w:tab w:leader="none" w:pos="129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redeem such shares or fractional shares sufficient to preclude or remove fractional share holdings;</w:t>
      </w:r>
    </w:p>
    <w:p>
      <w:pPr>
        <w:spacing w:after="0" w:line="113" w:lineRule="exact"/>
        <w:rPr>
          <w:rFonts w:ascii="Arial" w:cs="Arial" w:eastAsia="Arial" w:hAnsi="Arial"/>
          <w:sz w:val="18"/>
          <w:szCs w:val="18"/>
          <w:color w:val="auto"/>
        </w:rPr>
      </w:pPr>
    </w:p>
    <w:p>
      <w:pPr>
        <w:ind w:left="973" w:right="140" w:firstLine="10"/>
        <w:spacing w:after="0" w:line="271" w:lineRule="auto"/>
        <w:tabs>
          <w:tab w:leader="none" w:pos="127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round up, round down or round to the nearest whole number, any fractional shares resulting from the consolidation or from any other action which may result in fractional shares; or</w:t>
      </w:r>
    </w:p>
    <w:p>
      <w:pPr>
        <w:spacing w:after="0" w:line="67" w:lineRule="exact"/>
        <w:rPr>
          <w:rFonts w:ascii="Arial" w:cs="Arial" w:eastAsia="Arial" w:hAnsi="Arial"/>
          <w:sz w:val="18"/>
          <w:szCs w:val="18"/>
          <w:color w:val="auto"/>
        </w:rPr>
      </w:pPr>
    </w:p>
    <w:p>
      <w:pPr>
        <w:ind w:left="973" w:right="140" w:firstLine="10"/>
        <w:spacing w:after="0" w:line="253" w:lineRule="auto"/>
        <w:tabs>
          <w:tab w:leader="none" w:pos="122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spacing w:after="0" w:line="95" w:lineRule="exact"/>
        <w:rPr>
          <w:rFonts w:ascii="Arial" w:cs="Arial" w:eastAsia="Arial" w:hAnsi="Arial"/>
          <w:sz w:val="18"/>
          <w:szCs w:val="18"/>
          <w:color w:val="auto"/>
        </w:rPr>
      </w:pPr>
    </w:p>
    <w:p>
      <w:pPr>
        <w:ind w:left="433" w:hanging="433"/>
        <w:spacing w:after="0"/>
        <w:tabs>
          <w:tab w:leader="none" w:pos="433"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b w:val="1"/>
          <w:bCs w:val="1"/>
          <w:u w:val="single" w:color="auto"/>
          <w:color w:val="auto"/>
        </w:rPr>
        <w:t>, R</w:t>
      </w:r>
      <w:r>
        <w:rPr>
          <w:rFonts w:ascii="Arial" w:cs="Arial" w:eastAsia="Arial" w:hAnsi="Arial"/>
          <w:sz w:val="14"/>
          <w:szCs w:val="14"/>
          <w:b w:val="1"/>
          <w:bCs w:val="1"/>
          <w:u w:val="single" w:color="auto"/>
          <w:color w:val="auto"/>
        </w:rPr>
        <w:t>EPLACEMENT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OST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80" w:firstLine="4"/>
        <w:spacing w:after="0" w:line="253" w:lineRule="auto"/>
        <w:tabs>
          <w:tab w:leader="none" w:pos="67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the extent that the Board of Directors determines that all shares shall be certificated or, if the Board of Directors does not so determine, to the extent that any Shareholder requests a share certificate or the Company’s transfer agent so requires, share certificates shall be issued under the corporate seal of the Company or its written, typed or stamped name and shall bear the signature of one Director, the Company’s Chief Executive Officer, or any person or persons authorized therefor by the Board of Directors. Signatures may be affixed in any mechanical or electronic form, as the Board of Directors may prescribe.</w:t>
      </w:r>
    </w:p>
    <w:p>
      <w:pPr>
        <w:spacing w:after="0" w:line="85" w:lineRule="exact"/>
        <w:rPr>
          <w:rFonts w:ascii="Arial" w:cs="Arial" w:eastAsia="Arial" w:hAnsi="Arial"/>
          <w:sz w:val="18"/>
          <w:szCs w:val="18"/>
          <w:color w:val="auto"/>
        </w:rPr>
      </w:pPr>
    </w:p>
    <w:p>
      <w:pPr>
        <w:ind w:left="433" w:firstLine="4"/>
        <w:spacing w:after="0" w:line="251" w:lineRule="auto"/>
        <w:tabs>
          <w:tab w:leader="none" w:pos="68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Subject to the provisions of Article 9(a), each Shareholder shall be entitled to one numbered certificate for all of the shares of any class registered in his or her name. Each certificate shall specify the serial numbers of the shares represented thereby and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a portion of such Shareholder’s shares, such Shareholder shall be entitled to receive a certificate in respect of such Shareholder’s remaining shares, provided that the previous certificate is delivered to the Company before the issuance of a new certificate.</w:t>
      </w:r>
    </w:p>
    <w:p>
      <w:pPr>
        <w:spacing w:after="0" w:line="89" w:lineRule="exact"/>
        <w:rPr>
          <w:rFonts w:ascii="Arial" w:cs="Arial" w:eastAsia="Arial" w:hAnsi="Arial"/>
          <w:sz w:val="18"/>
          <w:szCs w:val="18"/>
          <w:color w:val="auto"/>
        </w:rPr>
      </w:pPr>
    </w:p>
    <w:p>
      <w:pPr>
        <w:ind w:left="433" w:right="160" w:firstLine="4"/>
        <w:spacing w:after="0" w:line="271" w:lineRule="auto"/>
        <w:tabs>
          <w:tab w:leader="none" w:pos="67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share certificate registered in the names of two or more persons shall be delivered to the person first named in the Register of Shareholders in respect of such co-ownership.</w:t>
      </w:r>
    </w:p>
    <w:p>
      <w:pPr>
        <w:spacing w:after="0" w:line="67" w:lineRule="exact"/>
        <w:rPr>
          <w:rFonts w:ascii="Arial" w:cs="Arial" w:eastAsia="Arial" w:hAnsi="Arial"/>
          <w:sz w:val="18"/>
          <w:szCs w:val="18"/>
          <w:color w:val="auto"/>
        </w:rPr>
      </w:pPr>
    </w:p>
    <w:p>
      <w:pPr>
        <w:ind w:left="433" w:right="60" w:firstLine="4"/>
        <w:spacing w:after="0" w:line="259" w:lineRule="auto"/>
        <w:tabs>
          <w:tab w:leader="none" w:pos="68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118" w:lineRule="exact"/>
        <w:rPr>
          <w:rFonts w:ascii="Arial" w:cs="Arial" w:eastAsia="Arial" w:hAnsi="Arial"/>
          <w:sz w:val="18"/>
          <w:szCs w:val="18"/>
          <w:color w:val="auto"/>
        </w:rPr>
      </w:pPr>
    </w:p>
    <w:p>
      <w:pPr>
        <w:ind w:left="5413" w:hanging="105"/>
        <w:spacing w:after="0"/>
        <w:tabs>
          <w:tab w:leader="none" w:pos="5413" w:val="left"/>
        </w:tabs>
        <w:numPr>
          <w:ilvl w:val="3"/>
          <w:numId w:val="19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3"/>
          </w:cols>
          <w:pgMar w:left="487" w:top="272" w:right="499" w:bottom="1440" w:gutter="0" w:footer="0" w:header="0"/>
        </w:sectPr>
      </w:pPr>
    </w:p>
    <w:bookmarkStart w:id="282" w:name="page283"/>
    <w:bookmarkEnd w:id="282"/>
    <w:p>
      <w:pPr>
        <w:ind w:left="433" w:hanging="433"/>
        <w:spacing w:after="0"/>
        <w:tabs>
          <w:tab w:leader="none" w:pos="433"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w:t>
      </w:r>
      <w:r>
        <w:rPr>
          <w:rFonts w:ascii="Arial" w:cs="Arial" w:eastAsia="Arial" w:hAnsi="Arial"/>
          <w:sz w:val="14"/>
          <w:szCs w:val="14"/>
          <w:b w:val="1"/>
          <w:bCs w:val="1"/>
          <w:u w:val="single" w:color="auto"/>
          <w:color w:val="auto"/>
        </w:rPr>
        <w:t>EGISTERED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w:t>
      </w:r>
      <w:r>
        <w:rPr>
          <w:rFonts w:ascii="Arial" w:cs="Arial" w:eastAsia="Arial" w:hAnsi="Arial"/>
          <w:sz w:val="14"/>
          <w:szCs w:val="14"/>
          <w:b w:val="1"/>
          <w:bCs w:val="1"/>
          <w:u w:val="single" w:color="auto"/>
          <w:color w:val="auto"/>
        </w:rPr>
        <w:t>OLDER</w:t>
      </w:r>
      <w:r>
        <w:rPr>
          <w:rFonts w:ascii="Arial" w:cs="Arial" w:eastAsia="Arial" w:hAnsi="Arial"/>
          <w:sz w:val="18"/>
          <w:szCs w:val="18"/>
          <w:color w:val="auto"/>
        </w:rPr>
        <w:t>.</w:t>
      </w:r>
    </w:p>
    <w:p>
      <w:pPr>
        <w:spacing w:after="0" w:line="118" w:lineRule="exact"/>
        <w:rPr>
          <w:sz w:val="20"/>
          <w:szCs w:val="20"/>
          <w:color w:val="auto"/>
        </w:rPr>
      </w:pPr>
    </w:p>
    <w:p>
      <w:pPr>
        <w:ind w:left="433" w:right="40"/>
        <w:spacing w:after="0" w:line="281" w:lineRule="auto"/>
        <w:rPr>
          <w:sz w:val="20"/>
          <w:szCs w:val="20"/>
          <w:color w:val="auto"/>
        </w:rPr>
      </w:pPr>
      <w:r>
        <w:rPr>
          <w:rFonts w:ascii="Arial" w:cs="Arial" w:eastAsia="Arial" w:hAnsi="Arial"/>
          <w:sz w:val="17"/>
          <w:szCs w:val="17"/>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spacing w:after="0" w:line="72" w:lineRule="exact"/>
        <w:rPr>
          <w:sz w:val="20"/>
          <w:szCs w:val="20"/>
          <w:color w:val="auto"/>
        </w:rPr>
      </w:pPr>
    </w:p>
    <w:p>
      <w:pPr>
        <w:ind w:left="433" w:hanging="433"/>
        <w:spacing w:after="0"/>
        <w:tabs>
          <w:tab w:leader="none" w:pos="433"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EPURCHASE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firstLine="4"/>
        <w:spacing w:after="0" w:line="288" w:lineRule="auto"/>
        <w:tabs>
          <w:tab w:leader="none" w:pos="67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unissued shares from time to time shall be under the control of the Board of Directors (and, to the extent permitted by law, any Committee thereof), which shall have the power to issue or otherwise dispose of shares and of securities convertible or exercisable into or other rights to acquire from the Company to such persons, on such terms and conditions (including, inter alia, price, with or without premium, discount or commission, and terms relating to calls set forth in Article 13(f) hereof), and at such times, as the Board of Directors (or the Committee, as the case may be) deems fit, and the power to give to any person the option to acquire from the Company any shares or securities convertible or exercisable into or other rights to acquire from the Company on such terms and conditions (including, inter alia, price, with or without premium, discount or commission), during such time as the Board of Directors (or the Committee, as the case may be) deems fit.</w:t>
      </w:r>
    </w:p>
    <w:p>
      <w:pPr>
        <w:spacing w:after="0" w:line="59" w:lineRule="exact"/>
        <w:rPr>
          <w:rFonts w:ascii="Arial" w:cs="Arial" w:eastAsia="Arial" w:hAnsi="Arial"/>
          <w:sz w:val="16"/>
          <w:szCs w:val="16"/>
          <w:color w:val="auto"/>
        </w:rPr>
      </w:pPr>
    </w:p>
    <w:p>
      <w:pPr>
        <w:ind w:left="433" w:right="20" w:firstLine="4"/>
        <w:spacing w:after="0" w:line="275" w:lineRule="auto"/>
        <w:tabs>
          <w:tab w:leader="none" w:pos="685"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as such, no Shareholder will have the right to require the Company to purchase his or her shares or offer to purchase shares from any other Shareholders.</w:t>
      </w:r>
    </w:p>
    <w:p>
      <w:pPr>
        <w:spacing w:after="0" w:line="76" w:lineRule="exact"/>
        <w:rPr>
          <w:rFonts w:ascii="Arial" w:cs="Arial" w:eastAsia="Arial" w:hAnsi="Arial"/>
          <w:sz w:val="17"/>
          <w:szCs w:val="17"/>
          <w:color w:val="auto"/>
        </w:rPr>
      </w:pPr>
    </w:p>
    <w:p>
      <w:pPr>
        <w:ind w:left="433" w:hanging="433"/>
        <w:spacing w:after="0"/>
        <w:tabs>
          <w:tab w:leader="none" w:pos="433"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NSTALLMENT</w:t>
      </w:r>
      <w:r>
        <w:rPr>
          <w:rFonts w:ascii="Arial" w:cs="Arial" w:eastAsia="Arial" w:hAnsi="Arial"/>
          <w:sz w:val="18"/>
          <w:szCs w:val="18"/>
          <w:color w:val="auto"/>
        </w:rPr>
        <w:t>.</w:t>
      </w:r>
    </w:p>
    <w:p>
      <w:pPr>
        <w:spacing w:after="0" w:line="118" w:lineRule="exact"/>
        <w:rPr>
          <w:sz w:val="20"/>
          <w:szCs w:val="20"/>
          <w:color w:val="auto"/>
        </w:rPr>
      </w:pPr>
    </w:p>
    <w:p>
      <w:pPr>
        <w:ind w:left="433" w:right="340"/>
        <w:spacing w:after="0" w:line="335" w:lineRule="auto"/>
        <w:rPr>
          <w:sz w:val="20"/>
          <w:szCs w:val="20"/>
          <w:color w:val="auto"/>
        </w:rPr>
      </w:pPr>
      <w:r>
        <w:rPr>
          <w:rFonts w:ascii="Arial" w:cs="Arial" w:eastAsia="Arial" w:hAnsi="Arial"/>
          <w:sz w:val="16"/>
          <w:szCs w:val="16"/>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31" w:lineRule="exact"/>
        <w:rPr>
          <w:sz w:val="20"/>
          <w:szCs w:val="20"/>
          <w:color w:val="auto"/>
        </w:rPr>
      </w:pPr>
    </w:p>
    <w:p>
      <w:pPr>
        <w:ind w:left="433" w:hanging="433"/>
        <w:spacing w:after="0"/>
        <w:tabs>
          <w:tab w:leader="none" w:pos="433"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ALLS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4"/>
        <w:spacing w:after="0" w:line="269" w:lineRule="auto"/>
        <w:tabs>
          <w:tab w:leader="none" w:pos="675"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or her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71" w:lineRule="exact"/>
        <w:rPr>
          <w:rFonts w:ascii="Arial" w:cs="Arial" w:eastAsia="Arial" w:hAnsi="Arial"/>
          <w:sz w:val="17"/>
          <w:szCs w:val="17"/>
          <w:color w:val="auto"/>
        </w:rPr>
      </w:pPr>
    </w:p>
    <w:p>
      <w:pPr>
        <w:ind w:left="433" w:firstLine="4"/>
        <w:spacing w:after="0" w:line="293" w:lineRule="auto"/>
        <w:tabs>
          <w:tab w:leader="none" w:pos="685" w:val="left"/>
        </w:tabs>
        <w:numPr>
          <w:ilvl w:val="1"/>
          <w:numId w:val="195"/>
        </w:numPr>
        <w:rPr>
          <w:rFonts w:ascii="Arial" w:cs="Arial" w:eastAsia="Arial" w:hAnsi="Arial"/>
          <w:sz w:val="16"/>
          <w:szCs w:val="16"/>
          <w:color w:val="auto"/>
        </w:rPr>
      </w:pPr>
      <w:r>
        <w:rPr>
          <w:rFonts w:ascii="Arial" w:cs="Arial" w:eastAsia="Arial" w:hAnsi="Arial"/>
          <w:sz w:val="16"/>
          <w:szCs w:val="16"/>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93" w:lineRule="exact"/>
        <w:rPr>
          <w:rFonts w:ascii="Arial" w:cs="Arial" w:eastAsia="Arial" w:hAnsi="Arial"/>
          <w:sz w:val="16"/>
          <w:szCs w:val="16"/>
          <w:color w:val="auto"/>
        </w:rPr>
      </w:pPr>
    </w:p>
    <w:p>
      <w:pPr>
        <w:ind w:left="5413" w:hanging="105"/>
        <w:spacing w:after="0"/>
        <w:tabs>
          <w:tab w:leader="none" w:pos="5413" w:val="left"/>
        </w:tabs>
        <w:numPr>
          <w:ilvl w:val="2"/>
          <w:numId w:val="19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893"/>
          </w:cols>
          <w:pgMar w:left="487" w:top="268" w:right="519" w:bottom="1440" w:gutter="0" w:footer="0" w:header="0"/>
        </w:sectPr>
      </w:pPr>
    </w:p>
    <w:bookmarkStart w:id="283" w:name="page284"/>
    <w:bookmarkEnd w:id="283"/>
    <w:p>
      <w:pPr>
        <w:ind w:left="433" w:right="40" w:firstLine="4"/>
        <w:spacing w:after="0" w:line="287" w:lineRule="auto"/>
        <w:tabs>
          <w:tab w:leader="none" w:pos="675"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pursuant to the terms of issuance of a share or otherwise, an amount is made payable at a fixed time, such amount shall be payable at such time as if it were payable by virtue of a call made by the Board of Directors and for which notice was given in accordance with paragraphs (a) and</w:t>
      </w:r>
    </w:p>
    <w:p>
      <w:pPr>
        <w:ind w:left="433" w:right="140" w:firstLine="4"/>
        <w:spacing w:after="0" w:line="256"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 this Article 13, and the provision of these Articles with regard to calls (and the non-payment thereof) shall be applicable to such amount or such installment (and the non-payment thereof).</w:t>
      </w:r>
    </w:p>
    <w:p>
      <w:pPr>
        <w:spacing w:after="0" w:line="80" w:lineRule="exact"/>
        <w:rPr>
          <w:rFonts w:ascii="Arial" w:cs="Arial" w:eastAsia="Arial" w:hAnsi="Arial"/>
          <w:sz w:val="18"/>
          <w:szCs w:val="18"/>
          <w:color w:val="auto"/>
        </w:rPr>
      </w:pPr>
    </w:p>
    <w:p>
      <w:pPr>
        <w:ind w:left="693" w:hanging="256"/>
        <w:spacing w:after="0"/>
        <w:tabs>
          <w:tab w:leader="none" w:pos="69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Joint holders of a share shall be jointly and severally liable to pay all calls for payment in respect of such share and all interest payable thereon.</w:t>
      </w:r>
    </w:p>
    <w:p>
      <w:pPr>
        <w:spacing w:after="0" w:line="136" w:lineRule="exact"/>
        <w:rPr>
          <w:rFonts w:ascii="Arial" w:cs="Arial" w:eastAsia="Arial" w:hAnsi="Arial"/>
          <w:sz w:val="16"/>
          <w:szCs w:val="16"/>
          <w:color w:val="auto"/>
        </w:rPr>
      </w:pPr>
    </w:p>
    <w:p>
      <w:pPr>
        <w:ind w:left="433" w:firstLine="4"/>
        <w:spacing w:after="0" w:line="259" w:lineRule="auto"/>
        <w:tabs>
          <w:tab w:leader="none" w:pos="67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78" w:lineRule="exact"/>
        <w:rPr>
          <w:rFonts w:ascii="Arial" w:cs="Arial" w:eastAsia="Arial" w:hAnsi="Arial"/>
          <w:sz w:val="18"/>
          <w:szCs w:val="18"/>
          <w:color w:val="auto"/>
        </w:rPr>
      </w:pPr>
    </w:p>
    <w:p>
      <w:pPr>
        <w:ind w:left="433" w:right="120" w:firstLine="4"/>
        <w:spacing w:after="0" w:line="271"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Upon the issuance of shares, the Board of Directors may provide for differences among the holders of such shares as to the amounts and times for payment of calls for payment in respect of such shares.</w:t>
      </w:r>
    </w:p>
    <w:p>
      <w:pPr>
        <w:spacing w:after="0" w:line="77" w:lineRule="exact"/>
        <w:rPr>
          <w:sz w:val="20"/>
          <w:szCs w:val="20"/>
          <w:color w:val="auto"/>
        </w:rPr>
      </w:pPr>
    </w:p>
    <w:p>
      <w:pPr>
        <w:ind w:left="433" w:hanging="433"/>
        <w:spacing w:after="0"/>
        <w:tabs>
          <w:tab w:leader="none" w:pos="433"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REPAYMENT</w:t>
      </w:r>
      <w:r>
        <w:rPr>
          <w:rFonts w:ascii="Arial" w:cs="Arial" w:eastAsia="Arial" w:hAnsi="Arial"/>
          <w:sz w:val="18"/>
          <w:szCs w:val="18"/>
          <w:color w:val="auto"/>
        </w:rPr>
        <w:t>.</w:t>
      </w:r>
    </w:p>
    <w:p>
      <w:pPr>
        <w:spacing w:after="0" w:line="118" w:lineRule="exact"/>
        <w:rPr>
          <w:sz w:val="20"/>
          <w:szCs w:val="20"/>
          <w:color w:val="auto"/>
        </w:rPr>
      </w:pPr>
    </w:p>
    <w:p>
      <w:pPr>
        <w:ind w:left="433"/>
        <w:spacing w:after="0" w:line="293" w:lineRule="auto"/>
        <w:rPr>
          <w:sz w:val="20"/>
          <w:szCs w:val="20"/>
          <w:color w:val="auto"/>
        </w:rPr>
      </w:pPr>
      <w:r>
        <w:rPr>
          <w:rFonts w:ascii="Arial" w:cs="Arial" w:eastAsia="Arial" w:hAnsi="Arial"/>
          <w:sz w:val="16"/>
          <w:szCs w:val="16"/>
          <w:color w:val="auto"/>
        </w:rPr>
        <w:t>With the approval of the Board of Directors, any shareholder may pay to the Company any amount not yet payable in respect of his or her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spacing w:after="0" w:line="63" w:lineRule="exact"/>
        <w:rPr>
          <w:sz w:val="20"/>
          <w:szCs w:val="20"/>
          <w:color w:val="auto"/>
        </w:rPr>
      </w:pPr>
    </w:p>
    <w:p>
      <w:pPr>
        <w:ind w:left="433" w:hanging="433"/>
        <w:spacing w:after="0"/>
        <w:tabs>
          <w:tab w:leader="none" w:pos="433"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firstLine="4"/>
        <w:spacing w:after="0" w:line="270" w:lineRule="auto"/>
        <w:tabs>
          <w:tab w:leader="none" w:pos="675" w:val="left"/>
        </w:tabs>
        <w:numPr>
          <w:ilvl w:val="1"/>
          <w:numId w:val="200"/>
        </w:numPr>
        <w:rPr>
          <w:rFonts w:ascii="Arial" w:cs="Arial" w:eastAsia="Arial" w:hAnsi="Arial"/>
          <w:sz w:val="17"/>
          <w:szCs w:val="17"/>
          <w:color w:val="auto"/>
        </w:rPr>
      </w:pPr>
      <w:r>
        <w:rPr>
          <w:rFonts w:ascii="Arial" w:cs="Arial" w:eastAsia="Arial" w:hAnsi="Arial"/>
          <w:sz w:val="17"/>
          <w:szCs w:val="17"/>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71" w:lineRule="exact"/>
        <w:rPr>
          <w:rFonts w:ascii="Arial" w:cs="Arial" w:eastAsia="Arial" w:hAnsi="Arial"/>
          <w:sz w:val="17"/>
          <w:szCs w:val="17"/>
          <w:color w:val="auto"/>
        </w:rPr>
      </w:pPr>
    </w:p>
    <w:p>
      <w:pPr>
        <w:ind w:left="433" w:right="60" w:firstLine="4"/>
        <w:spacing w:after="0" w:line="252" w:lineRule="auto"/>
        <w:tabs>
          <w:tab w:leader="none" w:pos="68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86" w:lineRule="exact"/>
        <w:rPr>
          <w:rFonts w:ascii="Arial" w:cs="Arial" w:eastAsia="Arial" w:hAnsi="Arial"/>
          <w:sz w:val="18"/>
          <w:szCs w:val="18"/>
          <w:color w:val="auto"/>
        </w:rPr>
      </w:pPr>
    </w:p>
    <w:p>
      <w:pPr>
        <w:ind w:left="433" w:right="40" w:firstLine="4"/>
        <w:spacing w:after="0" w:line="271" w:lineRule="auto"/>
        <w:tabs>
          <w:tab w:leader="none" w:pos="6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Without derogating from Articles 51 and 55 hereof, whenever shares are forfeited as herein provided, all dividends, if any, theretofore declared in respect thereof and not actually paid shall be deemed to have been forfeited at the same time.</w:t>
      </w:r>
    </w:p>
    <w:p>
      <w:pPr>
        <w:spacing w:after="0" w:line="67" w:lineRule="exact"/>
        <w:rPr>
          <w:rFonts w:ascii="Arial" w:cs="Arial" w:eastAsia="Arial" w:hAnsi="Arial"/>
          <w:sz w:val="18"/>
          <w:szCs w:val="18"/>
          <w:color w:val="auto"/>
        </w:rPr>
      </w:pPr>
    </w:p>
    <w:p>
      <w:pPr>
        <w:ind w:left="693" w:hanging="256"/>
        <w:spacing w:after="0"/>
        <w:tabs>
          <w:tab w:leader="none" w:pos="69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Company, by resolution of the Board of Directors, may accept the voluntary surrender of any share.</w:t>
      </w:r>
    </w:p>
    <w:p>
      <w:pPr>
        <w:spacing w:after="0" w:line="113" w:lineRule="exact"/>
        <w:rPr>
          <w:rFonts w:ascii="Arial" w:cs="Arial" w:eastAsia="Arial" w:hAnsi="Arial"/>
          <w:sz w:val="18"/>
          <w:szCs w:val="18"/>
          <w:color w:val="auto"/>
        </w:rPr>
      </w:pPr>
    </w:p>
    <w:p>
      <w:pPr>
        <w:ind w:left="433" w:right="100" w:firstLine="4"/>
        <w:spacing w:after="0" w:line="301" w:lineRule="auto"/>
        <w:tabs>
          <w:tab w:leader="none" w:pos="675"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84" w:lineRule="exact"/>
        <w:rPr>
          <w:rFonts w:ascii="Arial" w:cs="Arial" w:eastAsia="Arial" w:hAnsi="Arial"/>
          <w:sz w:val="17"/>
          <w:szCs w:val="17"/>
          <w:color w:val="auto"/>
        </w:rPr>
      </w:pPr>
    </w:p>
    <w:p>
      <w:pPr>
        <w:ind w:left="5413" w:hanging="105"/>
        <w:spacing w:after="0"/>
        <w:tabs>
          <w:tab w:leader="none" w:pos="5413" w:val="left"/>
        </w:tabs>
        <w:numPr>
          <w:ilvl w:val="2"/>
          <w:numId w:val="20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13"/>
          </w:cols>
          <w:pgMar w:left="487" w:top="272" w:right="499" w:bottom="1440" w:gutter="0" w:footer="0" w:header="0"/>
        </w:sectPr>
      </w:pPr>
    </w:p>
    <w:bookmarkStart w:id="284" w:name="page285"/>
    <w:bookmarkEnd w:id="284"/>
    <w:p>
      <w:pPr>
        <w:ind w:left="433" w:right="40" w:firstLine="4"/>
        <w:spacing w:after="0" w:line="269" w:lineRule="auto"/>
        <w:tabs>
          <w:tab w:leader="none" w:pos="655" w:val="left"/>
        </w:tabs>
        <w:numPr>
          <w:ilvl w:val="1"/>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71" w:lineRule="exact"/>
        <w:rPr>
          <w:rFonts w:ascii="Arial" w:cs="Arial" w:eastAsia="Arial" w:hAnsi="Arial"/>
          <w:sz w:val="17"/>
          <w:szCs w:val="17"/>
          <w:color w:val="auto"/>
        </w:rPr>
      </w:pPr>
    </w:p>
    <w:p>
      <w:pPr>
        <w:jc w:val="both"/>
        <w:ind w:left="433" w:right="120" w:firstLine="4"/>
        <w:spacing w:after="0" w:line="259" w:lineRule="auto"/>
        <w:tabs>
          <w:tab w:leader="none" w:pos="68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p>
      <w:pPr>
        <w:spacing w:after="0" w:line="88" w:lineRule="exact"/>
        <w:rPr>
          <w:rFonts w:ascii="Arial" w:cs="Arial" w:eastAsia="Arial" w:hAnsi="Arial"/>
          <w:sz w:val="18"/>
          <w:szCs w:val="18"/>
          <w:color w:val="auto"/>
        </w:rPr>
      </w:pPr>
    </w:p>
    <w:p>
      <w:pPr>
        <w:ind w:left="433" w:hanging="433"/>
        <w:spacing w:after="0"/>
        <w:tabs>
          <w:tab w:leader="none" w:pos="433"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4"/>
        <w:spacing w:after="0" w:line="251" w:lineRule="auto"/>
        <w:tabs>
          <w:tab w:leader="none" w:pos="67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or her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89" w:lineRule="exact"/>
        <w:rPr>
          <w:rFonts w:ascii="Arial" w:cs="Arial" w:eastAsia="Arial" w:hAnsi="Arial"/>
          <w:sz w:val="18"/>
          <w:szCs w:val="18"/>
          <w:color w:val="auto"/>
        </w:rPr>
      </w:pPr>
    </w:p>
    <w:p>
      <w:pPr>
        <w:jc w:val="both"/>
        <w:ind w:left="433" w:right="80" w:firstLine="4"/>
        <w:spacing w:after="0" w:line="255" w:lineRule="auto"/>
        <w:tabs>
          <w:tab w:leader="none" w:pos="68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or her executors or administrators.</w:t>
      </w:r>
    </w:p>
    <w:p>
      <w:pPr>
        <w:spacing w:after="0" w:line="83" w:lineRule="exact"/>
        <w:rPr>
          <w:rFonts w:ascii="Arial" w:cs="Arial" w:eastAsia="Arial" w:hAnsi="Arial"/>
          <w:sz w:val="18"/>
          <w:szCs w:val="18"/>
          <w:color w:val="auto"/>
        </w:rPr>
      </w:pPr>
    </w:p>
    <w:p>
      <w:pPr>
        <w:ind w:left="433" w:right="220" w:firstLine="4"/>
        <w:spacing w:after="0" w:line="281" w:lineRule="auto"/>
        <w:tabs>
          <w:tab w:leader="none" w:pos="675"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remaining proceeds (if any) shall be paid to the shareholder, his or her executors, administrators or assigns.</w:t>
      </w:r>
    </w:p>
    <w:p>
      <w:pPr>
        <w:spacing w:after="0" w:line="71" w:lineRule="exact"/>
        <w:rPr>
          <w:rFonts w:ascii="Arial" w:cs="Arial" w:eastAsia="Arial" w:hAnsi="Arial"/>
          <w:sz w:val="17"/>
          <w:szCs w:val="17"/>
          <w:color w:val="auto"/>
        </w:rPr>
      </w:pPr>
    </w:p>
    <w:p>
      <w:pPr>
        <w:ind w:left="433" w:hanging="433"/>
        <w:spacing w:after="0"/>
        <w:tabs>
          <w:tab w:leader="none" w:pos="433"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ALE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FTER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NFORCEMENT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18" w:lineRule="exact"/>
        <w:rPr>
          <w:sz w:val="20"/>
          <w:szCs w:val="20"/>
          <w:color w:val="auto"/>
        </w:rPr>
      </w:pPr>
    </w:p>
    <w:p>
      <w:pPr>
        <w:ind w:left="433" w:right="60"/>
        <w:spacing w:after="0" w:line="252" w:lineRule="auto"/>
        <w:rPr>
          <w:sz w:val="20"/>
          <w:szCs w:val="20"/>
          <w:color w:val="auto"/>
        </w:rPr>
      </w:pPr>
      <w:r>
        <w:rPr>
          <w:rFonts w:ascii="Arial" w:cs="Arial" w:eastAsia="Arial" w:hAnsi="Arial"/>
          <w:sz w:val="18"/>
          <w:szCs w:val="18"/>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or her name has been entered in the Register of Shareholders in respect of such share, the validity of the sale shall not be impeached by any person, and the remedy of any person aggrieved by the sale shall be in damages only and against the Company exclusively.</w:t>
      </w:r>
    </w:p>
    <w:p>
      <w:pPr>
        <w:spacing w:after="0" w:line="96" w:lineRule="exact"/>
        <w:rPr>
          <w:sz w:val="20"/>
          <w:szCs w:val="20"/>
          <w:color w:val="auto"/>
        </w:rPr>
      </w:pPr>
    </w:p>
    <w:p>
      <w:pPr>
        <w:ind w:left="433" w:hanging="433"/>
        <w:spacing w:after="0"/>
        <w:tabs>
          <w:tab w:leader="none" w:pos="433"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EDEEMABLE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18" w:lineRule="exact"/>
        <w:rPr>
          <w:sz w:val="20"/>
          <w:szCs w:val="20"/>
          <w:color w:val="auto"/>
        </w:rPr>
      </w:pPr>
    </w:p>
    <w:p>
      <w:pPr>
        <w:ind w:left="433" w:right="40"/>
        <w:spacing w:after="0" w:line="271" w:lineRule="auto"/>
        <w:rPr>
          <w:sz w:val="20"/>
          <w:szCs w:val="20"/>
          <w:color w:val="auto"/>
        </w:rPr>
      </w:pPr>
      <w:r>
        <w:rPr>
          <w:rFonts w:ascii="Arial" w:cs="Arial" w:eastAsia="Arial" w:hAnsi="Arial"/>
          <w:sz w:val="18"/>
          <w:szCs w:val="18"/>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1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13"/>
          </w:cols>
          <w:pgMar w:left="487" w:top="272" w:right="499" w:bottom="1440" w:gutter="0" w:footer="0" w:header="0"/>
        </w:sectPr>
      </w:pPr>
    </w:p>
    <w:bookmarkStart w:id="285" w:name="page286"/>
    <w:bookmarkEnd w:id="285"/>
    <w:p>
      <w:pPr>
        <w:jc w:val="center"/>
        <w:ind w:right="-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48" w:lineRule="exact"/>
        <w:rPr>
          <w:sz w:val="20"/>
          <w:szCs w:val="20"/>
          <w:color w:val="auto"/>
        </w:rPr>
      </w:pPr>
    </w:p>
    <w:p>
      <w:pPr>
        <w:ind w:left="433" w:hanging="433"/>
        <w:spacing w:after="0"/>
        <w:tabs>
          <w:tab w:leader="none" w:pos="433"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w:t>
      </w:r>
      <w:r>
        <w:rPr>
          <w:rFonts w:ascii="Arial" w:cs="Arial" w:eastAsia="Arial" w:hAnsi="Arial"/>
          <w:sz w:val="18"/>
          <w:szCs w:val="18"/>
          <w:color w:val="auto"/>
        </w:rPr>
        <w:t>.</w:t>
      </w:r>
    </w:p>
    <w:p>
      <w:pPr>
        <w:spacing w:after="0" w:line="118" w:lineRule="exact"/>
        <w:rPr>
          <w:sz w:val="20"/>
          <w:szCs w:val="20"/>
          <w:color w:val="auto"/>
        </w:rPr>
      </w:pPr>
    </w:p>
    <w:p>
      <w:pPr>
        <w:ind w:left="433"/>
        <w:spacing w:after="0" w:line="286" w:lineRule="auto"/>
        <w:rPr>
          <w:sz w:val="20"/>
          <w:szCs w:val="20"/>
          <w:color w:val="auto"/>
        </w:rPr>
      </w:pPr>
      <w:r>
        <w:rPr>
          <w:rFonts w:ascii="Arial" w:cs="Arial" w:eastAsia="Arial" w:hAnsi="Arial"/>
          <w:sz w:val="16"/>
          <w:szCs w:val="16"/>
          <w:color w:val="auto"/>
        </w:rPr>
        <w:t>No transfer of shares shall be registered unless a proper writing or instrument of transfer (in any customary form or any other form satisfactory to the Board of Directors or an officer of the Company to be designated by the Chief Executive Officer) has been submitted to the Company (or its transfer agent), together with any share certificate(s) and such other evidence of title as the Board of Directors or an officer of the Company to be designated by the Chief Executive Officer may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Nasdaq Stock Market or on any other stock exchange on which the Company’s shares are then listed for trading.</w:t>
      </w:r>
    </w:p>
    <w:p>
      <w:pPr>
        <w:spacing w:after="0" w:line="69" w:lineRule="exact"/>
        <w:rPr>
          <w:sz w:val="20"/>
          <w:szCs w:val="20"/>
          <w:color w:val="auto"/>
        </w:rPr>
      </w:pPr>
    </w:p>
    <w:p>
      <w:pPr>
        <w:ind w:left="433" w:hanging="433"/>
        <w:spacing w:after="0"/>
        <w:tabs>
          <w:tab w:leader="none" w:pos="433"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USPENSION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w:t>
      </w:r>
      <w:r>
        <w:rPr>
          <w:rFonts w:ascii="Arial" w:cs="Arial" w:eastAsia="Arial" w:hAnsi="Arial"/>
          <w:sz w:val="18"/>
          <w:szCs w:val="18"/>
          <w:color w:val="auto"/>
        </w:rPr>
        <w:t>.</w:t>
      </w:r>
    </w:p>
    <w:p>
      <w:pPr>
        <w:spacing w:after="0" w:line="118" w:lineRule="exact"/>
        <w:rPr>
          <w:sz w:val="20"/>
          <w:szCs w:val="20"/>
          <w:color w:val="auto"/>
        </w:rPr>
      </w:pPr>
    </w:p>
    <w:p>
      <w:pPr>
        <w:jc w:val="both"/>
        <w:ind w:left="433" w:right="360"/>
        <w:spacing w:after="0" w:line="259" w:lineRule="auto"/>
        <w:rPr>
          <w:sz w:val="20"/>
          <w:szCs w:val="20"/>
          <w:color w:val="auto"/>
        </w:rPr>
      </w:pPr>
      <w:r>
        <w:rPr>
          <w:rFonts w:ascii="Arial" w:cs="Arial" w:eastAsia="Arial" w:hAnsi="Arial"/>
          <w:sz w:val="18"/>
          <w:szCs w:val="18"/>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39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RANSMISSION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48" w:lineRule="exact"/>
        <w:rPr>
          <w:sz w:val="20"/>
          <w:szCs w:val="20"/>
          <w:color w:val="auto"/>
        </w:rPr>
      </w:pPr>
    </w:p>
    <w:p>
      <w:pPr>
        <w:ind w:left="433" w:hanging="433"/>
        <w:spacing w:after="0"/>
        <w:tabs>
          <w:tab w:leader="none" w:pos="433"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ECEDENTS</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18" w:lineRule="exact"/>
        <w:rPr>
          <w:sz w:val="20"/>
          <w:szCs w:val="20"/>
          <w:color w:val="auto"/>
        </w:rPr>
      </w:pPr>
    </w:p>
    <w:p>
      <w:pPr>
        <w:ind w:left="433" w:right="60"/>
        <w:spacing w:after="0" w:line="255" w:lineRule="auto"/>
        <w:rPr>
          <w:sz w:val="20"/>
          <w:szCs w:val="20"/>
          <w:color w:val="auto"/>
        </w:rPr>
      </w:pPr>
      <w:r>
        <w:rPr>
          <w:rFonts w:ascii="Arial" w:cs="Arial" w:eastAsia="Arial" w:hAnsi="Arial"/>
          <w:sz w:val="18"/>
          <w:szCs w:val="18"/>
          <w:color w:val="auto"/>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or an officer of the Company to be designated by the Chief Executive Officer.</w:t>
      </w:r>
    </w:p>
    <w:p>
      <w:pPr>
        <w:spacing w:after="0" w:line="93" w:lineRule="exact"/>
        <w:rPr>
          <w:sz w:val="20"/>
          <w:szCs w:val="20"/>
          <w:color w:val="auto"/>
        </w:rPr>
      </w:pPr>
    </w:p>
    <w:p>
      <w:pPr>
        <w:ind w:left="433" w:hanging="433"/>
        <w:spacing w:after="0"/>
        <w:tabs>
          <w:tab w:leader="none" w:pos="433"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ECEIVERS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IQUIDATORS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firstLine="4"/>
        <w:spacing w:after="0" w:line="307" w:lineRule="auto"/>
        <w:tabs>
          <w:tab w:leader="none" w:pos="67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42" w:lineRule="exact"/>
        <w:rPr>
          <w:rFonts w:ascii="Arial" w:cs="Arial" w:eastAsia="Arial" w:hAnsi="Arial"/>
          <w:sz w:val="16"/>
          <w:szCs w:val="16"/>
          <w:color w:val="auto"/>
        </w:rPr>
      </w:pPr>
    </w:p>
    <w:p>
      <w:pPr>
        <w:ind w:left="433" w:right="60" w:firstLine="4"/>
        <w:spacing w:after="0" w:line="251" w:lineRule="auto"/>
        <w:tabs>
          <w:tab w:leader="none" w:pos="68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or her authority to act in such capacity or under this Article, shall with the consent of the Board of Directors or an officer of the Company to be designated by the Chief Executive Officer (which the Board of Directors or such officer may grant or refuse in its absolute discretion), be registered as a Shareholder in respect of such shares, or may, subject to the regulations as to transfer herein contained, transfer such shares.</w:t>
      </w:r>
    </w:p>
    <w:p>
      <w:pPr>
        <w:spacing w:after="0" w:line="200" w:lineRule="exact"/>
        <w:rPr>
          <w:sz w:val="20"/>
          <w:szCs w:val="20"/>
          <w:color w:val="auto"/>
        </w:rPr>
      </w:pPr>
    </w:p>
    <w:p>
      <w:pPr>
        <w:spacing w:after="0" w:line="207"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48" w:lineRule="exact"/>
        <w:rPr>
          <w:sz w:val="20"/>
          <w:szCs w:val="20"/>
          <w:color w:val="auto"/>
        </w:rPr>
      </w:pPr>
    </w:p>
    <w:p>
      <w:pPr>
        <w:ind w:left="433" w:hanging="433"/>
        <w:spacing w:after="0"/>
        <w:tabs>
          <w:tab w:leader="none" w:pos="433"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33" w:right="120" w:firstLine="4"/>
        <w:spacing w:after="0" w:line="275" w:lineRule="auto"/>
        <w:tabs>
          <w:tab w:leader="none" w:pos="6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annual General Meeting (“</w:t>
      </w:r>
      <w:r>
        <w:rPr>
          <w:rFonts w:ascii="Arial" w:cs="Arial" w:eastAsia="Arial" w:hAnsi="Arial"/>
          <w:sz w:val="18"/>
          <w:szCs w:val="18"/>
          <w:b w:val="1"/>
          <w:bCs w:val="1"/>
          <w:color w:val="auto"/>
        </w:rPr>
        <w:t>Annual General Meeting</w:t>
      </w:r>
      <w:r>
        <w:rPr>
          <w:rFonts w:ascii="Arial" w:cs="Arial" w:eastAsia="Arial" w:hAnsi="Arial"/>
          <w:sz w:val="18"/>
          <w:szCs w:val="18"/>
          <w:color w:val="auto"/>
        </w:rPr>
        <w:t>”) shall be held at such time and at such place, either within or outside of the State of Israel, as may be determined by the Board of Directors.</w:t>
      </w:r>
    </w:p>
    <w:p>
      <w:pPr>
        <w:spacing w:after="0" w:line="104" w:lineRule="exact"/>
        <w:rPr>
          <w:rFonts w:ascii="Arial" w:cs="Arial" w:eastAsia="Arial" w:hAnsi="Arial"/>
          <w:sz w:val="18"/>
          <w:szCs w:val="18"/>
          <w:color w:val="auto"/>
        </w:rPr>
      </w:pPr>
    </w:p>
    <w:p>
      <w:pPr>
        <w:ind w:left="5413" w:hanging="105"/>
        <w:spacing w:after="0"/>
        <w:tabs>
          <w:tab w:leader="none" w:pos="5413" w:val="left"/>
        </w:tabs>
        <w:numPr>
          <w:ilvl w:val="2"/>
          <w:numId w:val="20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13"/>
          </w:cols>
          <w:pgMar w:left="487" w:top="268" w:right="499" w:bottom="1440" w:gutter="0" w:footer="0" w:header="0"/>
        </w:sectPr>
      </w:pPr>
    </w:p>
    <w:bookmarkStart w:id="286" w:name="page287"/>
    <w:bookmarkEnd w:id="286"/>
    <w:p>
      <w:pPr>
        <w:ind w:left="433" w:right="120" w:firstLine="4"/>
        <w:spacing w:after="0" w:line="261" w:lineRule="auto"/>
        <w:tabs>
          <w:tab w:leader="none" w:pos="685"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All General Meetings other than Annual General Meetings shall be called “</w:t>
      </w:r>
      <w:r>
        <w:rPr>
          <w:rFonts w:ascii="Arial" w:cs="Arial" w:eastAsia="Arial" w:hAnsi="Arial"/>
          <w:sz w:val="18"/>
          <w:szCs w:val="18"/>
          <w:b w:val="1"/>
          <w:bCs w:val="1"/>
          <w:color w:val="auto"/>
        </w:rPr>
        <w:t>Special General Meetings</w:t>
      </w:r>
      <w:r>
        <w:rPr>
          <w:rFonts w:ascii="Arial" w:cs="Arial" w:eastAsia="Arial" w:hAnsi="Arial"/>
          <w:sz w:val="18"/>
          <w:szCs w:val="18"/>
          <w:color w:val="auto"/>
        </w:rPr>
        <w:t>”. The Board of Directors may, at its discretion, convene a Special General Meeting at such time and place, within or outside of the State of Israel, as may be determined by the Board of Directors.</w:t>
      </w:r>
    </w:p>
    <w:p>
      <w:pPr>
        <w:spacing w:after="0" w:line="77" w:lineRule="exact"/>
        <w:rPr>
          <w:rFonts w:ascii="Arial" w:cs="Arial" w:eastAsia="Arial" w:hAnsi="Arial"/>
          <w:sz w:val="18"/>
          <w:szCs w:val="18"/>
          <w:color w:val="auto"/>
        </w:rPr>
      </w:pPr>
    </w:p>
    <w:p>
      <w:pPr>
        <w:ind w:left="433" w:right="20" w:firstLine="4"/>
        <w:spacing w:after="0" w:line="253" w:lineRule="auto"/>
        <w:tabs>
          <w:tab w:leader="none" w:pos="67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so determined by the Board of Directors, an Annual General Meeting or a Special General Meeting may be held through the use of any means of communication approved by the Board of Directors, provided all of the participating Shareholders can hear each other simultaneously. A resolution approved by use of means of communications as aforesaid, shall be deemed to be a resolution lawfully adopted at such general meeting and a Shareholder shall be deemed present in person at such general meeting if attending such meeting through the means of communication used at such meeting.</w:t>
      </w:r>
    </w:p>
    <w:p>
      <w:pPr>
        <w:spacing w:after="0" w:line="95" w:lineRule="exact"/>
        <w:rPr>
          <w:rFonts w:ascii="Arial" w:cs="Arial" w:eastAsia="Arial" w:hAnsi="Arial"/>
          <w:sz w:val="18"/>
          <w:szCs w:val="18"/>
          <w:color w:val="auto"/>
        </w:rPr>
      </w:pPr>
    </w:p>
    <w:p>
      <w:pPr>
        <w:ind w:left="433" w:hanging="433"/>
        <w:spacing w:after="0"/>
        <w:tabs>
          <w:tab w:leader="none" w:pos="433"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ECORD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ATE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18" w:lineRule="exact"/>
        <w:rPr>
          <w:sz w:val="20"/>
          <w:szCs w:val="20"/>
          <w:color w:val="auto"/>
        </w:rPr>
      </w:pPr>
    </w:p>
    <w:p>
      <w:pPr>
        <w:ind w:left="433" w:right="20"/>
        <w:spacing w:after="0" w:line="270" w:lineRule="auto"/>
        <w:rPr>
          <w:sz w:val="20"/>
          <w:szCs w:val="20"/>
          <w:color w:val="auto"/>
        </w:rPr>
      </w:pPr>
      <w:r>
        <w:rPr>
          <w:rFonts w:ascii="Arial" w:cs="Arial" w:eastAsia="Arial" w:hAnsi="Arial"/>
          <w:sz w:val="17"/>
          <w:szCs w:val="17"/>
          <w:color w:val="auto"/>
        </w:rPr>
        <w:t xml:space="preserve">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for the General Meeting, which shall not be more than the maximum period and not less than the minimum period permitted by law. A determination of Shareholders of record entitled to notice of or to vote at a General Meeting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adjourned meeting.</w:t>
      </w:r>
    </w:p>
    <w:p>
      <w:pPr>
        <w:spacing w:after="0" w:line="81" w:lineRule="exact"/>
        <w:rPr>
          <w:sz w:val="20"/>
          <w:szCs w:val="20"/>
          <w:color w:val="auto"/>
        </w:rPr>
      </w:pPr>
    </w:p>
    <w:p>
      <w:pPr>
        <w:ind w:left="433" w:hanging="433"/>
        <w:spacing w:after="0"/>
        <w:tabs>
          <w:tab w:leader="none" w:pos="433"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ROPOSAL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EQUEST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4"/>
        <w:spacing w:after="0" w:line="281" w:lineRule="auto"/>
        <w:tabs>
          <w:tab w:leader="none" w:pos="67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Any Shareholder or Shareholders of the Company holding at least the required percentage under the Companies Law of the voting rights of the Company which entitles such Shareholder(s) to require the Company to include a matter on the agenda of a General Meeting (the “</w:t>
      </w:r>
      <w:r>
        <w:rPr>
          <w:rFonts w:ascii="Arial" w:cs="Arial" w:eastAsia="Arial" w:hAnsi="Arial"/>
          <w:sz w:val="16"/>
          <w:szCs w:val="16"/>
          <w:b w:val="1"/>
          <w:bCs w:val="1"/>
          <w:color w:val="auto"/>
        </w:rPr>
        <w:t>Proposing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may request, subject to the Companies Law, that the Board of Directors include a matter on the agenda of a General Meeting to</w:t>
      </w:r>
      <w:r>
        <w:rPr>
          <w:rFonts w:ascii="Arial" w:cs="Arial" w:eastAsia="Arial" w:hAnsi="Arial"/>
          <w:sz w:val="16"/>
          <w:szCs w:val="16"/>
          <w:b w:val="1"/>
          <w:bCs w:val="1"/>
          <w:color w:val="auto"/>
        </w:rPr>
        <w:t xml:space="preserve"> </w:t>
      </w:r>
      <w:r>
        <w:rPr>
          <w:rFonts w:ascii="Arial" w:cs="Arial" w:eastAsia="Arial" w:hAnsi="Arial"/>
          <w:sz w:val="16"/>
          <w:szCs w:val="16"/>
          <w:color w:val="auto"/>
        </w:rPr>
        <w:t>be held in the future, provided that the Board of Directors determines that the matter is appropriate to be considered at a General Meeting (a “</w:t>
      </w:r>
      <w:r>
        <w:rPr>
          <w:rFonts w:ascii="Arial" w:cs="Arial" w:eastAsia="Arial" w:hAnsi="Arial"/>
          <w:sz w:val="16"/>
          <w:szCs w:val="16"/>
          <w:b w:val="1"/>
          <w:bCs w:val="1"/>
          <w:color w:val="auto"/>
        </w:rPr>
        <w:t>Proposal Request</w:t>
      </w:r>
      <w:r>
        <w:rPr>
          <w:rFonts w:ascii="Arial" w:cs="Arial" w:eastAsia="Arial" w:hAnsi="Arial"/>
          <w:sz w:val="16"/>
          <w:szCs w:val="16"/>
          <w:color w:val="auto"/>
        </w:rPr>
        <w:t>”). In order for the Board of Directors to consider a Proposal Request and whether to include the matter stated therein in the agenda of a General Meeting, notice of the Proposal Request must be timely delivered in accordance with applicable law, and the Proposal Request must comply with the requirements of these Articles (including this Article 25) and any applicable law and stock exchange rules and regulations. The Proposal Request must be in writing, signed by all of the Proposing Shareholder(s) making such request, delivered, either in person or by registered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a representation that the Proposing Shareholder(s) intend to appear in person or by proxy at the meeting; (iv) a description of all arrangements or</w:t>
      </w:r>
    </w:p>
    <w:p>
      <w:pPr>
        <w:spacing w:after="0" w:line="116" w:lineRule="exact"/>
        <w:rPr>
          <w:rFonts w:ascii="Arial" w:cs="Arial" w:eastAsia="Arial" w:hAnsi="Arial"/>
          <w:sz w:val="16"/>
          <w:szCs w:val="16"/>
          <w:color w:val="auto"/>
        </w:rPr>
      </w:pPr>
    </w:p>
    <w:p>
      <w:pPr>
        <w:ind w:left="5413" w:hanging="105"/>
        <w:spacing w:after="0"/>
        <w:tabs>
          <w:tab w:leader="none" w:pos="5413" w:val="left"/>
        </w:tabs>
        <w:numPr>
          <w:ilvl w:val="2"/>
          <w:numId w:val="21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13"/>
          </w:cols>
          <w:pgMar w:left="487" w:top="268" w:right="499" w:bottom="1440" w:gutter="0" w:footer="0" w:header="0"/>
        </w:sectPr>
      </w:pPr>
    </w:p>
    <w:bookmarkStart w:id="287" w:name="page288"/>
    <w:bookmarkEnd w:id="287"/>
    <w:p>
      <w:pPr>
        <w:ind w:left="433"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56" w:lineRule="exact"/>
        <w:rPr>
          <w:sz w:val="20"/>
          <w:szCs w:val="20"/>
          <w:color w:val="auto"/>
        </w:rPr>
      </w:pPr>
    </w:p>
    <w:p>
      <w:pPr>
        <w:ind w:left="433" w:right="100"/>
        <w:spacing w:after="0" w:line="285"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61" w:lineRule="exact"/>
        <w:rPr>
          <w:sz w:val="20"/>
          <w:szCs w:val="20"/>
          <w:color w:val="auto"/>
        </w:rPr>
      </w:pPr>
    </w:p>
    <w:p>
      <w:pPr>
        <w:ind w:left="433" w:right="480" w:firstLine="4"/>
        <w:spacing w:after="0" w:line="301" w:lineRule="auto"/>
        <w:tabs>
          <w:tab w:leader="none" w:pos="685"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44" w:lineRule="exact"/>
        <w:rPr>
          <w:rFonts w:ascii="Arial" w:cs="Arial" w:eastAsia="Arial" w:hAnsi="Arial"/>
          <w:sz w:val="17"/>
          <w:szCs w:val="17"/>
          <w:color w:val="auto"/>
        </w:rPr>
      </w:pPr>
    </w:p>
    <w:p>
      <w:pPr>
        <w:ind w:left="433" w:right="440" w:firstLine="4"/>
        <w:spacing w:after="0" w:line="335" w:lineRule="auto"/>
        <w:tabs>
          <w:tab w:leader="none" w:pos="67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The provisions of Articles 25(a) and 25(b)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on any matter to be included on the agenda of a Special General Meeting which is convened pursuant to a request of a Shareholder duly delivered to the Company in accordance with the Companies Law.</w:t>
      </w:r>
    </w:p>
    <w:p>
      <w:pPr>
        <w:spacing w:after="0" w:line="21" w:lineRule="exact"/>
        <w:rPr>
          <w:rFonts w:ascii="Arial" w:cs="Arial" w:eastAsia="Arial" w:hAnsi="Arial"/>
          <w:sz w:val="16"/>
          <w:szCs w:val="16"/>
          <w:color w:val="auto"/>
        </w:rPr>
      </w:pPr>
    </w:p>
    <w:p>
      <w:pPr>
        <w:ind w:left="433" w:right="380" w:firstLine="4"/>
        <w:spacing w:after="0" w:line="271" w:lineRule="auto"/>
        <w:tabs>
          <w:tab w:leader="none" w:pos="68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25 may only be amended, replaced or suspended by a resolution adopted at a General Meeting by a majority of at least 70% of the total voting power of the Shareholders.</w:t>
      </w:r>
    </w:p>
    <w:p>
      <w:pPr>
        <w:spacing w:after="0" w:line="76" w:lineRule="exact"/>
        <w:rPr>
          <w:rFonts w:ascii="Arial" w:cs="Arial" w:eastAsia="Arial" w:hAnsi="Arial"/>
          <w:sz w:val="18"/>
          <w:szCs w:val="18"/>
          <w:color w:val="auto"/>
        </w:rPr>
      </w:pPr>
    </w:p>
    <w:p>
      <w:pPr>
        <w:ind w:left="433" w:hanging="433"/>
        <w:spacing w:after="0"/>
        <w:tabs>
          <w:tab w:leader="none" w:pos="433"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b w:val="1"/>
          <w:bCs w:val="1"/>
          <w:u w:val="single" w:color="auto"/>
          <w:color w:val="auto"/>
        </w:rPr>
        <w:t>; O</w:t>
      </w:r>
      <w:r>
        <w:rPr>
          <w:rFonts w:ascii="Arial" w:cs="Arial" w:eastAsia="Arial" w:hAnsi="Arial"/>
          <w:sz w:val="14"/>
          <w:szCs w:val="14"/>
          <w:b w:val="1"/>
          <w:bCs w:val="1"/>
          <w:u w:val="single" w:color="auto"/>
          <w:color w:val="auto"/>
        </w:rPr>
        <w:t>MISSION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73" w:hanging="236"/>
        <w:spacing w:after="0"/>
        <w:tabs>
          <w:tab w:leader="none" w:pos="67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Company is not required to give notice of a General Meeting, subject to any mandatory provision of the Companies Law.</w:t>
      </w:r>
    </w:p>
    <w:p>
      <w:pPr>
        <w:spacing w:after="0" w:line="113" w:lineRule="exact"/>
        <w:rPr>
          <w:rFonts w:ascii="Arial" w:cs="Arial" w:eastAsia="Arial" w:hAnsi="Arial"/>
          <w:sz w:val="18"/>
          <w:szCs w:val="18"/>
          <w:color w:val="auto"/>
        </w:rPr>
      </w:pPr>
    </w:p>
    <w:p>
      <w:pPr>
        <w:ind w:left="433" w:right="20" w:firstLine="4"/>
        <w:spacing w:after="0" w:line="271" w:lineRule="auto"/>
        <w:tabs>
          <w:tab w:leader="none" w:pos="68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67" w:lineRule="exact"/>
        <w:rPr>
          <w:rFonts w:ascii="Arial" w:cs="Arial" w:eastAsia="Arial" w:hAnsi="Arial"/>
          <w:sz w:val="18"/>
          <w:szCs w:val="18"/>
          <w:color w:val="auto"/>
        </w:rPr>
      </w:pPr>
    </w:p>
    <w:p>
      <w:pPr>
        <w:ind w:left="433" w:firstLine="4"/>
        <w:spacing w:after="0" w:line="259" w:lineRule="auto"/>
        <w:tabs>
          <w:tab w:leader="none" w:pos="67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118" w:lineRule="exact"/>
        <w:rPr>
          <w:rFonts w:ascii="Arial" w:cs="Arial" w:eastAsia="Arial" w:hAnsi="Arial"/>
          <w:sz w:val="18"/>
          <w:szCs w:val="18"/>
          <w:color w:val="auto"/>
        </w:rPr>
      </w:pPr>
    </w:p>
    <w:p>
      <w:pPr>
        <w:ind w:left="5373" w:hanging="109"/>
        <w:spacing w:after="0"/>
        <w:tabs>
          <w:tab w:leader="none" w:pos="5373" w:val="left"/>
        </w:tabs>
        <w:numPr>
          <w:ilvl w:val="2"/>
          <w:numId w:val="21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13"/>
          </w:cols>
          <w:pgMar w:left="487" w:top="272" w:right="499" w:bottom="1440" w:gutter="0" w:footer="0" w:header="0"/>
        </w:sectPr>
      </w:pPr>
    </w:p>
    <w:bookmarkStart w:id="288" w:name="page289"/>
    <w:bookmarkEnd w:id="288"/>
    <w:p>
      <w:pPr>
        <w:ind w:left="433" w:right="100" w:firstLine="4"/>
        <w:spacing w:after="0" w:line="259" w:lineRule="auto"/>
        <w:tabs>
          <w:tab w:leader="none" w:pos="685"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addition to any places at which the Company may make available for review by Shareholders the full text of the proposed resolutions to be adopted at a General Meeting, as required by the Companies Law, the Company may add additional places for Shareholders to review such proposed resolutions, including an internet site.</w:t>
      </w:r>
    </w:p>
    <w:p>
      <w:pPr>
        <w:spacing w:after="0" w:line="39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AT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48" w:lineRule="exact"/>
        <w:rPr>
          <w:sz w:val="20"/>
          <w:szCs w:val="20"/>
          <w:color w:val="auto"/>
        </w:rPr>
      </w:pPr>
    </w:p>
    <w:p>
      <w:pPr>
        <w:ind w:left="433" w:hanging="433"/>
        <w:spacing w:after="0"/>
        <w:tabs>
          <w:tab w:leader="none" w:pos="433"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firstLine="4"/>
        <w:spacing w:after="0" w:line="301" w:lineRule="auto"/>
        <w:tabs>
          <w:tab w:leader="none" w:pos="675" w:val="left"/>
        </w:tabs>
        <w:numPr>
          <w:ilvl w:val="1"/>
          <w:numId w:val="215"/>
        </w:numPr>
        <w:rPr>
          <w:rFonts w:ascii="Arial" w:cs="Arial" w:eastAsia="Arial" w:hAnsi="Arial"/>
          <w:sz w:val="17"/>
          <w:szCs w:val="17"/>
          <w:color w:val="auto"/>
        </w:rPr>
      </w:pPr>
      <w:r>
        <w:rPr>
          <w:rFonts w:ascii="Arial" w:cs="Arial" w:eastAsia="Arial" w:hAnsi="Arial"/>
          <w:sz w:val="17"/>
          <w:szCs w:val="17"/>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44" w:lineRule="exact"/>
        <w:rPr>
          <w:rFonts w:ascii="Arial" w:cs="Arial" w:eastAsia="Arial" w:hAnsi="Arial"/>
          <w:sz w:val="17"/>
          <w:szCs w:val="17"/>
          <w:color w:val="auto"/>
        </w:rPr>
      </w:pPr>
    </w:p>
    <w:p>
      <w:pPr>
        <w:ind w:left="433" w:firstLine="4"/>
        <w:spacing w:after="0" w:line="263" w:lineRule="auto"/>
        <w:tabs>
          <w:tab w:leader="none" w:pos="68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In the absence of contrary provisions in these Articles, the requisite quorum for any General Meeting shall be two or more Shareholders (not in default in payment of any sum referred to in Article 13 hereof) present in person or by proxy and holding shares conferring in the aggregate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voting power of the Company, provided, however, that if (i) such General Meeting was initiated by and convened pursuant to a resolution adopted by the Board of Directors and (ii) at the time of such General Meeting the Company is qualified to the use forms of a “foreign private issuer” under US securities laws, then the requisite quorum shall be two or more Shareholders (not in default in payment of any sum referred to in Article 13 hereof) present in person or by proxy and holding shares conferring in the aggregate at least twenty-five percent (25%) of the voting power of the Company. For the purpose of determining the quorum present at a certain General Meeting, a proxy may be deemed to be two (2) or more Shareholders pursuant to the number of Shareholders represented by the proxy holder.</w:t>
      </w:r>
    </w:p>
    <w:p>
      <w:pPr>
        <w:spacing w:after="0" w:line="79" w:lineRule="exact"/>
        <w:rPr>
          <w:rFonts w:ascii="Arial" w:cs="Arial" w:eastAsia="Arial" w:hAnsi="Arial"/>
          <w:sz w:val="16"/>
          <w:szCs w:val="16"/>
          <w:color w:val="auto"/>
        </w:rPr>
      </w:pPr>
    </w:p>
    <w:p>
      <w:pPr>
        <w:jc w:val="both"/>
        <w:ind w:left="433" w:right="160" w:firstLine="4"/>
        <w:spacing w:after="0" w:line="268" w:lineRule="auto"/>
        <w:tabs>
          <w:tab w:leader="none" w:pos="675"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of such meeting, or (iii) to such day and at such time and place as the Chairperson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upon request under Section 63 of the Companies Law, one or more shareholders, present in person or by proxy, and holding the number of shares required for making such request, shall constitute a quorum, but in any other case any shareholder (not in default as aforesaid) present in person or by proxy, shall constitute a quorum.</w:t>
      </w:r>
    </w:p>
    <w:p>
      <w:pPr>
        <w:spacing w:after="0" w:line="81" w:lineRule="exact"/>
        <w:rPr>
          <w:rFonts w:ascii="Arial" w:cs="Arial" w:eastAsia="Arial" w:hAnsi="Arial"/>
          <w:sz w:val="17"/>
          <w:szCs w:val="17"/>
          <w:color w:val="auto"/>
        </w:rPr>
      </w:pPr>
    </w:p>
    <w:p>
      <w:pPr>
        <w:ind w:left="433" w:hanging="433"/>
        <w:spacing w:after="0"/>
        <w:tabs>
          <w:tab w:leader="none" w:pos="433"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18" w:lineRule="exact"/>
        <w:rPr>
          <w:sz w:val="20"/>
          <w:szCs w:val="20"/>
          <w:color w:val="auto"/>
        </w:rPr>
      </w:pPr>
    </w:p>
    <w:p>
      <w:pPr>
        <w:ind w:left="433" w:right="40"/>
        <w:spacing w:after="0" w:line="287" w:lineRule="auto"/>
        <w:rPr>
          <w:sz w:val="20"/>
          <w:szCs w:val="20"/>
          <w:color w:val="auto"/>
        </w:rPr>
      </w:pPr>
      <w:r>
        <w:rPr>
          <w:rFonts w:ascii="Arial" w:cs="Arial" w:eastAsia="Arial" w:hAnsi="Arial"/>
          <w:sz w:val="16"/>
          <w:szCs w:val="16"/>
          <w:color w:val="auto"/>
        </w:rPr>
        <w:t>The Chairperson of the Board of Directors shall preside as Chairperson of every General Meeting of the Company. If at any meeting the Chairperson is not present within fifteen (15) minutes after the time fixed for holding the meeting or is unwilling or unable to act as Chairperson, any of the following may preside as Chairperson of the meeting (and in the following order): a Director designated by the Board of Directors, the Chief Executive Officer, the Chief Financial Officer, the General Counsel, the Secretary or any person designated by any of the foregoing. If at any such meeting none of the foregoing persons is present or all are unwilling or unable to act as Chairperson, the Shareholders present (in person or by proxy) shall choose a Shareholder or its proxy present at the meeting to be Chairperson. The office of Chairperson shall not, by itself, entitle the holder thereof to vote at any General Meeting nor shall it entitle such holder to a second or casting vote (without derogating, however, from the rights of such Chairperson to vote as a Shareholder or proxy of a Shareholder if, in fact, he is also a Shareholder or such proxy).</w:t>
      </w:r>
    </w:p>
    <w:p>
      <w:pPr>
        <w:spacing w:after="0" w:line="9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893"/>
          </w:cols>
          <w:pgMar w:left="487" w:top="272" w:right="519" w:bottom="1440" w:gutter="0" w:footer="0" w:header="0"/>
        </w:sectPr>
      </w:pPr>
    </w:p>
    <w:bookmarkStart w:id="289" w:name="page290"/>
    <w:bookmarkEnd w:id="289"/>
    <w:p>
      <w:pPr>
        <w:ind w:left="433" w:hanging="433"/>
        <w:spacing w:after="0"/>
        <w:tabs>
          <w:tab w:leader="none" w:pos="433"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DOPTION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ESOLUTIONS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firstLine="4"/>
        <w:spacing w:after="0" w:line="268" w:lineRule="auto"/>
        <w:tabs>
          <w:tab w:leader="none" w:pos="675"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for which the Companies Law allows these Articles to provide otherwise (including, Sections 327 and 24 of the Companies Law), shall be adopted by a simple majority of the voting power represented at the General Meeting in person or by proxy and voting thereon, as one class, and disregarding abstentions from the count of the voting power present and voting.</w:t>
      </w:r>
    </w:p>
    <w:p>
      <w:pPr>
        <w:spacing w:after="0" w:line="72" w:lineRule="exact"/>
        <w:rPr>
          <w:rFonts w:ascii="Arial" w:cs="Arial" w:eastAsia="Arial" w:hAnsi="Arial"/>
          <w:sz w:val="17"/>
          <w:szCs w:val="17"/>
          <w:color w:val="auto"/>
        </w:rPr>
      </w:pPr>
    </w:p>
    <w:p>
      <w:pPr>
        <w:ind w:left="433" w:right="40" w:firstLine="4"/>
        <w:spacing w:after="0" w:line="297" w:lineRule="auto"/>
        <w:tabs>
          <w:tab w:leader="none" w:pos="68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Every question submitted to a General Meeting shall be decided by a show of hands, but the Chairperson of the General Meeting may determine that a resolution shall be decided by a written ballot. A written ballot may be implemented before the proposed resolution is voted upon or immediately after the declaration by the Chairperson of the results of the vote by a show of hands. If a vote by written ballot is taken after such declaration, the results of the vote by a show of hands shall be of no effect, and the proposed resolution shall be decided by such written ballot.</w:t>
      </w:r>
    </w:p>
    <w:p>
      <w:pPr>
        <w:spacing w:after="0" w:line="52" w:lineRule="exact"/>
        <w:rPr>
          <w:rFonts w:ascii="Arial" w:cs="Arial" w:eastAsia="Arial" w:hAnsi="Arial"/>
          <w:sz w:val="16"/>
          <w:szCs w:val="16"/>
          <w:color w:val="auto"/>
        </w:rPr>
      </w:pPr>
    </w:p>
    <w:p>
      <w:pPr>
        <w:ind w:left="433" w:right="40" w:firstLine="4"/>
        <w:spacing w:after="0" w:line="307" w:lineRule="auto"/>
        <w:tabs>
          <w:tab w:leader="none" w:pos="67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 defect in convening or conducting a General Meeting, including a defect resulting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p>
      <w:pPr>
        <w:spacing w:after="0" w:line="42" w:lineRule="exact"/>
        <w:rPr>
          <w:rFonts w:ascii="Arial" w:cs="Arial" w:eastAsia="Arial" w:hAnsi="Arial"/>
          <w:sz w:val="16"/>
          <w:szCs w:val="16"/>
          <w:color w:val="auto"/>
        </w:rPr>
      </w:pPr>
    </w:p>
    <w:p>
      <w:pPr>
        <w:ind w:left="433" w:right="60" w:firstLine="4"/>
        <w:spacing w:after="0" w:line="259" w:lineRule="auto"/>
        <w:tabs>
          <w:tab w:leader="none" w:pos="68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 declaration by the Chairperson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88" w:lineRule="exact"/>
        <w:rPr>
          <w:rFonts w:ascii="Arial" w:cs="Arial" w:eastAsia="Arial" w:hAnsi="Arial"/>
          <w:sz w:val="18"/>
          <w:szCs w:val="18"/>
          <w:color w:val="auto"/>
        </w:rPr>
      </w:pPr>
    </w:p>
    <w:p>
      <w:pPr>
        <w:ind w:left="433" w:hanging="433"/>
        <w:spacing w:after="0"/>
        <w:tabs>
          <w:tab w:leader="none" w:pos="433"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DJOURN</w:t>
      </w:r>
      <w:r>
        <w:rPr>
          <w:rFonts w:ascii="Arial" w:cs="Arial" w:eastAsia="Arial" w:hAnsi="Arial"/>
          <w:sz w:val="18"/>
          <w:szCs w:val="18"/>
          <w:color w:val="auto"/>
        </w:rPr>
        <w:t>.</w:t>
      </w:r>
    </w:p>
    <w:p>
      <w:pPr>
        <w:spacing w:after="0" w:line="118" w:lineRule="exact"/>
        <w:rPr>
          <w:sz w:val="20"/>
          <w:szCs w:val="20"/>
          <w:color w:val="auto"/>
        </w:rPr>
      </w:pPr>
    </w:p>
    <w:p>
      <w:pPr>
        <w:ind w:left="433"/>
        <w:spacing w:after="0" w:line="270" w:lineRule="auto"/>
        <w:rPr>
          <w:sz w:val="20"/>
          <w:szCs w:val="20"/>
          <w:color w:val="auto"/>
        </w:rPr>
      </w:pPr>
      <w:r>
        <w:rPr>
          <w:rFonts w:ascii="Arial" w:cs="Arial" w:eastAsia="Arial" w:hAnsi="Arial"/>
          <w:sz w:val="17"/>
          <w:szCs w:val="17"/>
          <w:color w:val="auto"/>
        </w:rPr>
        <w:t>A General Meeting, the consideration of any matter on its agenda, or the resolution on any matter on its agenda, may be postponed or adjourned, from time to time and from place to place: (i) by the Chairperson of a General Meeting at which a quorum is present (and he shall do so if directed by the General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of Directors (whether prior to or at a General Meeting).</w:t>
      </w:r>
    </w:p>
    <w:p>
      <w:pPr>
        <w:spacing w:after="0" w:line="81" w:lineRule="exact"/>
        <w:rPr>
          <w:sz w:val="20"/>
          <w:szCs w:val="20"/>
          <w:color w:val="auto"/>
        </w:rPr>
      </w:pPr>
    </w:p>
    <w:p>
      <w:pPr>
        <w:ind w:left="433" w:hanging="433"/>
        <w:spacing w:after="0"/>
        <w:tabs>
          <w:tab w:leader="none" w:pos="433"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w:t>
      </w:r>
      <w:r>
        <w:rPr>
          <w:rFonts w:ascii="Arial" w:cs="Arial" w:eastAsia="Arial" w:hAnsi="Arial"/>
          <w:sz w:val="18"/>
          <w:szCs w:val="18"/>
          <w:color w:val="auto"/>
        </w:rPr>
        <w:t>.</w:t>
      </w:r>
    </w:p>
    <w:p>
      <w:pPr>
        <w:spacing w:after="0" w:line="118" w:lineRule="exact"/>
        <w:rPr>
          <w:sz w:val="20"/>
          <w:szCs w:val="20"/>
          <w:color w:val="auto"/>
        </w:rPr>
      </w:pPr>
    </w:p>
    <w:p>
      <w:pPr>
        <w:ind w:left="433" w:right="100"/>
        <w:spacing w:after="0" w:line="259" w:lineRule="auto"/>
        <w:rPr>
          <w:sz w:val="20"/>
          <w:szCs w:val="20"/>
          <w:color w:val="auto"/>
        </w:rPr>
      </w:pPr>
      <w:r>
        <w:rPr>
          <w:rFonts w:ascii="Arial" w:cs="Arial" w:eastAsia="Arial" w:hAnsi="Arial"/>
          <w:sz w:val="18"/>
          <w:szCs w:val="18"/>
          <w:color w:val="auto"/>
        </w:rPr>
        <w:t>Subject to the provisions of Article 32(a) and to any provision hereof conferring special rights as to voting, or restricting the right to vote, every Shareholder shall have one vote for each share held by the Shareholder of record, on every resolution, without regard to whether the vote thereon is conducted by a show of hands, by written ballot, or by any other means.</w:t>
      </w:r>
    </w:p>
    <w:p>
      <w:pPr>
        <w:spacing w:after="0" w:line="88" w:lineRule="exact"/>
        <w:rPr>
          <w:sz w:val="20"/>
          <w:szCs w:val="20"/>
          <w:color w:val="auto"/>
        </w:rPr>
      </w:pPr>
    </w:p>
    <w:p>
      <w:pPr>
        <w:ind w:left="433" w:hanging="433"/>
        <w:spacing w:after="0"/>
        <w:tabs>
          <w:tab w:leader="none" w:pos="433"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w:t>
      </w:r>
    </w:p>
    <w:p>
      <w:pPr>
        <w:spacing w:after="0" w:line="117" w:lineRule="exact"/>
        <w:rPr>
          <w:rFonts w:ascii="Arial" w:cs="Arial" w:eastAsia="Arial" w:hAnsi="Arial"/>
          <w:sz w:val="18"/>
          <w:szCs w:val="18"/>
          <w:color w:val="auto"/>
        </w:rPr>
      </w:pPr>
    </w:p>
    <w:p>
      <w:pPr>
        <w:ind w:left="433" w:right="40" w:firstLine="4"/>
        <w:spacing w:after="0" w:line="271" w:lineRule="auto"/>
        <w:tabs>
          <w:tab w:leader="none" w:pos="67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(or be counted as a part of the quorum thereat), unless all calls then payable by him or her in respect of his or her shares in the Company have been paid.</w:t>
      </w:r>
    </w:p>
    <w:p>
      <w:pPr>
        <w:spacing w:after="0" w:line="67" w:lineRule="exact"/>
        <w:rPr>
          <w:rFonts w:ascii="Arial" w:cs="Arial" w:eastAsia="Arial" w:hAnsi="Arial"/>
          <w:sz w:val="18"/>
          <w:szCs w:val="18"/>
          <w:color w:val="auto"/>
        </w:rPr>
      </w:pPr>
    </w:p>
    <w:p>
      <w:pPr>
        <w:jc w:val="both"/>
        <w:ind w:left="433" w:firstLine="4"/>
        <w:spacing w:after="0" w:line="275" w:lineRule="auto"/>
        <w:tabs>
          <w:tab w:leader="none" w:pos="685"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Chairperson of the General Meeting, written evidence of such authorization (in form acceptable to the Chairperson) shall be delivered to him or her.</w:t>
      </w:r>
    </w:p>
    <w:p>
      <w:pPr>
        <w:spacing w:after="0" w:line="107" w:lineRule="exact"/>
        <w:rPr>
          <w:rFonts w:ascii="Arial" w:cs="Arial" w:eastAsia="Arial" w:hAnsi="Arial"/>
          <w:sz w:val="17"/>
          <w:szCs w:val="17"/>
          <w:color w:val="auto"/>
        </w:rPr>
      </w:pPr>
    </w:p>
    <w:p>
      <w:pPr>
        <w:ind w:left="5373" w:hanging="109"/>
        <w:spacing w:after="0"/>
        <w:tabs>
          <w:tab w:leader="none" w:pos="5373" w:val="left"/>
        </w:tabs>
        <w:numPr>
          <w:ilvl w:val="2"/>
          <w:numId w:val="21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893"/>
          </w:cols>
          <w:pgMar w:left="487" w:top="269" w:right="519" w:bottom="1440" w:gutter="0" w:footer="0" w:header="0"/>
        </w:sectPr>
      </w:pPr>
    </w:p>
    <w:bookmarkStart w:id="290" w:name="page291"/>
    <w:bookmarkEnd w:id="290"/>
    <w:p>
      <w:pPr>
        <w:ind w:left="440" w:right="140" w:firstLine="4"/>
        <w:spacing w:after="0" w:line="271" w:lineRule="auto"/>
        <w:tabs>
          <w:tab w:leader="none" w:pos="682"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Shareholder entitled to vote may vote either in person or by proxy (who need not be Shareholder of the Company), or, if the Shareholder is a company or other corporate body, by representative authorized pursuant to Article 32(b) above.</w:t>
      </w:r>
    </w:p>
    <w:p>
      <w:pPr>
        <w:spacing w:after="0" w:line="67" w:lineRule="exact"/>
        <w:rPr>
          <w:rFonts w:ascii="Arial" w:cs="Arial" w:eastAsia="Arial" w:hAnsi="Arial"/>
          <w:sz w:val="18"/>
          <w:szCs w:val="18"/>
          <w:color w:val="auto"/>
        </w:rPr>
      </w:pPr>
    </w:p>
    <w:p>
      <w:pPr>
        <w:ind w:left="440" w:right="20" w:firstLine="4"/>
        <w:spacing w:after="0" w:line="259" w:lineRule="auto"/>
        <w:tabs>
          <w:tab w:leader="none" w:pos="6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Shareholders.</w:t>
      </w:r>
    </w:p>
    <w:p>
      <w:pPr>
        <w:spacing w:after="0" w:line="78" w:lineRule="exact"/>
        <w:rPr>
          <w:rFonts w:ascii="Arial" w:cs="Arial" w:eastAsia="Arial" w:hAnsi="Arial"/>
          <w:sz w:val="18"/>
          <w:szCs w:val="18"/>
          <w:color w:val="auto"/>
        </w:rPr>
      </w:pPr>
    </w:p>
    <w:p>
      <w:pPr>
        <w:ind w:left="440" w:right="40" w:firstLine="4"/>
        <w:spacing w:after="0" w:line="255" w:lineRule="auto"/>
        <w:tabs>
          <w:tab w:leader="none" w:pos="68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a Shareholder is a minor, under protection, bankrupt or legally incompetent, or in the case of a corporation, is in receivership or liquidation, it may, subject to all other provisions of these Articles and any documents or records required to be provided under these Articles, vote through his, her or its trustees, receiver, liquidator, natural guardian or another legal guardian, as the case may be, and the persons listed above may vote in person or by proxy.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ROXIES</w:t>
      </w:r>
    </w:p>
    <w:p>
      <w:pPr>
        <w:spacing w:after="0" w:line="248" w:lineRule="exact"/>
        <w:rPr>
          <w:sz w:val="20"/>
          <w:szCs w:val="20"/>
          <w:color w:val="auto"/>
        </w:rPr>
      </w:pPr>
    </w:p>
    <w:p>
      <w:pPr>
        <w:ind w:left="440" w:hanging="433"/>
        <w:spacing w:after="0"/>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NSTRUMENT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 An instrument appointing a proxy shall be in writing and shall be substantially in the following form:</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5260" w:type="dxa"/>
            <w:vAlign w:val="bottom"/>
            <w:gridSpan w:val="2"/>
          </w:tcPr>
          <w:p>
            <w:pPr>
              <w:spacing w:after="0"/>
              <w:rPr>
                <w:sz w:val="20"/>
                <w:szCs w:val="20"/>
                <w:color w:val="auto"/>
              </w:rPr>
            </w:pPr>
            <w:r>
              <w:rPr>
                <w:rFonts w:ascii="Arial" w:cs="Arial" w:eastAsia="Arial" w:hAnsi="Arial"/>
                <w:sz w:val="18"/>
                <w:szCs w:val="18"/>
                <w:color w:val="auto"/>
              </w:rPr>
              <w:t>“I</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of</w:t>
            </w:r>
          </w:p>
        </w:tc>
      </w:tr>
      <w:tr>
        <w:trPr>
          <w:trHeight w:val="221"/>
        </w:trPr>
        <w:tc>
          <w:tcPr>
            <w:tcW w:w="24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(Name of Shareholder)</w:t>
            </w:r>
          </w:p>
        </w:tc>
        <w:tc>
          <w:tcPr>
            <w:tcW w:w="40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(Address of Shareholder)</w:t>
            </w:r>
          </w:p>
        </w:tc>
      </w:tr>
      <w:tr>
        <w:trPr>
          <w:trHeight w:val="320"/>
        </w:trPr>
        <w:tc>
          <w:tcPr>
            <w:tcW w:w="5260" w:type="dxa"/>
            <w:vAlign w:val="bottom"/>
            <w:gridSpan w:val="2"/>
          </w:tcPr>
          <w:p>
            <w:pPr>
              <w:spacing w:after="0"/>
              <w:rPr>
                <w:sz w:val="20"/>
                <w:szCs w:val="20"/>
                <w:color w:val="auto"/>
              </w:rPr>
            </w:pPr>
            <w:r>
              <w:rPr>
                <w:rFonts w:ascii="Arial" w:cs="Arial" w:eastAsia="Arial" w:hAnsi="Arial"/>
                <w:sz w:val="18"/>
                <w:szCs w:val="18"/>
                <w:color w:val="auto"/>
              </w:rPr>
              <w:t>Being a shareholder of Global-E Online Ltd. hereby appoints</w:t>
            </w:r>
          </w:p>
        </w:tc>
        <w:tc>
          <w:tcPr>
            <w:tcW w:w="4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2"/>
        </w:trPr>
        <w:tc>
          <w:tcPr>
            <w:tcW w:w="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of</w:t>
            </w:r>
          </w:p>
        </w:tc>
      </w:tr>
      <w:tr>
        <w:trPr>
          <w:trHeight w:val="221"/>
        </w:trPr>
        <w:tc>
          <w:tcPr>
            <w:tcW w:w="24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(Name of Proxy)</w:t>
            </w:r>
          </w:p>
        </w:tc>
        <w:tc>
          <w:tcPr>
            <w:tcW w:w="40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(Address of Proxy)</w:t>
            </w:r>
          </w:p>
        </w:tc>
      </w:tr>
    </w:tbl>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my proxy to vote for me and on my behalf at the General Meeting of the Company to be held on the ___ day of _______, _______ and at any</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adjournment(s) thereof.</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Signed this ____ day of ___________, ______.</w:t>
      </w:r>
    </w:p>
    <w:p>
      <w:pPr>
        <w:spacing w:after="0" w:line="114"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(Signature of Appointor)”</w:t>
      </w:r>
    </w:p>
    <w:p>
      <w:pPr>
        <w:spacing w:after="0" w:line="244" w:lineRule="exact"/>
        <w:rPr>
          <w:sz w:val="20"/>
          <w:szCs w:val="20"/>
          <w:color w:val="auto"/>
        </w:rPr>
      </w:pPr>
    </w:p>
    <w:p>
      <w:pPr>
        <w:jc w:val="both"/>
        <w:ind w:left="440" w:right="420"/>
        <w:spacing w:after="0" w:line="281" w:lineRule="auto"/>
        <w:rPr>
          <w:sz w:val="20"/>
          <w:szCs w:val="20"/>
          <w:color w:val="auto"/>
        </w:rPr>
      </w:pPr>
      <w:r>
        <w:rPr>
          <w:rFonts w:ascii="Arial" w:cs="Arial" w:eastAsia="Arial" w:hAnsi="Arial"/>
          <w:sz w:val="17"/>
          <w:szCs w:val="17"/>
          <w:color w:val="auto"/>
        </w:rPr>
        <w:t>or in any usual or common form or in such other form as may be approved by the Board of Directors. Such proxy shall be duly signed by the appointor of such person’s duly authorized attorney, or, if such appointor is company or other corporate body, in the manner in which it signs documents which binds it together with a certificate of an attorney with regard to the authority of the signatories.</w:t>
      </w:r>
    </w:p>
    <w:p>
      <w:pPr>
        <w:spacing w:after="0" w:line="62" w:lineRule="exact"/>
        <w:rPr>
          <w:sz w:val="20"/>
          <w:szCs w:val="20"/>
          <w:color w:val="auto"/>
        </w:rPr>
      </w:pPr>
    </w:p>
    <w:p>
      <w:pPr>
        <w:ind w:left="440" w:right="40" w:firstLine="4"/>
        <w:spacing w:after="0" w:line="284" w:lineRule="auto"/>
        <w:tabs>
          <w:tab w:leader="none" w:pos="69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the Companies Law, the original instrument appointing a proxy or a copy thereof certified by an attorney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w:t>
      </w:r>
    </w:p>
    <w:p>
      <w:pPr>
        <w:spacing w:after="0" w:line="1" w:lineRule="exact"/>
        <w:rPr>
          <w:rFonts w:ascii="Arial" w:cs="Arial" w:eastAsia="Arial" w:hAnsi="Arial"/>
          <w:sz w:val="16"/>
          <w:szCs w:val="16"/>
          <w:color w:val="auto"/>
        </w:rPr>
      </w:pPr>
    </w:p>
    <w:p>
      <w:pPr>
        <w:ind w:left="440" w:right="140"/>
        <w:spacing w:after="0" w:line="250" w:lineRule="auto"/>
        <w:rPr>
          <w:rFonts w:ascii="Arial" w:cs="Arial" w:eastAsia="Arial" w:hAnsi="Arial"/>
          <w:sz w:val="16"/>
          <w:szCs w:val="16"/>
          <w:color w:val="auto"/>
        </w:rPr>
      </w:pPr>
      <w:r>
        <w:rPr>
          <w:rFonts w:ascii="Arial" w:cs="Arial" w:eastAsia="Arial" w:hAnsi="Arial"/>
          <w:sz w:val="18"/>
          <w:szCs w:val="18"/>
          <w:color w:val="auto"/>
        </w:rPr>
        <w:t>(48) hours (or such shorter period as the notice shall specify) before the time fixed for such meeting. Notwithstanding the above, the Chairperson shall have the right to waive the time requirement provided above with respect to all instruments of proxies and to accept instruments of proxy until the beginning of a General Meeting. A document appointing a proxy shall be valid for every adjourned meeting of the General Meeting to which the document relates.</w:t>
      </w:r>
    </w:p>
    <w:p>
      <w:pPr>
        <w:spacing w:after="0" w:line="127" w:lineRule="exact"/>
        <w:rPr>
          <w:rFonts w:ascii="Arial" w:cs="Arial" w:eastAsia="Arial" w:hAnsi="Arial"/>
          <w:sz w:val="16"/>
          <w:szCs w:val="16"/>
          <w:color w:val="auto"/>
        </w:rPr>
      </w:pPr>
    </w:p>
    <w:p>
      <w:pPr>
        <w:ind w:left="5380" w:hanging="109"/>
        <w:spacing w:after="0"/>
        <w:tabs>
          <w:tab w:leader="none" w:pos="53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20"/>
          </w:cols>
          <w:pgMar w:left="480" w:top="272" w:right="499" w:bottom="1440" w:gutter="0" w:footer="0" w:header="0"/>
        </w:sectPr>
      </w:pPr>
    </w:p>
    <w:bookmarkStart w:id="291" w:name="page292"/>
    <w:bookmarkEnd w:id="291"/>
    <w:p>
      <w:pPr>
        <w:ind w:left="433" w:hanging="433"/>
        <w:spacing w:after="0"/>
        <w:tabs>
          <w:tab w:leader="none" w:pos="433"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EATH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PPOINTOR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 AND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EVOCATION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firstLine="4"/>
        <w:spacing w:after="0" w:line="255" w:lineRule="auto"/>
        <w:tabs>
          <w:tab w:leader="none" w:pos="67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vote cast in accordance with an instrument appointing a proxy shall be valid notwithstanding the prior death or bankruptcy of the appointing Shareholder (or of his or her attorney-in-fact, if any, who signed such instrument), or the transfer of the share in respect of which the vote is cast, unless written notice of such matters shall have been received by the Company or by the Chairperson of such meeting prior to such vote being cast.</w:t>
      </w:r>
    </w:p>
    <w:p>
      <w:pPr>
        <w:spacing w:after="0" w:line="83" w:lineRule="exact"/>
        <w:rPr>
          <w:rFonts w:ascii="Arial" w:cs="Arial" w:eastAsia="Arial" w:hAnsi="Arial"/>
          <w:sz w:val="18"/>
          <w:szCs w:val="18"/>
          <w:color w:val="auto"/>
        </w:rPr>
      </w:pPr>
    </w:p>
    <w:p>
      <w:pPr>
        <w:ind w:left="433" w:right="40" w:firstLine="4"/>
        <w:spacing w:after="0" w:line="284" w:lineRule="auto"/>
        <w:tabs>
          <w:tab w:leader="none" w:pos="68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Subject to the Companies Law, an instrument appointing a proxy shall be deemed revoked (i) upon receipt by the Company or the Chairperson,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Chairperson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p>
      <w:pPr>
        <w:spacing w:after="0" w:line="383"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48" w:lineRule="exact"/>
        <w:rPr>
          <w:sz w:val="20"/>
          <w:szCs w:val="20"/>
          <w:color w:val="auto"/>
        </w:rPr>
      </w:pPr>
    </w:p>
    <w:p>
      <w:pPr>
        <w:ind w:left="433" w:hanging="433"/>
        <w:spacing w:after="0"/>
        <w:tabs>
          <w:tab w:leader="none" w:pos="433"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4"/>
        <w:spacing w:after="0" w:line="252" w:lineRule="auto"/>
        <w:tabs>
          <w:tab w:leader="none" w:pos="67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86" w:lineRule="exact"/>
        <w:rPr>
          <w:rFonts w:ascii="Arial" w:cs="Arial" w:eastAsia="Arial" w:hAnsi="Arial"/>
          <w:sz w:val="18"/>
          <w:szCs w:val="18"/>
          <w:color w:val="auto"/>
        </w:rPr>
      </w:pPr>
    </w:p>
    <w:p>
      <w:pPr>
        <w:ind w:left="433" w:right="60" w:firstLine="4"/>
        <w:spacing w:after="0" w:line="290" w:lineRule="auto"/>
        <w:tabs>
          <w:tab w:leader="none" w:pos="68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66" w:lineRule="exact"/>
        <w:rPr>
          <w:rFonts w:ascii="Arial" w:cs="Arial" w:eastAsia="Arial" w:hAnsi="Arial"/>
          <w:sz w:val="16"/>
          <w:szCs w:val="16"/>
          <w:color w:val="auto"/>
        </w:rPr>
      </w:pPr>
    </w:p>
    <w:p>
      <w:pPr>
        <w:ind w:left="433" w:hanging="433"/>
        <w:spacing w:after="0"/>
        <w:tabs>
          <w:tab w:leader="none" w:pos="433"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XERCISE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700" w:firstLine="4"/>
        <w:spacing w:after="0" w:line="271" w:lineRule="auto"/>
        <w:tabs>
          <w:tab w:leader="none" w:pos="67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meeting of the Board of Directors at which a quorum is present in accordance with Article 45 shall be competent to exercise all the authorities, powers and discretion vested in or exercisable by the Board of Directors.</w:t>
      </w:r>
    </w:p>
    <w:p>
      <w:pPr>
        <w:spacing w:after="0" w:line="67" w:lineRule="exact"/>
        <w:rPr>
          <w:rFonts w:ascii="Arial" w:cs="Arial" w:eastAsia="Arial" w:hAnsi="Arial"/>
          <w:sz w:val="18"/>
          <w:szCs w:val="18"/>
          <w:color w:val="auto"/>
        </w:rPr>
      </w:pPr>
    </w:p>
    <w:p>
      <w:pPr>
        <w:ind w:left="433" w:right="260" w:firstLine="4"/>
        <w:spacing w:after="0" w:line="271" w:lineRule="auto"/>
        <w:tabs>
          <w:tab w:leader="none" w:pos="68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resolution proposed at any meeting of the Board of Directors shall be deemed adopted if approved by a majority of the Directors present, entitled to vote and voting thereon when such resolution is put to a vote.</w:t>
      </w:r>
    </w:p>
    <w:p>
      <w:pPr>
        <w:spacing w:after="0" w:line="107" w:lineRule="exact"/>
        <w:rPr>
          <w:rFonts w:ascii="Arial" w:cs="Arial" w:eastAsia="Arial" w:hAnsi="Arial"/>
          <w:sz w:val="18"/>
          <w:szCs w:val="18"/>
          <w:color w:val="auto"/>
        </w:rPr>
      </w:pPr>
    </w:p>
    <w:p>
      <w:pPr>
        <w:ind w:left="5373" w:hanging="109"/>
        <w:spacing w:after="0"/>
        <w:tabs>
          <w:tab w:leader="none" w:pos="5373" w:val="left"/>
        </w:tabs>
        <w:numPr>
          <w:ilvl w:val="2"/>
          <w:numId w:val="22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893"/>
          </w:cols>
          <w:pgMar w:left="487" w:top="268" w:right="519" w:bottom="1440" w:gutter="0" w:footer="0" w:header="0"/>
        </w:sectPr>
      </w:pPr>
    </w:p>
    <w:bookmarkStart w:id="292" w:name="page293"/>
    <w:bookmarkEnd w:id="292"/>
    <w:p>
      <w:pPr>
        <w:ind w:left="433" w:right="440" w:firstLine="4"/>
        <w:spacing w:after="0" w:line="271" w:lineRule="auto"/>
        <w:tabs>
          <w:tab w:leader="none" w:pos="675" w:val="left"/>
        </w:tabs>
        <w:numPr>
          <w:ilvl w:val="1"/>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Board of Directors may adopt resolutions, without convening a meeting of the Board of Directors, in writing or in any other manner permitted by the Companies Law.</w:t>
      </w:r>
    </w:p>
    <w:p>
      <w:pPr>
        <w:spacing w:after="0" w:line="76" w:lineRule="exact"/>
        <w:rPr>
          <w:rFonts w:ascii="Arial" w:cs="Arial" w:eastAsia="Arial" w:hAnsi="Arial"/>
          <w:sz w:val="18"/>
          <w:szCs w:val="18"/>
          <w:color w:val="auto"/>
        </w:rPr>
      </w:pPr>
    </w:p>
    <w:p>
      <w:pPr>
        <w:ind w:left="433" w:hanging="433"/>
        <w:spacing w:after="0"/>
        <w:tabs>
          <w:tab w:leader="none" w:pos="433"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ELEGATION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4"/>
        <w:spacing w:after="0" w:line="285" w:lineRule="auto"/>
        <w:tabs>
          <w:tab w:leader="none" w:pos="67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Board of Directors may, subject to the provisions of the Companies Law, delegate any or all of its powers to committees (in these Articles referred to as a “</w:t>
      </w:r>
      <w:r>
        <w:rPr>
          <w:rFonts w:ascii="Arial" w:cs="Arial" w:eastAsia="Arial" w:hAnsi="Arial"/>
          <w:sz w:val="16"/>
          <w:szCs w:val="16"/>
          <w:b w:val="1"/>
          <w:bCs w:val="1"/>
          <w:color w:val="auto"/>
        </w:rPr>
        <w:t>Committee of the Board of Directors</w:t>
      </w:r>
      <w:r>
        <w:rPr>
          <w:rFonts w:ascii="Arial" w:cs="Arial" w:eastAsia="Arial" w:hAnsi="Arial"/>
          <w:sz w:val="16"/>
          <w:szCs w:val="16"/>
          <w:color w:val="auto"/>
        </w:rPr>
        <w:t>”, or “</w:t>
      </w:r>
      <w:r>
        <w:rPr>
          <w:rFonts w:ascii="Arial" w:cs="Arial" w:eastAsia="Arial" w:hAnsi="Arial"/>
          <w:sz w:val="16"/>
          <w:szCs w:val="16"/>
          <w:b w:val="1"/>
          <w:bCs w:val="1"/>
          <w:color w:val="auto"/>
        </w:rPr>
        <w:t>Committee</w:t>
      </w:r>
      <w:r>
        <w:rPr>
          <w:rFonts w:ascii="Arial" w:cs="Arial" w:eastAsia="Arial" w:hAnsi="Arial"/>
          <w:sz w:val="16"/>
          <w:szCs w:val="16"/>
          <w:color w:val="auto"/>
        </w:rPr>
        <w:t>”), each consisting of one or more persons (who may or may not be Directors), and it may from time to time revoke such delegation or alter the composition of any such Committee. Any Committee so formed shall, in the exercise of the powers so delegated, conform to any regulations imposed on it by the Board of Directors, subject to applicable law. No regulation imposed by the Board of Directors on any Committee and no resolution of the Board of Directors shall invalidate any prior act done or pursuant to a resolution by the Committee which would have been valid if such regulation or resolution of the Board of Directors had not been adopted. The meetings and proceedings of any such Committee of the Board of Directors shall, mutatis mutandis, be governed by the provisions herein contained for regulating the meetings of the Board of Directors, to the extent not superseded by any regulations adopted by the Board of Directors. Unless otherwise expressly prohibited by the Board of Directors, in delegating powers to a Committee of the Board of Directors, such Committee shall be empowered to further delegate such powers.</w:t>
      </w:r>
    </w:p>
    <w:p>
      <w:pPr>
        <w:spacing w:after="0" w:line="61" w:lineRule="exact"/>
        <w:rPr>
          <w:rFonts w:ascii="Arial" w:cs="Arial" w:eastAsia="Arial" w:hAnsi="Arial"/>
          <w:sz w:val="16"/>
          <w:szCs w:val="16"/>
          <w:color w:val="auto"/>
        </w:rPr>
      </w:pPr>
    </w:p>
    <w:p>
      <w:pPr>
        <w:jc w:val="both"/>
        <w:ind w:left="433" w:right="240" w:firstLine="4"/>
        <w:spacing w:after="0" w:line="307" w:lineRule="auto"/>
        <w:tabs>
          <w:tab w:leader="none" w:pos="68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42" w:lineRule="exact"/>
        <w:rPr>
          <w:rFonts w:ascii="Arial" w:cs="Arial" w:eastAsia="Arial" w:hAnsi="Arial"/>
          <w:sz w:val="16"/>
          <w:szCs w:val="16"/>
          <w:color w:val="auto"/>
        </w:rPr>
      </w:pPr>
    </w:p>
    <w:p>
      <w:pPr>
        <w:ind w:left="433" w:right="20" w:firstLine="4"/>
        <w:spacing w:after="0" w:line="272" w:lineRule="auto"/>
        <w:tabs>
          <w:tab w:leader="none" w:pos="675"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 or her.</w:t>
      </w:r>
    </w:p>
    <w:p>
      <w:pPr>
        <w:spacing w:after="0" w:line="78" w:lineRule="exact"/>
        <w:rPr>
          <w:rFonts w:ascii="Arial" w:cs="Arial" w:eastAsia="Arial" w:hAnsi="Arial"/>
          <w:sz w:val="17"/>
          <w:szCs w:val="17"/>
          <w:color w:val="auto"/>
        </w:rPr>
      </w:pPr>
    </w:p>
    <w:p>
      <w:pPr>
        <w:ind w:left="433" w:hanging="433"/>
        <w:spacing w:after="0"/>
        <w:tabs>
          <w:tab w:leader="none" w:pos="433"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UMBER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340" w:firstLine="4"/>
        <w:spacing w:after="0" w:line="271" w:lineRule="auto"/>
        <w:tabs>
          <w:tab w:leader="none" w:pos="67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Board of Directors shall consist of such number of Directors (not less than three (3) nor more than eleven (11), including the External Directors, if any were elected) as may be fixed from time to time by resolution of the Board of Directors.</w:t>
      </w:r>
    </w:p>
    <w:p>
      <w:pPr>
        <w:spacing w:after="0" w:line="67" w:lineRule="exact"/>
        <w:rPr>
          <w:rFonts w:ascii="Arial" w:cs="Arial" w:eastAsia="Arial" w:hAnsi="Arial"/>
          <w:sz w:val="18"/>
          <w:szCs w:val="18"/>
          <w:color w:val="auto"/>
        </w:rPr>
      </w:pPr>
    </w:p>
    <w:p>
      <w:pPr>
        <w:ind w:left="433" w:right="560" w:firstLine="4"/>
        <w:spacing w:after="0" w:line="271" w:lineRule="auto"/>
        <w:tabs>
          <w:tab w:leader="none" w:pos="68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38 may only be amended or replaced by a resolution adopted at a General Meeting by a majority of at least 70% of the total voting power of the Company’s shareholders.</w:t>
      </w:r>
    </w:p>
    <w:p>
      <w:pPr>
        <w:spacing w:after="0" w:line="76" w:lineRule="exact"/>
        <w:rPr>
          <w:rFonts w:ascii="Arial" w:cs="Arial" w:eastAsia="Arial" w:hAnsi="Arial"/>
          <w:sz w:val="18"/>
          <w:szCs w:val="18"/>
          <w:color w:val="auto"/>
        </w:rPr>
      </w:pPr>
    </w:p>
    <w:p>
      <w:pPr>
        <w:ind w:left="433" w:hanging="433"/>
        <w:spacing w:after="0"/>
        <w:tabs>
          <w:tab w:leader="none" w:pos="433"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LECTION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EMOVAL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firstLine="4"/>
        <w:spacing w:after="0" w:line="335" w:lineRule="auto"/>
        <w:tabs>
          <w:tab w:leader="none" w:pos="67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Directors (excluding the External Directors if any were elected), shall be classified, with respect to the term for which they each severally hold office, into three classes, as nearly equal in number as practicable, hereby designated as Class I, Class II and Class III (each, a “</w:t>
      </w:r>
      <w:r>
        <w:rPr>
          <w:rFonts w:ascii="Arial" w:cs="Arial" w:eastAsia="Arial" w:hAnsi="Arial"/>
          <w:sz w:val="16"/>
          <w:szCs w:val="16"/>
          <w:b w:val="1"/>
          <w:bCs w:val="1"/>
          <w:color w:val="auto"/>
        </w:rPr>
        <w:t>Class</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973" w:right="680" w:firstLine="10"/>
        <w:spacing w:after="0" w:line="271" w:lineRule="auto"/>
        <w:tabs>
          <w:tab w:leader="none" w:pos="1185"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term of office of the initial Class I directors shall expire at the Annual General Meeting to be held in 2022 and when their successors are elected and qualified,</w:t>
      </w:r>
    </w:p>
    <w:p>
      <w:pPr>
        <w:spacing w:after="0" w:line="67" w:lineRule="exact"/>
        <w:rPr>
          <w:rFonts w:ascii="Arial" w:cs="Arial" w:eastAsia="Arial" w:hAnsi="Arial"/>
          <w:sz w:val="18"/>
          <w:szCs w:val="18"/>
          <w:color w:val="auto"/>
        </w:rPr>
      </w:pPr>
    </w:p>
    <w:p>
      <w:pPr>
        <w:ind w:left="973" w:right="500" w:firstLine="10"/>
        <w:spacing w:after="0" w:line="271" w:lineRule="auto"/>
        <w:tabs>
          <w:tab w:leader="none" w:pos="1235"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107" w:lineRule="exact"/>
        <w:rPr>
          <w:rFonts w:ascii="Arial" w:cs="Arial" w:eastAsia="Arial" w:hAnsi="Arial"/>
          <w:sz w:val="18"/>
          <w:szCs w:val="18"/>
          <w:color w:val="auto"/>
        </w:rPr>
      </w:pPr>
    </w:p>
    <w:p>
      <w:pPr>
        <w:ind w:left="5373" w:hanging="109"/>
        <w:spacing w:after="0"/>
        <w:tabs>
          <w:tab w:leader="none" w:pos="5373" w:val="left"/>
        </w:tabs>
        <w:numPr>
          <w:ilvl w:val="3"/>
          <w:numId w:val="22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853"/>
          </w:cols>
          <w:pgMar w:left="487" w:top="272" w:right="559" w:bottom="1440" w:gutter="0" w:footer="0" w:header="0"/>
        </w:sectPr>
      </w:pPr>
    </w:p>
    <w:bookmarkStart w:id="293" w:name="page294"/>
    <w:bookmarkEnd w:id="293"/>
    <w:p>
      <w:pPr>
        <w:ind w:left="540" w:right="440" w:firstLine="10"/>
        <w:spacing w:after="0" w:line="271" w:lineRule="auto"/>
        <w:tabs>
          <w:tab w:leader="none" w:pos="852"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term of office of the initial Class III directors shall expire at the first Annual General Meeting following the Annual General Meeting referred to in clause (ii) above and when their successors are elected and qualified.</w:t>
      </w:r>
    </w:p>
    <w:p>
      <w:pPr>
        <w:spacing w:after="0" w:line="67" w:lineRule="exact"/>
        <w:rPr>
          <w:rFonts w:ascii="Arial" w:cs="Arial" w:eastAsia="Arial" w:hAnsi="Arial"/>
          <w:sz w:val="18"/>
          <w:szCs w:val="18"/>
          <w:color w:val="auto"/>
        </w:rPr>
      </w:pPr>
    </w:p>
    <w:p>
      <w:pPr>
        <w:ind w:right="120" w:firstLine="4"/>
        <w:spacing w:after="0" w:line="272" w:lineRule="auto"/>
        <w:tabs>
          <w:tab w:leader="none" w:pos="25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At each Annual General Meeting, commencing with the Annual General Meeting to be held in 2022, each Nominee or Alternate Nominee elected at such Annual General Meeting to serve as a Director in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69" w:lineRule="exact"/>
        <w:rPr>
          <w:rFonts w:ascii="Arial" w:cs="Arial" w:eastAsia="Arial" w:hAnsi="Arial"/>
          <w:sz w:val="17"/>
          <w:szCs w:val="17"/>
          <w:color w:val="auto"/>
        </w:rPr>
      </w:pPr>
    </w:p>
    <w:p>
      <w:pPr>
        <w:ind w:firstLine="4"/>
        <w:spacing w:after="0" w:line="255" w:lineRule="auto"/>
        <w:tabs>
          <w:tab w:leader="none" w:pos="2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number of Directors (excluding External Directors, if any were elected) that comprises the Board of Directors is hereafter changed by the Board,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spacing w:after="0" w:line="83" w:lineRule="exact"/>
        <w:rPr>
          <w:rFonts w:ascii="Arial" w:cs="Arial" w:eastAsia="Arial" w:hAnsi="Arial"/>
          <w:sz w:val="18"/>
          <w:szCs w:val="18"/>
          <w:color w:val="auto"/>
        </w:rPr>
      </w:pPr>
    </w:p>
    <w:p>
      <w:pPr>
        <w:ind w:left="260" w:hanging="256"/>
        <w:spacing w:after="0"/>
        <w:tabs>
          <w:tab w:leader="none" w:pos="2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Prior to every General Meeting of the Company at which Directors are to be elected, and subject to clauses (a) and (h) of this Article, the</w:t>
      </w:r>
    </w:p>
    <w:p>
      <w:pPr>
        <w:spacing w:after="0" w:line="42" w:lineRule="exact"/>
        <w:rPr>
          <w:rFonts w:ascii="Arial" w:cs="Arial" w:eastAsia="Arial" w:hAnsi="Arial"/>
          <w:sz w:val="16"/>
          <w:szCs w:val="16"/>
          <w:color w:val="auto"/>
        </w:rPr>
      </w:pPr>
    </w:p>
    <w:p>
      <w:pPr>
        <w:ind w:right="200"/>
        <w:spacing w:after="0" w:line="318" w:lineRule="auto"/>
        <w:rPr>
          <w:rFonts w:ascii="Arial" w:cs="Arial" w:eastAsia="Arial" w:hAnsi="Arial"/>
          <w:sz w:val="16"/>
          <w:szCs w:val="16"/>
          <w:color w:val="auto"/>
        </w:rPr>
      </w:pPr>
      <w:r>
        <w:rPr>
          <w:rFonts w:ascii="Arial" w:cs="Arial" w:eastAsia="Arial" w:hAnsi="Arial"/>
          <w:sz w:val="16"/>
          <w:szCs w:val="16"/>
          <w:color w:val="auto"/>
        </w:rPr>
        <w:t>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16"/>
          <w:szCs w:val="16"/>
          <w:b w:val="1"/>
          <w:bCs w:val="1"/>
          <w:color w:val="auto"/>
        </w:rPr>
        <w:t>Nominees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firstLine="4"/>
        <w:spacing w:after="0" w:line="280" w:lineRule="auto"/>
        <w:tabs>
          <w:tab w:leader="none" w:pos="24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Proposing Shareholder requesting to include on the agenda of a General Meeting a nomination of a Person to be proposed to the Shareholders for election as Director (such person, an “</w:t>
      </w:r>
      <w:r>
        <w:rPr>
          <w:rFonts w:ascii="Arial" w:cs="Arial" w:eastAsia="Arial" w:hAnsi="Arial"/>
          <w:sz w:val="16"/>
          <w:szCs w:val="16"/>
          <w:b w:val="1"/>
          <w:bCs w:val="1"/>
          <w:color w:val="auto"/>
        </w:rPr>
        <w:t>Alternate Nominee</w:t>
      </w:r>
      <w:r>
        <w:rPr>
          <w:rFonts w:ascii="Arial" w:cs="Arial" w:eastAsia="Arial" w:hAnsi="Arial"/>
          <w:sz w:val="16"/>
          <w:szCs w:val="16"/>
          <w:color w:val="auto"/>
        </w:rPr>
        <w:t>”), may so request provided that it complies with this Article 39(e), Article 25 and applicable law. Unless otherwise determined by the Board of Directors, a Proposal Request relating to an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and on the Company’s proxy card relating to the General Meeting, if provided or published, and that he or she, if elected, consents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firstLine="4"/>
        <w:spacing w:after="0" w:line="265" w:lineRule="auto"/>
        <w:tabs>
          <w:tab w:leader="none" w:pos="25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 declaration made by the Alternate Nominee of whether he or she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Shareholder(s) and each Alternate Nominee shall promptly provide any other information reasonably requested by the Company, including a duly completed director and officer questionnaire, in such form as may be provided by the Company, with respect to each Alternate Nominee. The Board of Directors may refuse to acknowledge the proposed nomination of any person not made in compliance with the foregoing. The Company shall be entitled to publish any information provided by a Proposing Shareholder or Alternate Nominee pursuant to this Article 39(e) and Article 25, and the Proposing Shareholder and Alternate Nominee shall be responsible for the accuracy and completeness thereof.</w:t>
      </w:r>
    </w:p>
    <w:p>
      <w:pPr>
        <w:spacing w:after="0" w:line="117" w:lineRule="exact"/>
        <w:rPr>
          <w:rFonts w:ascii="Arial" w:cs="Arial" w:eastAsia="Arial" w:hAnsi="Arial"/>
          <w:sz w:val="17"/>
          <w:szCs w:val="17"/>
          <w:color w:val="auto"/>
        </w:rPr>
      </w:pPr>
    </w:p>
    <w:p>
      <w:pPr>
        <w:ind w:left="4940" w:hanging="109"/>
        <w:spacing w:after="0"/>
        <w:tabs>
          <w:tab w:leader="none" w:pos="494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460"/>
          </w:cols>
          <w:pgMar w:left="920" w:top="272" w:right="519" w:bottom="1440" w:gutter="0" w:footer="0" w:header="0"/>
        </w:sectPr>
      </w:pPr>
    </w:p>
    <w:bookmarkStart w:id="294" w:name="page295"/>
    <w:bookmarkEnd w:id="294"/>
    <w:p>
      <w:pPr>
        <w:ind w:left="433" w:firstLine="4"/>
        <w:spacing w:after="0" w:line="281" w:lineRule="auto"/>
        <w:tabs>
          <w:tab w:leader="none" w:pos="655"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Nominees or Alternate Nominees shall be elected by a resolution adopted at the General Meeting at which they are subject to election. Notwithstanding Articles 25(a) and 25(c), in the event of a Contested Election, the method of calculation of the votes and the manner in which the resolutions will be presented to the General Meeting shall be determined by the Board of Directors in its discretion. In the event that the Board of Directors does not or is unable to make a determination on such matter, then the method described in clause (ii) below shall apply. The Board of Directors may consider, among other things, the following methods: (i) election of competing slates of Director nominees (determined in a manner approved by the Board of Directors) by a majority of the voting power represented at the General Meeting in person or by proxy and voting on such competing slates, (ii) election of individual Directors by a plurality of the voting power represented at the General Meeting in 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and Alternate Nominees by the Company. For the purposes of these Articles, election of Directors at a General Meeting shall be considered a “Contested Election” if the aggregate number of Nominees and Alternate Nominees at such meeting exceeds the total number of Directors to be elected at such meeting, with the determination thereof being made by the Secretary (or, in the absence thereof, by the Chief Executive Officer of the Company) as of the close of the applicable notice of nomination period under Article 25 or under applicable law, based on whether one or more notice(s) of nomination were timely filed in accordance with Article 25, this Article 39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that an election is a Contested Election shall not be determinative as to the validity of any such notice of nomination; and provided, further, that, if, prior to the time the Company mails its initial proxy statement in connection with such election of Directors, one or more notices of nomination of an Alternate Nominee are withdrawn such that the number of candidates for election as Director no longer exceeds the number of Directors to be elected, the election shall not be considered a Contested Election. Shareholders shall not be entitled to cumulative voting in the election of Directors, except to the extent specifically set forth in this clause (f).</w:t>
      </w:r>
    </w:p>
    <w:p>
      <w:pPr>
        <w:spacing w:after="0" w:line="290" w:lineRule="exact"/>
        <w:rPr>
          <w:rFonts w:ascii="Arial" w:cs="Arial" w:eastAsia="Arial" w:hAnsi="Arial"/>
          <w:sz w:val="16"/>
          <w:szCs w:val="16"/>
          <w:color w:val="auto"/>
        </w:rPr>
      </w:pPr>
    </w:p>
    <w:p>
      <w:pPr>
        <w:ind w:left="433" w:right="40" w:firstLine="4"/>
        <w:spacing w:after="0" w:line="301" w:lineRule="auto"/>
        <w:tabs>
          <w:tab w:leader="none" w:pos="68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this Article 39 and Article 42(e) may only be amended, replaced or suspended by a resolution adopted at a General Meeting by a majority of at least 70% of the total voting power of the Company’s shareholders.</w:t>
      </w:r>
    </w:p>
    <w:p>
      <w:pPr>
        <w:spacing w:after="0" w:line="44" w:lineRule="exact"/>
        <w:rPr>
          <w:rFonts w:ascii="Arial" w:cs="Arial" w:eastAsia="Arial" w:hAnsi="Arial"/>
          <w:sz w:val="17"/>
          <w:szCs w:val="17"/>
          <w:color w:val="auto"/>
        </w:rPr>
      </w:pPr>
    </w:p>
    <w:p>
      <w:pPr>
        <w:ind w:left="433" w:right="60" w:firstLine="4"/>
        <w:spacing w:after="0" w:line="271"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Articles, the election, qualification, removal or dismissal of External Directors, if so elected, shall be only in accordance with the applicable provisions set forth in the Companies Law.</w:t>
      </w:r>
    </w:p>
    <w:p>
      <w:pPr>
        <w:spacing w:after="0" w:line="77" w:lineRule="exact"/>
        <w:rPr>
          <w:sz w:val="20"/>
          <w:szCs w:val="20"/>
          <w:color w:val="auto"/>
        </w:rPr>
      </w:pPr>
    </w:p>
    <w:p>
      <w:pPr>
        <w:ind w:left="433" w:hanging="433"/>
        <w:spacing w:after="0"/>
        <w:tabs>
          <w:tab w:leader="none" w:pos="433"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OMMENCEMENT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IRECTORSHIP</w:t>
      </w:r>
      <w:r>
        <w:rPr>
          <w:rFonts w:ascii="Arial" w:cs="Arial" w:eastAsia="Arial" w:hAnsi="Arial"/>
          <w:sz w:val="18"/>
          <w:szCs w:val="18"/>
          <w:color w:val="auto"/>
        </w:rPr>
        <w:t>.</w:t>
      </w:r>
    </w:p>
    <w:p>
      <w:pPr>
        <w:spacing w:after="0" w:line="118" w:lineRule="exact"/>
        <w:rPr>
          <w:sz w:val="20"/>
          <w:szCs w:val="20"/>
          <w:color w:val="auto"/>
        </w:rPr>
      </w:pPr>
    </w:p>
    <w:p>
      <w:pPr>
        <w:ind w:left="433" w:right="240"/>
        <w:spacing w:after="0" w:line="271" w:lineRule="auto"/>
        <w:rPr>
          <w:sz w:val="20"/>
          <w:szCs w:val="20"/>
          <w:color w:val="auto"/>
        </w:rPr>
      </w:pPr>
      <w:r>
        <w:rPr>
          <w:rFonts w:ascii="Arial" w:cs="Arial" w:eastAsia="Arial" w:hAnsi="Arial"/>
          <w:sz w:val="18"/>
          <w:szCs w:val="18"/>
          <w:color w:val="auto"/>
        </w:rPr>
        <w:t>Without derogating from Article 39, the term of office of a Director shall commence as of the date of his or her appointment or election, or on a later date if so specified in his or her appointment or election.</w:t>
      </w:r>
    </w:p>
    <w:p>
      <w:pPr>
        <w:spacing w:after="0" w:line="77" w:lineRule="exact"/>
        <w:rPr>
          <w:sz w:val="20"/>
          <w:szCs w:val="20"/>
          <w:color w:val="auto"/>
        </w:rPr>
      </w:pPr>
    </w:p>
    <w:p>
      <w:pPr>
        <w:ind w:left="433" w:hanging="433"/>
        <w:spacing w:after="0"/>
        <w:tabs>
          <w:tab w:leader="none" w:pos="433"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ONTINUING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 IN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VENT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ACANCIES</w:t>
      </w:r>
      <w:r>
        <w:rPr>
          <w:rFonts w:ascii="Arial" w:cs="Arial" w:eastAsia="Arial" w:hAnsi="Arial"/>
          <w:sz w:val="18"/>
          <w:szCs w:val="18"/>
          <w:color w:val="auto"/>
        </w:rPr>
        <w:t>.</w:t>
      </w:r>
    </w:p>
    <w:p>
      <w:pPr>
        <w:spacing w:after="0" w:line="118" w:lineRule="exact"/>
        <w:rPr>
          <w:sz w:val="20"/>
          <w:szCs w:val="20"/>
          <w:color w:val="auto"/>
        </w:rPr>
      </w:pPr>
    </w:p>
    <w:p>
      <w:pPr>
        <w:jc w:val="both"/>
        <w:ind w:left="433" w:right="40"/>
        <w:spacing w:after="0" w:line="259" w:lineRule="auto"/>
        <w:rPr>
          <w:sz w:val="20"/>
          <w:szCs w:val="20"/>
          <w:color w:val="auto"/>
        </w:rPr>
      </w:pPr>
      <w:r>
        <w:rPr>
          <w:rFonts w:ascii="Arial" w:cs="Arial" w:eastAsia="Arial" w:hAnsi="Arial"/>
          <w:sz w:val="18"/>
          <w:szCs w:val="18"/>
          <w:color w:val="auto"/>
        </w:rPr>
        <w:t>The Board of Directors (and, if so determined by the Board of Directors, the General Meeting)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w:t>
      </w:r>
    </w:p>
    <w:p>
      <w:pPr>
        <w:spacing w:after="0" w:line="11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13"/>
          </w:cols>
          <w:pgMar w:left="487" w:top="272" w:right="499" w:bottom="1440" w:gutter="0" w:footer="0" w:header="0"/>
        </w:sectPr>
      </w:pPr>
    </w:p>
    <w:bookmarkStart w:id="295" w:name="page296"/>
    <w:bookmarkEnd w:id="295"/>
    <w:p>
      <w:pPr>
        <w:ind w:left="43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vacancies in the Board of Directors, the continuing Directors may continue to act in every matter, provided, however, that if the number of Directors serving is less than the minimum number provided for pursuant to Article 38 hereof, they may only act in an emergency or to fill the office of a Director which has become vacant up to a number equal to the minimum number 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of Directors shall determine at the time of appointment the Class pursuant to Article 39 to which the additional Director shall be assigned. Notwithstanding anything to the contrary herein, this Article 41 may only be amended, replaced or suspended by a resolution adopted at a General Meeting by a majority of at least 70% of the total voting power of the Company’s shareholders.</w:t>
      </w:r>
    </w:p>
    <w:p>
      <w:pPr>
        <w:spacing w:after="0" w:line="69" w:lineRule="exact"/>
        <w:rPr>
          <w:sz w:val="20"/>
          <w:szCs w:val="20"/>
          <w:color w:val="auto"/>
        </w:rPr>
      </w:pPr>
    </w:p>
    <w:p>
      <w:pPr>
        <w:ind w:left="433" w:hanging="433"/>
        <w:spacing w:after="0"/>
        <w:tabs>
          <w:tab w:leader="none" w:pos="433" w:val="left"/>
        </w:tabs>
        <w:numPr>
          <w:ilvl w:val="0"/>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w:t>
      </w:r>
      <w:r>
        <w:rPr>
          <w:rFonts w:ascii="Arial" w:cs="Arial" w:eastAsia="Arial" w:hAnsi="Arial"/>
          <w:sz w:val="18"/>
          <w:szCs w:val="18"/>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8"/>
          <w:szCs w:val="18"/>
          <w:color w:val="auto"/>
        </w:rPr>
        <w:t>The office of a Director shall be vacated and he shall be dismissed or removed:</w:t>
      </w:r>
    </w:p>
    <w:p>
      <w:pPr>
        <w:spacing w:after="0" w:line="114" w:lineRule="exact"/>
        <w:rPr>
          <w:sz w:val="20"/>
          <w:szCs w:val="20"/>
          <w:color w:val="auto"/>
        </w:rPr>
      </w:pPr>
    </w:p>
    <w:p>
      <w:pPr>
        <w:ind w:left="673" w:hanging="236"/>
        <w:spacing w:after="0"/>
        <w:tabs>
          <w:tab w:leader="none" w:pos="67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ipso facto, upon his or her death;</w:t>
      </w:r>
    </w:p>
    <w:p>
      <w:pPr>
        <w:spacing w:after="0" w:line="113" w:lineRule="exact"/>
        <w:rPr>
          <w:rFonts w:ascii="Arial" w:cs="Arial" w:eastAsia="Arial" w:hAnsi="Arial"/>
          <w:sz w:val="18"/>
          <w:szCs w:val="18"/>
          <w:color w:val="auto"/>
        </w:rPr>
      </w:pPr>
    </w:p>
    <w:p>
      <w:pPr>
        <w:ind w:left="693" w:hanging="256"/>
        <w:spacing w:after="0"/>
        <w:tabs>
          <w:tab w:leader="none" w:pos="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he or she is prevented by applicable law from serving as a Director;</w:t>
      </w:r>
    </w:p>
    <w:p>
      <w:pPr>
        <w:spacing w:after="0" w:line="113" w:lineRule="exact"/>
        <w:rPr>
          <w:rFonts w:ascii="Arial" w:cs="Arial" w:eastAsia="Arial" w:hAnsi="Arial"/>
          <w:sz w:val="18"/>
          <w:szCs w:val="18"/>
          <w:color w:val="auto"/>
        </w:rPr>
      </w:pPr>
    </w:p>
    <w:p>
      <w:pPr>
        <w:ind w:left="673" w:hanging="236"/>
        <w:spacing w:after="0"/>
        <w:tabs>
          <w:tab w:leader="none" w:pos="67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the Board of Directors determines that due to his or her mental or physical state he or she is unable to serve as a director;</w:t>
      </w:r>
    </w:p>
    <w:p>
      <w:pPr>
        <w:spacing w:after="0" w:line="113" w:lineRule="exact"/>
        <w:rPr>
          <w:rFonts w:ascii="Arial" w:cs="Arial" w:eastAsia="Arial" w:hAnsi="Arial"/>
          <w:sz w:val="18"/>
          <w:szCs w:val="18"/>
          <w:color w:val="auto"/>
        </w:rPr>
      </w:pPr>
    </w:p>
    <w:p>
      <w:pPr>
        <w:ind w:left="693" w:hanging="256"/>
        <w:spacing w:after="0"/>
        <w:tabs>
          <w:tab w:leader="none" w:pos="69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his or her directorship expires pursuant to these Articles and/or applicable law;</w:t>
      </w:r>
    </w:p>
    <w:p>
      <w:pPr>
        <w:spacing w:after="0" w:line="113" w:lineRule="exact"/>
        <w:rPr>
          <w:rFonts w:ascii="Arial" w:cs="Arial" w:eastAsia="Arial" w:hAnsi="Arial"/>
          <w:sz w:val="18"/>
          <w:szCs w:val="18"/>
          <w:color w:val="auto"/>
        </w:rPr>
      </w:pPr>
    </w:p>
    <w:p>
      <w:pPr>
        <w:ind w:left="433" w:right="40" w:firstLine="4"/>
        <w:spacing w:after="0" w:line="271" w:lineRule="auto"/>
        <w:tabs>
          <w:tab w:leader="none" w:pos="67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by a resolution adopted at a General Meeting by a majority of at least 70% of the total voting power of the Company’s shareholders (with such removal becoming effective on the date fixed in such resolution);</w:t>
      </w:r>
    </w:p>
    <w:p>
      <w:pPr>
        <w:spacing w:after="0" w:line="67" w:lineRule="exact"/>
        <w:rPr>
          <w:rFonts w:ascii="Arial" w:cs="Arial" w:eastAsia="Arial" w:hAnsi="Arial"/>
          <w:sz w:val="18"/>
          <w:szCs w:val="18"/>
          <w:color w:val="auto"/>
        </w:rPr>
      </w:pPr>
    </w:p>
    <w:p>
      <w:pPr>
        <w:ind w:left="433" w:right="220" w:firstLine="4"/>
        <w:spacing w:after="0" w:line="271" w:lineRule="auto"/>
        <w:tabs>
          <w:tab w:leader="none" w:pos="65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by his or her written resignation, such resignation becoming effective on the date fixed therein, or upon the delivery thereof to the Company, whichever is later; or</w:t>
      </w:r>
    </w:p>
    <w:p>
      <w:pPr>
        <w:spacing w:after="0" w:line="67" w:lineRule="exact"/>
        <w:rPr>
          <w:rFonts w:ascii="Arial" w:cs="Arial" w:eastAsia="Arial" w:hAnsi="Arial"/>
          <w:sz w:val="18"/>
          <w:szCs w:val="18"/>
          <w:color w:val="auto"/>
        </w:rPr>
      </w:pPr>
    </w:p>
    <w:p>
      <w:pPr>
        <w:ind w:left="693" w:hanging="256"/>
        <w:spacing w:after="0"/>
        <w:tabs>
          <w:tab w:leader="none" w:pos="693"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with respect to an External Director, if so elected, and notwithstanding anything to the contrary herein, only pursuant to applicable law.</w:t>
      </w:r>
    </w:p>
    <w:p>
      <w:pPr>
        <w:spacing w:after="0" w:line="134" w:lineRule="exact"/>
        <w:rPr>
          <w:rFonts w:ascii="Arial" w:cs="Arial" w:eastAsia="Arial" w:hAnsi="Arial"/>
          <w:sz w:val="17"/>
          <w:szCs w:val="17"/>
          <w:color w:val="auto"/>
        </w:rPr>
      </w:pPr>
    </w:p>
    <w:p>
      <w:pPr>
        <w:ind w:left="433" w:hanging="433"/>
        <w:spacing w:after="0"/>
        <w:tabs>
          <w:tab w:leader="none" w:pos="433"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NTERESTS</w:t>
      </w:r>
      <w:r>
        <w:rPr>
          <w:rFonts w:ascii="Arial" w:cs="Arial" w:eastAsia="Arial" w:hAnsi="Arial"/>
          <w:sz w:val="18"/>
          <w:szCs w:val="18"/>
          <w:b w:val="1"/>
          <w:bCs w:val="1"/>
          <w:u w:val="single" w:color="auto"/>
          <w:color w:val="auto"/>
        </w:rPr>
        <w:t>; A</w:t>
      </w:r>
      <w:r>
        <w:rPr>
          <w:rFonts w:ascii="Arial" w:cs="Arial" w:eastAsia="Arial" w:hAnsi="Arial"/>
          <w:sz w:val="14"/>
          <w:szCs w:val="14"/>
          <w:b w:val="1"/>
          <w:bCs w:val="1"/>
          <w:u w:val="single" w:color="auto"/>
          <w:color w:val="auto"/>
        </w:rPr>
        <w:t>PPROVAL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ARTY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firstLine="4"/>
        <w:spacing w:after="0" w:line="267" w:lineRule="auto"/>
        <w:tabs>
          <w:tab w:leader="none" w:pos="675" w:val="left"/>
        </w:tabs>
        <w:numPr>
          <w:ilvl w:val="1"/>
          <w:numId w:val="234"/>
        </w:numPr>
        <w:rPr>
          <w:rFonts w:ascii="Arial" w:cs="Arial" w:eastAsia="Arial" w:hAnsi="Arial"/>
          <w:sz w:val="17"/>
          <w:szCs w:val="17"/>
          <w:color w:val="auto"/>
        </w:rPr>
      </w:pPr>
      <w:r>
        <w:rPr>
          <w:rFonts w:ascii="Arial" w:cs="Arial" w:eastAsia="Arial" w:hAnsi="Arial"/>
          <w:sz w:val="17"/>
          <w:szCs w:val="17"/>
          <w:color w:val="auto"/>
        </w:rPr>
        <w:t>Subject to the provisions of applicable law and these Articles, no Director shall be disqualified by virtue of his or her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or her interest, as well as any material fact or document, must be disclosed by him or her at the meeting of the Board of Directors at which the contract or arrangement is first considered, if his or her interest then exists, or, in any other case, at no later than the first meeting of the Board of Directors after the acquisition of his or her interest.</w:t>
      </w:r>
    </w:p>
    <w:p>
      <w:pPr>
        <w:spacing w:after="0" w:line="75" w:lineRule="exact"/>
        <w:rPr>
          <w:rFonts w:ascii="Arial" w:cs="Arial" w:eastAsia="Arial" w:hAnsi="Arial"/>
          <w:sz w:val="17"/>
          <w:szCs w:val="17"/>
          <w:color w:val="auto"/>
        </w:rPr>
      </w:pPr>
    </w:p>
    <w:p>
      <w:pPr>
        <w:ind w:left="433" w:right="140" w:firstLine="4"/>
        <w:spacing w:after="0" w:line="297" w:lineRule="auto"/>
        <w:tabs>
          <w:tab w:leader="none" w:pos="68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Subject to the Companies Law and these Articles, a transaction between the Company and an Office Holder, and a transaction between the Company and another entity in which an Office Holder of the Company has a personal interest, in each case, which is not an Extraordinary Transaction (as defined by the Companies Law), shall require only approval by the Board of Directors or a Committee of the Board of Directors. Such authorization, as well as the actual approval, may be for a particular transaction or more generally for specific type of transactions.</w:t>
      </w:r>
    </w:p>
    <w:p>
      <w:pPr>
        <w:spacing w:after="0" w:line="92" w:lineRule="exact"/>
        <w:rPr>
          <w:rFonts w:ascii="Arial" w:cs="Arial" w:eastAsia="Arial" w:hAnsi="Arial"/>
          <w:sz w:val="16"/>
          <w:szCs w:val="16"/>
          <w:color w:val="auto"/>
        </w:rPr>
      </w:pPr>
    </w:p>
    <w:p>
      <w:pPr>
        <w:ind w:left="5373" w:hanging="109"/>
        <w:spacing w:after="0"/>
        <w:tabs>
          <w:tab w:leader="none" w:pos="5373" w:val="left"/>
        </w:tabs>
        <w:numPr>
          <w:ilvl w:val="2"/>
          <w:numId w:val="23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893"/>
          </w:cols>
          <w:pgMar w:left="487" w:top="272" w:right="519" w:bottom="1440" w:gutter="0" w:footer="0" w:header="0"/>
        </w:sectPr>
      </w:pPr>
    </w:p>
    <w:bookmarkStart w:id="296" w:name="page297"/>
    <w:bookmarkEnd w:id="296"/>
    <w:p>
      <w:pPr>
        <w:ind w:left="440" w:right="20" w:firstLine="4"/>
        <w:spacing w:after="0" w:line="285" w:lineRule="auto"/>
        <w:tabs>
          <w:tab w:leader="none" w:pos="682" w:val="left"/>
        </w:tabs>
        <w:numPr>
          <w:ilvl w:val="0"/>
          <w:numId w:val="2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to the contrary in these Articles, the Company shall not engage in any Business Combination (as defined below) with any shareholder and/or any of its affiliates and/or investors for a period of three years following each time as such shareholder and/or any of its affiliates and/or investors become(s) (other than due to a buyback, redemption or cancellation of shares by the Company) the holder(s) (beneficially or of record) of 20% or more of the issued and outstanding voting power of the Company (the “</w:t>
      </w:r>
      <w:r>
        <w:rPr>
          <w:rFonts w:ascii="Arial" w:cs="Arial" w:eastAsia="Arial" w:hAnsi="Arial"/>
          <w:sz w:val="16"/>
          <w:szCs w:val="16"/>
          <w:b w:val="1"/>
          <w:bCs w:val="1"/>
          <w:color w:val="auto"/>
        </w:rPr>
        <w:t>Threshold</w:t>
      </w:r>
      <w:r>
        <w:rPr>
          <w:rFonts w:ascii="Arial" w:cs="Arial" w:eastAsia="Arial" w:hAnsi="Arial"/>
          <w:sz w:val="16"/>
          <w:szCs w:val="16"/>
          <w:color w:val="auto"/>
        </w:rPr>
        <w:t>” and such shareholder, an “</w:t>
      </w:r>
      <w:r>
        <w:rPr>
          <w:rFonts w:ascii="Arial" w:cs="Arial" w:eastAsia="Arial" w:hAnsi="Arial"/>
          <w:sz w:val="16"/>
          <w:szCs w:val="16"/>
          <w:b w:val="1"/>
          <w:bCs w:val="1"/>
          <w:color w:val="auto"/>
        </w:rPr>
        <w:t>Interested Shareholder</w:t>
      </w:r>
      <w:r>
        <w:rPr>
          <w:rFonts w:ascii="Arial" w:cs="Arial" w:eastAsia="Arial" w:hAnsi="Arial"/>
          <w:sz w:val="16"/>
          <w:szCs w:val="16"/>
          <w:color w:val="auto"/>
        </w:rPr>
        <w:t>”), except if the Board of Directors approves either the Business Combination or the transaction which resulted in such shareholder and/or any of its affiliates and/or investors becoming an Interested Shareholder prior to consummation of a Business Combination. As used in this Article 43 only, “</w:t>
      </w:r>
      <w:r>
        <w:rPr>
          <w:rFonts w:ascii="Arial" w:cs="Arial" w:eastAsia="Arial" w:hAnsi="Arial"/>
          <w:sz w:val="16"/>
          <w:szCs w:val="16"/>
          <w:b w:val="1"/>
          <w:bCs w:val="1"/>
          <w:color w:val="auto"/>
        </w:rPr>
        <w:t>Business Combination</w:t>
      </w:r>
      <w:r>
        <w:rPr>
          <w:rFonts w:ascii="Arial" w:cs="Arial" w:eastAsia="Arial" w:hAnsi="Arial"/>
          <w:sz w:val="16"/>
          <w:szCs w:val="16"/>
          <w:color w:val="auto"/>
        </w:rPr>
        <w:t>” means (i) a merger or consolidation of the Company, provided that the holders of a majority of the Company’s issued and outstanding shares immediately prior to consummation of such transaction hold less than 50% of the Company’s issued and outstanding shares immediately following consummation of such transaction or (ii) a disposition of assets of the Company with an aggregate market value equal to 10% or more of the Company’s assets or of its outstanding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48" w:lineRule="exact"/>
        <w:rPr>
          <w:sz w:val="20"/>
          <w:szCs w:val="20"/>
          <w:color w:val="auto"/>
        </w:rPr>
      </w:pPr>
    </w:p>
    <w:p>
      <w:pPr>
        <w:ind w:left="440" w:hanging="433"/>
        <w:spacing w:after="0"/>
        <w:tabs>
          <w:tab w:leader="none" w:pos="44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80" w:firstLine="4"/>
        <w:spacing w:after="0" w:line="271" w:lineRule="auto"/>
        <w:tabs>
          <w:tab w:leader="none" w:pos="68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Board of Directors may meet and adjourn its meetings and otherwise regulate such meetings and proceedings as the Board of Directors thinks fit.</w:t>
      </w:r>
    </w:p>
    <w:p>
      <w:pPr>
        <w:spacing w:after="0" w:line="67" w:lineRule="exact"/>
        <w:rPr>
          <w:rFonts w:ascii="Arial" w:cs="Arial" w:eastAsia="Arial" w:hAnsi="Arial"/>
          <w:sz w:val="18"/>
          <w:szCs w:val="18"/>
          <w:color w:val="auto"/>
        </w:rPr>
      </w:pPr>
    </w:p>
    <w:p>
      <w:pPr>
        <w:ind w:left="440" w:right="20" w:firstLine="4"/>
        <w:spacing w:after="0" w:line="269" w:lineRule="auto"/>
        <w:tabs>
          <w:tab w:leader="none" w:pos="692"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 meeting of the Board of Directors shall be convened by the Secretary upon instruction of the Chairperson or upon a request of at least two Directors which is submitted to the Chairperson or in any event that such meeting is required by the provisions of the Companies Law. In the event that the Chairperson does not instruct the Secretary to convene a meeting upon a request of at least two (2) Directors within seven (7) days of such request, then such two Directors may convene a meeting of the Board of Directors. Any meeting of the Board of Directors shall be convened upon not less than two (2) days’ notice, unless such notice is waived in writing by all of the Directors as to a particular meeting or by their attendance at such meeting or unless the matters to be discussed at such meeting are of such urgency and importance that notice is reasonably determined by the Chairperson as ought to be waived or shortened under the circumstances.</w:t>
      </w:r>
    </w:p>
    <w:p>
      <w:pPr>
        <w:spacing w:after="0" w:line="71" w:lineRule="exact"/>
        <w:rPr>
          <w:rFonts w:ascii="Arial" w:cs="Arial" w:eastAsia="Arial" w:hAnsi="Arial"/>
          <w:sz w:val="17"/>
          <w:szCs w:val="17"/>
          <w:color w:val="auto"/>
        </w:rPr>
      </w:pPr>
    </w:p>
    <w:p>
      <w:pPr>
        <w:ind w:left="440" w:right="500" w:firstLine="4"/>
        <w:spacing w:after="0" w:line="271" w:lineRule="auto"/>
        <w:tabs>
          <w:tab w:leader="none" w:pos="68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Notice of any such meeting shall be given orally, by telephone, in writing or by mail, facsimile, email or such other means of delivery of notices as the Company may apply, from time to time.</w:t>
      </w:r>
    </w:p>
    <w:p>
      <w:pPr>
        <w:spacing w:after="0" w:line="67" w:lineRule="exact"/>
        <w:rPr>
          <w:rFonts w:ascii="Arial" w:cs="Arial" w:eastAsia="Arial" w:hAnsi="Arial"/>
          <w:sz w:val="18"/>
          <w:szCs w:val="18"/>
          <w:color w:val="auto"/>
        </w:rPr>
      </w:pPr>
    </w:p>
    <w:p>
      <w:pPr>
        <w:ind w:left="440" w:right="40" w:firstLine="4"/>
        <w:spacing w:after="0" w:line="270" w:lineRule="auto"/>
        <w:tabs>
          <w:tab w:leader="none" w:pos="692" w:val="left"/>
        </w:tabs>
        <w:numPr>
          <w:ilvl w:val="1"/>
          <w:numId w:val="236"/>
        </w:numPr>
        <w:rPr>
          <w:rFonts w:ascii="Arial" w:cs="Arial" w:eastAsia="Arial" w:hAnsi="Arial"/>
          <w:sz w:val="17"/>
          <w:szCs w:val="17"/>
          <w:color w:val="auto"/>
        </w:rPr>
      </w:pPr>
      <w:r>
        <w:rPr>
          <w:rFonts w:ascii="Arial" w:cs="Arial" w:eastAsia="Arial" w:hAnsi="Arial"/>
          <w:sz w:val="17"/>
          <w:szCs w:val="17"/>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80" w:lineRule="exact"/>
        <w:rPr>
          <w:rFonts w:ascii="Arial" w:cs="Arial" w:eastAsia="Arial" w:hAnsi="Arial"/>
          <w:sz w:val="17"/>
          <w:szCs w:val="17"/>
          <w:color w:val="auto"/>
        </w:rPr>
      </w:pPr>
    </w:p>
    <w:p>
      <w:pPr>
        <w:ind w:left="440" w:hanging="433"/>
        <w:spacing w:after="0"/>
        <w:tabs>
          <w:tab w:leader="none" w:pos="44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18"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on the condition that all participating Directors can hear each other simultaneously) when the meeting proceeds to business. If within thirty (30) minutes from the time appointed for a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20"/>
          </w:cols>
          <w:pgMar w:left="480" w:top="272" w:right="499" w:bottom="1440" w:gutter="0" w:footer="0" w:header="0"/>
        </w:sectPr>
      </w:pPr>
    </w:p>
    <w:bookmarkStart w:id="297" w:name="page298"/>
    <w:bookmarkEnd w:id="297"/>
    <w:p>
      <w:pPr>
        <w:ind w:left="43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the Board of Directors a quorum is not present, the meeting shall stand adjourned at the same place and time forty-eight (48) hours thereafter unless the Chairperson has determined that there is such urgency and importance that a shorter period is required under the circumstances. If an adjourned meeting is convened in accordance with the foregoing and a quorum is not present within thirty (30) minutes of the announced time, the requisite quorum at such adjourned meeting shall be, any two (2) Directors, if the number of then serving directors is up to five (5), and any three</w:t>
      </w:r>
    </w:p>
    <w:p>
      <w:pPr>
        <w:spacing w:after="0" w:line="1" w:lineRule="exact"/>
        <w:rPr>
          <w:sz w:val="20"/>
          <w:szCs w:val="20"/>
          <w:color w:val="auto"/>
        </w:rPr>
      </w:pPr>
    </w:p>
    <w:p>
      <w:pPr>
        <w:ind w:left="433" w:right="80"/>
        <w:spacing w:after="0" w:line="250" w:lineRule="auto"/>
        <w:rPr>
          <w:sz w:val="20"/>
          <w:szCs w:val="20"/>
          <w:color w:val="auto"/>
        </w:rPr>
      </w:pPr>
      <w:r>
        <w:rPr>
          <w:rFonts w:ascii="Arial" w:cs="Arial" w:eastAsia="Arial" w:hAnsi="Arial"/>
          <w:sz w:val="18"/>
          <w:szCs w:val="18"/>
          <w:color w:val="auto"/>
        </w:rPr>
        <w:t>(3) Directors, if the number of then serving directors is more than five (5), in each case who are lawfully entitled to participate in the meeting and who are present at such adjourned meeting. At an adjourned meeting of the Board of Directors the only matters to be considered shall be those matters which might have been lawfully considered at the meeting of the Board of Directors originally called if a requisite quorum had been present, and the only resolutions to be adopted are such types of resolutions which could have been adopted at the meeting of the Board of Directors originally called.</w:t>
      </w:r>
    </w:p>
    <w:p>
      <w:pPr>
        <w:spacing w:after="0" w:line="95" w:lineRule="exact"/>
        <w:rPr>
          <w:sz w:val="20"/>
          <w:szCs w:val="20"/>
          <w:color w:val="auto"/>
        </w:rPr>
      </w:pPr>
    </w:p>
    <w:p>
      <w:pPr>
        <w:ind w:left="433" w:hanging="433"/>
        <w:spacing w:after="0"/>
        <w:tabs>
          <w:tab w:leader="none" w:pos="433"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18" w:lineRule="exact"/>
        <w:rPr>
          <w:sz w:val="20"/>
          <w:szCs w:val="20"/>
          <w:color w:val="auto"/>
        </w:rPr>
      </w:pPr>
    </w:p>
    <w:p>
      <w:pPr>
        <w:ind w:left="433" w:right="40"/>
        <w:spacing w:after="0" w:line="293" w:lineRule="auto"/>
        <w:rPr>
          <w:sz w:val="20"/>
          <w:szCs w:val="20"/>
          <w:color w:val="auto"/>
        </w:rPr>
      </w:pPr>
      <w:r>
        <w:rPr>
          <w:rFonts w:ascii="Arial" w:cs="Arial" w:eastAsia="Arial" w:hAnsi="Arial"/>
          <w:sz w:val="16"/>
          <w:szCs w:val="16"/>
          <w:color w:val="auto"/>
        </w:rPr>
        <w:t>The Board of Directors shall, from time to time, elect one of its members to be the Chairperson of the Board of Directors, remove such Chairperson from office and appoint in his or her place. The Chairperson of the Board of Directors shall preside at every meeting of the Board of Directors, but if there is no such Chairperson, or if at any meeting he is not present within fifteen (15) minutes of the time fixed for the meeting or if he is unwilling to take the chair, the Directors present shall choose one of the Directors present at the meeting to be the Chairperson of such meeting. The office of Chairperson of the Board of Directors shall not, by itself, entitle the holder to a second or casting vote.</w:t>
      </w:r>
    </w:p>
    <w:p>
      <w:pPr>
        <w:spacing w:after="0" w:line="63" w:lineRule="exact"/>
        <w:rPr>
          <w:sz w:val="20"/>
          <w:szCs w:val="20"/>
          <w:color w:val="auto"/>
        </w:rPr>
      </w:pPr>
    </w:p>
    <w:p>
      <w:pPr>
        <w:ind w:left="433" w:hanging="433"/>
        <w:spacing w:after="0"/>
        <w:tabs>
          <w:tab w:leader="none" w:pos="433"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ALIDITY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ESPITE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EFECTS</w:t>
      </w:r>
      <w:r>
        <w:rPr>
          <w:rFonts w:ascii="Arial" w:cs="Arial" w:eastAsia="Arial" w:hAnsi="Arial"/>
          <w:sz w:val="18"/>
          <w:szCs w:val="18"/>
          <w:color w:val="auto"/>
        </w:rPr>
        <w:t>.</w:t>
      </w:r>
    </w:p>
    <w:p>
      <w:pPr>
        <w:spacing w:after="0" w:line="118" w:lineRule="exact"/>
        <w:rPr>
          <w:sz w:val="20"/>
          <w:szCs w:val="20"/>
          <w:color w:val="auto"/>
        </w:rPr>
      </w:pPr>
    </w:p>
    <w:p>
      <w:pPr>
        <w:ind w:left="433" w:right="180"/>
        <w:spacing w:after="0" w:line="255" w:lineRule="auto"/>
        <w:rPr>
          <w:sz w:val="20"/>
          <w:szCs w:val="20"/>
          <w:color w:val="auto"/>
        </w:rPr>
      </w:pPr>
      <w:r>
        <w:rPr>
          <w:rFonts w:ascii="Arial" w:cs="Arial" w:eastAsia="Arial" w:hAnsi="Arial"/>
          <w:sz w:val="18"/>
          <w:szCs w:val="18"/>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400"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w:t>
      </w:r>
    </w:p>
    <w:p>
      <w:pPr>
        <w:spacing w:after="0" w:line="248" w:lineRule="exact"/>
        <w:rPr>
          <w:sz w:val="20"/>
          <w:szCs w:val="20"/>
          <w:color w:val="auto"/>
        </w:rPr>
      </w:pPr>
    </w:p>
    <w:p>
      <w:pPr>
        <w:ind w:left="433" w:hanging="433"/>
        <w:spacing w:after="0"/>
        <w:tabs>
          <w:tab w:leader="none" w:pos="433"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HIEF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XECUTIVE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FFICER</w:t>
      </w:r>
      <w:r>
        <w:rPr>
          <w:rFonts w:ascii="Arial" w:cs="Arial" w:eastAsia="Arial" w:hAnsi="Arial"/>
          <w:sz w:val="18"/>
          <w:szCs w:val="18"/>
          <w:color w:val="auto"/>
        </w:rPr>
        <w:t>.</w:t>
      </w:r>
    </w:p>
    <w:p>
      <w:pPr>
        <w:spacing w:after="0" w:line="118" w:lineRule="exact"/>
        <w:rPr>
          <w:sz w:val="20"/>
          <w:szCs w:val="20"/>
          <w:color w:val="auto"/>
        </w:rPr>
      </w:pPr>
    </w:p>
    <w:p>
      <w:pPr>
        <w:ind w:left="433"/>
        <w:spacing w:after="0" w:line="269" w:lineRule="auto"/>
        <w:rPr>
          <w:sz w:val="20"/>
          <w:szCs w:val="20"/>
          <w:color w:val="auto"/>
        </w:rPr>
      </w:pPr>
      <w:r>
        <w:rPr>
          <w:rFonts w:ascii="Arial" w:cs="Arial" w:eastAsia="Arial" w:hAnsi="Arial"/>
          <w:sz w:val="17"/>
          <w:szCs w:val="17"/>
          <w:color w:val="auto"/>
        </w:rPr>
        <w:t>The Board of Directors shall from time to time appoint one or more persons, whether or not Directors, as Chief Executive Officer of the Company who shall have the powers and authorities set forth in the Companies Law,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her or their place or places.</w:t>
      </w:r>
    </w:p>
    <w:p>
      <w:pPr>
        <w:spacing w:after="0" w:line="388" w:lineRule="exact"/>
        <w:rPr>
          <w:sz w:val="20"/>
          <w:szCs w:val="20"/>
          <w:color w:val="auto"/>
        </w:rPr>
      </w:pPr>
    </w:p>
    <w:p>
      <w:pPr>
        <w:jc w:val="center"/>
        <w:ind w:right="-32"/>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INUTES</w:t>
      </w:r>
    </w:p>
    <w:p>
      <w:pPr>
        <w:spacing w:after="0" w:line="248" w:lineRule="exact"/>
        <w:rPr>
          <w:sz w:val="20"/>
          <w:szCs w:val="20"/>
          <w:color w:val="auto"/>
        </w:rPr>
      </w:pPr>
    </w:p>
    <w:p>
      <w:pPr>
        <w:ind w:left="433" w:hanging="433"/>
        <w:spacing w:after="0"/>
        <w:tabs>
          <w:tab w:leader="none" w:pos="433"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INUTES</w:t>
      </w:r>
      <w:r>
        <w:rPr>
          <w:rFonts w:ascii="Arial" w:cs="Arial" w:eastAsia="Arial" w:hAnsi="Arial"/>
          <w:sz w:val="18"/>
          <w:szCs w:val="18"/>
          <w:u w:val="single" w:color="auto"/>
          <w:color w:val="auto"/>
        </w:rPr>
        <w:t>.</w:t>
      </w:r>
    </w:p>
    <w:p>
      <w:pPr>
        <w:spacing w:after="0" w:line="118" w:lineRule="exact"/>
        <w:rPr>
          <w:sz w:val="20"/>
          <w:szCs w:val="20"/>
          <w:color w:val="auto"/>
        </w:rPr>
      </w:pPr>
    </w:p>
    <w:p>
      <w:pPr>
        <w:ind w:left="433" w:right="260"/>
        <w:spacing w:after="0" w:line="255" w:lineRule="auto"/>
        <w:rPr>
          <w:sz w:val="20"/>
          <w:szCs w:val="20"/>
          <w:color w:val="auto"/>
        </w:rPr>
      </w:pPr>
      <w:r>
        <w:rPr>
          <w:rFonts w:ascii="Arial" w:cs="Arial" w:eastAsia="Arial" w:hAnsi="Arial"/>
          <w:sz w:val="18"/>
          <w:szCs w:val="18"/>
          <w:color w:val="auto"/>
        </w:rPr>
        <w:t>Any minutes of the General Meeting or the Board of Directors or any Committee thereof, if purporting to be signed by the Chairperson of the General Meeting, the Board of Directors or a Committee thereof, as the case may be, or by the Chairperson of the next succeeding General Meeting, meeting of the Board of Directors or meeting of a Committee, as the case may be, shall constitute prima facie evidence of the matters recorded therein.</w:t>
      </w:r>
    </w:p>
    <w:p>
      <w:pPr>
        <w:spacing w:after="0" w:line="123"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893"/>
          </w:cols>
          <w:pgMar w:left="487" w:top="272" w:right="519" w:bottom="1440" w:gutter="0" w:footer="0" w:header="0"/>
        </w:sectPr>
      </w:pPr>
    </w:p>
    <w:bookmarkStart w:id="298" w:name="page299"/>
    <w:bookmarkEnd w:id="298"/>
    <w:p>
      <w:pPr>
        <w:jc w:val="center"/>
        <w:ind w:right="-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Arial" w:cs="Arial" w:eastAsia="Arial" w:hAnsi="Arial"/>
          <w:sz w:val="14"/>
          <w:szCs w:val="14"/>
          <w:b w:val="1"/>
          <w:bCs w:val="1"/>
          <w:color w:val="auto"/>
        </w:rPr>
        <w:t>IVIDENDS</w:t>
      </w:r>
    </w:p>
    <w:p>
      <w:pPr>
        <w:spacing w:after="0" w:line="248" w:lineRule="exact"/>
        <w:rPr>
          <w:sz w:val="20"/>
          <w:szCs w:val="20"/>
          <w:color w:val="auto"/>
        </w:rPr>
      </w:pPr>
    </w:p>
    <w:p>
      <w:pPr>
        <w:ind w:left="433" w:hanging="433"/>
        <w:spacing w:after="0"/>
        <w:tabs>
          <w:tab w:leader="none" w:pos="433"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ECLARATION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18" w:lineRule="exact"/>
        <w:rPr>
          <w:sz w:val="20"/>
          <w:szCs w:val="20"/>
          <w:color w:val="auto"/>
        </w:rPr>
      </w:pPr>
    </w:p>
    <w:p>
      <w:pPr>
        <w:ind w:left="433" w:right="60"/>
        <w:spacing w:after="0" w:line="335" w:lineRule="auto"/>
        <w:rPr>
          <w:sz w:val="20"/>
          <w:szCs w:val="20"/>
          <w:color w:val="auto"/>
        </w:rPr>
      </w:pPr>
      <w:r>
        <w:rPr>
          <w:rFonts w:ascii="Arial" w:cs="Arial" w:eastAsia="Arial" w:hAnsi="Arial"/>
          <w:sz w:val="16"/>
          <w:szCs w:val="16"/>
          <w:color w:val="auto"/>
        </w:rPr>
        <w:t>The Board of Directors may, from time to time, declare, and cause the Company to pay dividends as permitted by the Companies Law. The Board of Directors shall determine the time for payment of such dividends and the record date for determining the shareholders entitled thereto.</w:t>
      </w:r>
    </w:p>
    <w:p>
      <w:pPr>
        <w:spacing w:after="0" w:line="31" w:lineRule="exact"/>
        <w:rPr>
          <w:sz w:val="20"/>
          <w:szCs w:val="20"/>
          <w:color w:val="auto"/>
        </w:rPr>
      </w:pPr>
    </w:p>
    <w:p>
      <w:pPr>
        <w:ind w:left="433" w:hanging="433"/>
        <w:spacing w:after="0"/>
        <w:tabs>
          <w:tab w:leader="none" w:pos="433"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MOUNT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AYABLE BY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AY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18" w:lineRule="exact"/>
        <w:rPr>
          <w:sz w:val="20"/>
          <w:szCs w:val="20"/>
          <w:color w:val="auto"/>
        </w:rPr>
      </w:pPr>
    </w:p>
    <w:p>
      <w:pPr>
        <w:jc w:val="both"/>
        <w:ind w:left="433" w:right="180"/>
        <w:spacing w:after="0" w:line="297" w:lineRule="auto"/>
        <w:rPr>
          <w:sz w:val="20"/>
          <w:szCs w:val="20"/>
          <w:color w:val="auto"/>
        </w:rPr>
      </w:pPr>
      <w:r>
        <w:rPr>
          <w:rFonts w:ascii="Arial" w:cs="Arial" w:eastAsia="Arial" w:hAnsi="Arial"/>
          <w:sz w:val="16"/>
          <w:szCs w:val="16"/>
          <w:color w:val="auto"/>
        </w:rPr>
        <w:t xml:space="preserve">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their respective holdings of the issued and outstanding Shares in respect of which such dividends are being paid.</w:t>
      </w:r>
    </w:p>
    <w:p>
      <w:pPr>
        <w:spacing w:after="0" w:line="62" w:lineRule="exact"/>
        <w:rPr>
          <w:sz w:val="20"/>
          <w:szCs w:val="20"/>
          <w:color w:val="auto"/>
        </w:rPr>
      </w:pPr>
    </w:p>
    <w:p>
      <w:pPr>
        <w:ind w:left="433" w:hanging="433"/>
        <w:spacing w:after="0"/>
        <w:tabs>
          <w:tab w:leader="none" w:pos="433"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w:t>
      </w:r>
      <w:r>
        <w:rPr>
          <w:rFonts w:ascii="Arial" w:cs="Arial" w:eastAsia="Arial" w:hAnsi="Arial"/>
          <w:sz w:val="18"/>
          <w:szCs w:val="18"/>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8"/>
          <w:szCs w:val="18"/>
          <w:color w:val="auto"/>
        </w:rPr>
        <w:t>No dividend shall carry interest as against the Company.</w:t>
      </w:r>
    </w:p>
    <w:p>
      <w:pPr>
        <w:spacing w:after="0" w:line="123" w:lineRule="exact"/>
        <w:rPr>
          <w:sz w:val="20"/>
          <w:szCs w:val="20"/>
          <w:color w:val="auto"/>
        </w:rPr>
      </w:pPr>
    </w:p>
    <w:p>
      <w:pPr>
        <w:ind w:left="433" w:hanging="433"/>
        <w:spacing w:after="0"/>
        <w:tabs>
          <w:tab w:leader="none" w:pos="433"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PECIE</w:t>
      </w:r>
      <w:r>
        <w:rPr>
          <w:rFonts w:ascii="Arial" w:cs="Arial" w:eastAsia="Arial" w:hAnsi="Arial"/>
          <w:sz w:val="18"/>
          <w:szCs w:val="18"/>
          <w:color w:val="auto"/>
        </w:rPr>
        <w:t>.</w:t>
      </w:r>
    </w:p>
    <w:p>
      <w:pPr>
        <w:spacing w:after="0" w:line="118" w:lineRule="exact"/>
        <w:rPr>
          <w:sz w:val="20"/>
          <w:szCs w:val="20"/>
          <w:color w:val="auto"/>
        </w:rPr>
      </w:pPr>
    </w:p>
    <w:p>
      <w:pPr>
        <w:jc w:val="both"/>
        <w:ind w:left="433"/>
        <w:spacing w:after="0" w:line="307" w:lineRule="auto"/>
        <w:rPr>
          <w:sz w:val="20"/>
          <w:szCs w:val="20"/>
          <w:color w:val="auto"/>
        </w:rPr>
      </w:pPr>
      <w:r>
        <w:rPr>
          <w:rFonts w:ascii="Arial" w:cs="Arial" w:eastAsia="Arial" w:hAnsi="Arial"/>
          <w:sz w:val="16"/>
          <w:szCs w:val="16"/>
          <w:color w:val="auto"/>
        </w:rPr>
        <w:t>If so declared by the Board of Directors, a dividend declared in accordance with Article 50 may be paid, in whole or in part, by the distribution of specific assets of the Company or by distribution of paid up shares, debentures or other securities of the Company or of any other companies, or in any combination thereof, in each case, the fair value of which shall be determined by the Board of Directors in good faith.</w:t>
      </w:r>
    </w:p>
    <w:p>
      <w:pPr>
        <w:spacing w:after="0" w:line="52" w:lineRule="exact"/>
        <w:rPr>
          <w:sz w:val="20"/>
          <w:szCs w:val="20"/>
          <w:color w:val="auto"/>
        </w:rPr>
      </w:pPr>
    </w:p>
    <w:p>
      <w:pPr>
        <w:ind w:left="433" w:hanging="433"/>
        <w:spacing w:after="0"/>
        <w:tabs>
          <w:tab w:leader="none" w:pos="433"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MPLEMENTATION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18" w:lineRule="exact"/>
        <w:rPr>
          <w:sz w:val="20"/>
          <w:szCs w:val="20"/>
          <w:color w:val="auto"/>
        </w:rPr>
      </w:pPr>
    </w:p>
    <w:p>
      <w:pPr>
        <w:ind w:left="433" w:right="20"/>
        <w:spacing w:after="0" w:line="293" w:lineRule="auto"/>
        <w:rPr>
          <w:sz w:val="20"/>
          <w:szCs w:val="20"/>
          <w:color w:val="auto"/>
        </w:rPr>
      </w:pPr>
      <w:r>
        <w:rPr>
          <w:rFonts w:ascii="Arial" w:cs="Arial" w:eastAsia="Arial" w:hAnsi="Arial"/>
          <w:sz w:val="16"/>
          <w:szCs w:val="16"/>
          <w:color w:val="auto"/>
        </w:rPr>
        <w:t>The Board of Directors may settle, as it deems fit, any difficulty arising with regard to the distribution of dividends, bonus shares or otherwise, and in particular, to issue certificates for fractions of shares and sell such fractions of shares in order to pay their consideration to those entitled thereto, or to set the value for the distribution of certain assets and to determine that cash payments shall be paid to the Shareholders on the basis of such value, or that fractions whose value is less than NIS 0.01 shall not be taken into account. The Board of Directors may instruct to pay cash or convey these certain assets to a trustee in favor of those people who are entitled to a dividend, as the Board of Directors shall deem appropriate.</w:t>
      </w:r>
    </w:p>
    <w:p>
      <w:pPr>
        <w:spacing w:after="0" w:line="63" w:lineRule="exact"/>
        <w:rPr>
          <w:sz w:val="20"/>
          <w:szCs w:val="20"/>
          <w:color w:val="auto"/>
        </w:rPr>
      </w:pPr>
    </w:p>
    <w:p>
      <w:pPr>
        <w:ind w:left="433" w:hanging="433"/>
        <w:spacing w:after="0"/>
        <w:tabs>
          <w:tab w:leader="none" w:pos="433"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EDUCTIONS FROM</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18" w:lineRule="exact"/>
        <w:rPr>
          <w:sz w:val="20"/>
          <w:szCs w:val="20"/>
          <w:color w:val="auto"/>
        </w:rPr>
      </w:pPr>
    </w:p>
    <w:p>
      <w:pPr>
        <w:ind w:left="433" w:right="80"/>
        <w:spacing w:after="0" w:line="259" w:lineRule="auto"/>
        <w:rPr>
          <w:sz w:val="20"/>
          <w:szCs w:val="20"/>
          <w:color w:val="auto"/>
        </w:rPr>
      </w:pPr>
      <w:r>
        <w:rPr>
          <w:rFonts w:ascii="Arial" w:cs="Arial" w:eastAsia="Arial" w:hAnsi="Arial"/>
          <w:sz w:val="18"/>
          <w:szCs w:val="18"/>
          <w:color w:val="auto"/>
        </w:rPr>
        <w:t>The Board of Directors may deduct from any dividend or other moneys payable to any Shareholder in respect of a share any and all sums of money then payable by him or her to the Company on account of calls or otherwise in respect of shares of the Company and/or on account of any other matter of transaction whatsoever.</w:t>
      </w:r>
    </w:p>
    <w:p>
      <w:pPr>
        <w:spacing w:after="0" w:line="88" w:lineRule="exact"/>
        <w:rPr>
          <w:sz w:val="20"/>
          <w:szCs w:val="20"/>
          <w:color w:val="auto"/>
        </w:rPr>
      </w:pPr>
    </w:p>
    <w:p>
      <w:pPr>
        <w:ind w:left="433" w:hanging="433"/>
        <w:spacing w:after="0"/>
        <w:tabs>
          <w:tab w:leader="none" w:pos="433"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ETENTION OF</w:t>
      </w:r>
      <w:r>
        <w:rPr>
          <w:rFonts w:ascii="Arial" w:cs="Arial" w:eastAsia="Arial" w:hAnsi="Arial"/>
          <w:sz w:val="18"/>
          <w:szCs w:val="18"/>
          <w:b w:val="1"/>
          <w:bCs w:val="1"/>
          <w:u w:val="single" w:color="auto"/>
          <w:color w:val="auto"/>
        </w:rPr>
        <w:t xml:space="preserve"> D</w:t>
      </w:r>
      <w:r>
        <w:rPr>
          <w:rFonts w:ascii="Arial" w:cs="Arial" w:eastAsia="Arial" w:hAnsi="Arial"/>
          <w:sz w:val="14"/>
          <w:szCs w:val="14"/>
          <w:b w:val="1"/>
          <w:bCs w:val="1"/>
          <w:u w:val="single" w:color="auto"/>
          <w:color w:val="auto"/>
        </w:rPr>
        <w:t>IVIDENDS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left="433" w:right="40" w:firstLine="4"/>
        <w:spacing w:after="0" w:line="335" w:lineRule="auto"/>
        <w:tabs>
          <w:tab w:leader="none" w:pos="67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21" w:lineRule="exact"/>
        <w:rPr>
          <w:rFonts w:ascii="Arial" w:cs="Arial" w:eastAsia="Arial" w:hAnsi="Arial"/>
          <w:sz w:val="16"/>
          <w:szCs w:val="16"/>
          <w:color w:val="auto"/>
        </w:rPr>
      </w:pPr>
    </w:p>
    <w:p>
      <w:pPr>
        <w:ind w:left="433" w:right="20" w:firstLine="4"/>
        <w:spacing w:after="0" w:line="259" w:lineRule="auto"/>
        <w:tabs>
          <w:tab w:leader="none" w:pos="68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p>
      <w:pPr>
        <w:spacing w:after="0" w:line="118" w:lineRule="exact"/>
        <w:rPr>
          <w:rFonts w:ascii="Arial" w:cs="Arial" w:eastAsia="Arial" w:hAnsi="Arial"/>
          <w:sz w:val="18"/>
          <w:szCs w:val="18"/>
          <w:color w:val="auto"/>
        </w:rPr>
      </w:pPr>
    </w:p>
    <w:p>
      <w:pPr>
        <w:ind w:left="5373" w:hanging="109"/>
        <w:spacing w:after="0"/>
        <w:tabs>
          <w:tab w:leader="none" w:pos="5373" w:val="left"/>
        </w:tabs>
        <w:numPr>
          <w:ilvl w:val="2"/>
          <w:numId w:val="24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893"/>
          </w:cols>
          <w:pgMar w:left="487" w:top="268" w:right="519" w:bottom="1440" w:gutter="0" w:footer="0" w:header="0"/>
        </w:sectPr>
      </w:pPr>
    </w:p>
    <w:bookmarkStart w:id="299" w:name="page300"/>
    <w:bookmarkEnd w:id="299"/>
    <w:p>
      <w:pPr>
        <w:ind w:left="433" w:hanging="433"/>
        <w:spacing w:after="0"/>
        <w:tabs>
          <w:tab w:leader="none" w:pos="433" w:val="left"/>
        </w:tabs>
        <w:numPr>
          <w:ilvl w:val="0"/>
          <w:numId w:val="2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w:t>
      </w:r>
      <w:r>
        <w:rPr>
          <w:rFonts w:ascii="Arial" w:cs="Arial" w:eastAsia="Arial" w:hAnsi="Arial"/>
          <w:sz w:val="14"/>
          <w:szCs w:val="14"/>
          <w:b w:val="1"/>
          <w:bCs w:val="1"/>
          <w:u w:val="single" w:color="auto"/>
          <w:color w:val="auto"/>
        </w:rPr>
        <w:t>NCLAIMED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18" w:lineRule="exact"/>
        <w:rPr>
          <w:sz w:val="20"/>
          <w:szCs w:val="20"/>
          <w:color w:val="auto"/>
        </w:rPr>
      </w:pPr>
    </w:p>
    <w:p>
      <w:pPr>
        <w:ind w:left="433" w:right="40"/>
        <w:spacing w:after="0" w:line="268" w:lineRule="auto"/>
        <w:rPr>
          <w:sz w:val="20"/>
          <w:szCs w:val="20"/>
          <w:color w:val="auto"/>
        </w:rPr>
      </w:pPr>
      <w:r>
        <w:rPr>
          <w:rFonts w:ascii="Arial" w:cs="Arial" w:eastAsia="Arial" w:hAnsi="Arial"/>
          <w:sz w:val="17"/>
          <w:szCs w:val="17"/>
          <w:color w:val="auto"/>
        </w:rPr>
        <w:t>All unclaimed dividends or other moneys payable in respect of a share may be invested or otherwise made use of by the Board of Directors for the benefit of the Company until claimed. The payment of any unclaimed dividend or such other moneys into a separate account shall not constitute the Company a trustee in respect thereof, and any dividend unclaimed after a period of one (1) year (or such other period determined by the Board of Directors)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82" w:lineRule="exact"/>
        <w:rPr>
          <w:sz w:val="20"/>
          <w:szCs w:val="20"/>
          <w:color w:val="auto"/>
        </w:rPr>
      </w:pPr>
    </w:p>
    <w:p>
      <w:pPr>
        <w:ind w:left="433" w:hanging="433"/>
        <w:spacing w:after="0"/>
        <w:tabs>
          <w:tab w:leader="none" w:pos="433"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ECHANICS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w:t>
      </w:r>
      <w:r>
        <w:rPr>
          <w:rFonts w:ascii="Arial" w:cs="Arial" w:eastAsia="Arial" w:hAnsi="Arial"/>
          <w:sz w:val="18"/>
          <w:szCs w:val="18"/>
          <w:color w:val="auto"/>
        </w:rPr>
        <w:t>.</w:t>
      </w:r>
    </w:p>
    <w:p>
      <w:pPr>
        <w:spacing w:after="0" w:line="118" w:lineRule="exact"/>
        <w:rPr>
          <w:sz w:val="20"/>
          <w:szCs w:val="20"/>
          <w:color w:val="auto"/>
        </w:rPr>
      </w:pPr>
    </w:p>
    <w:p>
      <w:pPr>
        <w:ind w:left="433" w:right="20"/>
        <w:spacing w:after="0" w:line="267" w:lineRule="auto"/>
        <w:rPr>
          <w:sz w:val="20"/>
          <w:szCs w:val="20"/>
          <w:color w:val="auto"/>
        </w:rPr>
      </w:pPr>
      <w:r>
        <w:rPr>
          <w:rFonts w:ascii="Arial" w:cs="Arial" w:eastAsia="Arial" w:hAnsi="Arial"/>
          <w:sz w:val="17"/>
          <w:szCs w:val="17"/>
          <w:color w:val="auto"/>
        </w:rPr>
        <w:t>Any dividend or other moneys payable in cash in respect of a share, less the tax required to be withheld pursuant to applicable law, may, as determined by the Board of Directors in its sole discretion,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his or her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of Directors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 Every such check shall be sent at the risk of the Person entitled to the money represented thereby.</w:t>
      </w:r>
    </w:p>
    <w:p>
      <w:pPr>
        <w:spacing w:after="0" w:line="389"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248" w:lineRule="exact"/>
        <w:rPr>
          <w:sz w:val="20"/>
          <w:szCs w:val="20"/>
          <w:color w:val="auto"/>
        </w:rPr>
      </w:pPr>
    </w:p>
    <w:p>
      <w:pPr>
        <w:ind w:left="433" w:hanging="433"/>
        <w:spacing w:after="0"/>
        <w:tabs>
          <w:tab w:leader="none" w:pos="433"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OOKS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CCOUNT</w:t>
      </w:r>
      <w:r>
        <w:rPr>
          <w:rFonts w:ascii="Arial" w:cs="Arial" w:eastAsia="Arial" w:hAnsi="Arial"/>
          <w:sz w:val="18"/>
          <w:szCs w:val="18"/>
          <w:color w:val="auto"/>
        </w:rPr>
        <w:t>.</w:t>
      </w:r>
    </w:p>
    <w:p>
      <w:pPr>
        <w:spacing w:after="0" w:line="118" w:lineRule="exact"/>
        <w:rPr>
          <w:sz w:val="20"/>
          <w:szCs w:val="20"/>
          <w:color w:val="auto"/>
        </w:rPr>
      </w:pPr>
    </w:p>
    <w:p>
      <w:pPr>
        <w:ind w:left="433" w:right="120"/>
        <w:spacing w:after="0" w:line="293" w:lineRule="auto"/>
        <w:rPr>
          <w:sz w:val="20"/>
          <w:szCs w:val="20"/>
          <w:color w:val="auto"/>
        </w:rPr>
      </w:pPr>
      <w:r>
        <w:rPr>
          <w:rFonts w:ascii="Arial" w:cs="Arial" w:eastAsia="Arial" w:hAnsi="Arial"/>
          <w:sz w:val="16"/>
          <w:szCs w:val="16"/>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explicitly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63" w:lineRule="exact"/>
        <w:rPr>
          <w:sz w:val="20"/>
          <w:szCs w:val="20"/>
          <w:color w:val="auto"/>
        </w:rPr>
      </w:pPr>
    </w:p>
    <w:p>
      <w:pPr>
        <w:ind w:left="433" w:hanging="433"/>
        <w:spacing w:after="0"/>
        <w:tabs>
          <w:tab w:leader="none" w:pos="433"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UDITORS</w:t>
      </w:r>
      <w:r>
        <w:rPr>
          <w:rFonts w:ascii="Arial" w:cs="Arial" w:eastAsia="Arial" w:hAnsi="Arial"/>
          <w:sz w:val="18"/>
          <w:szCs w:val="18"/>
          <w:color w:val="auto"/>
        </w:rPr>
        <w:t>.</w:t>
      </w:r>
    </w:p>
    <w:p>
      <w:pPr>
        <w:spacing w:after="0" w:line="118" w:lineRule="exact"/>
        <w:rPr>
          <w:sz w:val="20"/>
          <w:szCs w:val="20"/>
          <w:color w:val="auto"/>
        </w:rPr>
      </w:pPr>
    </w:p>
    <w:p>
      <w:pPr>
        <w:ind w:left="433"/>
        <w:spacing w:after="0" w:line="269" w:lineRule="auto"/>
        <w:rPr>
          <w:sz w:val="20"/>
          <w:szCs w:val="20"/>
          <w:color w:val="auto"/>
        </w:rPr>
      </w:pPr>
      <w:r>
        <w:rPr>
          <w:rFonts w:ascii="Arial" w:cs="Arial" w:eastAsia="Arial" w:hAnsi="Arial"/>
          <w:sz w:val="17"/>
          <w:szCs w:val="17"/>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a Committee thereof or to management) to fix such remuneration subject to such criteria or standards, and if no such criteria or standards are so provided, such remuneration shall be fixed in an amount commensurate with the volume and nature of the services rendered by such auditor(s). The General Meeting may, if so recommended by the Board of Directors, appoint the auditors for a period that may extend until the third Annual General Meeting after the Annual General Meeting in which the auditors were appointed.</w:t>
      </w:r>
    </w:p>
    <w:p>
      <w:pPr>
        <w:spacing w:after="0" w:line="81" w:lineRule="exact"/>
        <w:rPr>
          <w:sz w:val="20"/>
          <w:szCs w:val="20"/>
          <w:color w:val="auto"/>
        </w:rPr>
      </w:pPr>
    </w:p>
    <w:p>
      <w:pPr>
        <w:ind w:left="433" w:hanging="433"/>
        <w:spacing w:after="0"/>
        <w:tabs>
          <w:tab w:leader="none" w:pos="433"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ISCAL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Y</w:t>
      </w:r>
      <w:r>
        <w:rPr>
          <w:rFonts w:ascii="Arial" w:cs="Arial" w:eastAsia="Arial" w:hAnsi="Arial"/>
          <w:sz w:val="14"/>
          <w:szCs w:val="14"/>
          <w:b w:val="1"/>
          <w:bCs w:val="1"/>
          <w:u w:val="single" w:color="auto"/>
          <w:color w:val="auto"/>
        </w:rPr>
        <w:t>EAR</w:t>
      </w:r>
      <w:r>
        <w:rPr>
          <w:rFonts w:ascii="Arial" w:cs="Arial" w:eastAsia="Arial" w:hAnsi="Arial"/>
          <w:sz w:val="18"/>
          <w:szCs w:val="18"/>
          <w:color w:val="auto"/>
        </w:rPr>
        <w:t>.</w:t>
      </w:r>
    </w:p>
    <w:p>
      <w:pPr>
        <w:spacing w:after="0" w:line="118" w:lineRule="exact"/>
        <w:rPr>
          <w:sz w:val="20"/>
          <w:szCs w:val="20"/>
          <w:color w:val="auto"/>
        </w:rPr>
      </w:pPr>
    </w:p>
    <w:p>
      <w:pPr>
        <w:ind w:left="433"/>
        <w:spacing w:after="0"/>
        <w:rPr>
          <w:sz w:val="20"/>
          <w:szCs w:val="20"/>
          <w:color w:val="auto"/>
        </w:rPr>
      </w:pPr>
      <w:r>
        <w:rPr>
          <w:rFonts w:ascii="Arial" w:cs="Arial" w:eastAsia="Arial" w:hAnsi="Arial"/>
          <w:sz w:val="18"/>
          <w:szCs w:val="18"/>
          <w:color w:val="auto"/>
        </w:rPr>
        <w:t>The fiscal year of the Company shall be the 12 months period ending on December 31 of each calendar year.</w:t>
      </w:r>
    </w:p>
    <w:p>
      <w:pPr>
        <w:spacing w:after="0" w:line="154" w:lineRule="exact"/>
        <w:rPr>
          <w:sz w:val="20"/>
          <w:szCs w:val="20"/>
          <w:color w:val="auto"/>
        </w:rPr>
      </w:pPr>
    </w:p>
    <w:p>
      <w:pPr>
        <w:ind w:left="5273"/>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13"/>
          </w:cols>
          <w:pgMar w:left="487" w:top="268" w:right="499" w:bottom="1440" w:gutter="0" w:footer="0" w:header="0"/>
        </w:sectPr>
      </w:pPr>
    </w:p>
    <w:bookmarkStart w:id="300" w:name="page301"/>
    <w:bookmarkEnd w:id="300"/>
    <w:p>
      <w:pPr>
        <w:jc w:val="center"/>
        <w:ind w:right="-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Arial" w:cs="Arial" w:eastAsia="Arial" w:hAnsi="Arial"/>
          <w:sz w:val="14"/>
          <w:szCs w:val="14"/>
          <w:b w:val="1"/>
          <w:bCs w:val="1"/>
          <w:color w:val="auto"/>
        </w:rPr>
        <w:t>UPPLEMENTARY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EGISTERS</w:t>
      </w:r>
    </w:p>
    <w:p>
      <w:pPr>
        <w:spacing w:after="0" w:line="248" w:lineRule="exact"/>
        <w:rPr>
          <w:sz w:val="20"/>
          <w:szCs w:val="20"/>
          <w:color w:val="auto"/>
        </w:rPr>
      </w:pPr>
    </w:p>
    <w:p>
      <w:pPr>
        <w:ind w:left="433" w:hanging="433"/>
        <w:spacing w:after="0"/>
        <w:tabs>
          <w:tab w:leader="none" w:pos="433"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UPPLEMENTARY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EGISTERS</w:t>
      </w:r>
      <w:r>
        <w:rPr>
          <w:rFonts w:ascii="Arial" w:cs="Arial" w:eastAsia="Arial" w:hAnsi="Arial"/>
          <w:sz w:val="18"/>
          <w:szCs w:val="18"/>
          <w:color w:val="auto"/>
        </w:rPr>
        <w:t>.</w:t>
      </w:r>
    </w:p>
    <w:p>
      <w:pPr>
        <w:spacing w:after="0" w:line="118" w:lineRule="exact"/>
        <w:rPr>
          <w:sz w:val="20"/>
          <w:szCs w:val="20"/>
          <w:color w:val="auto"/>
        </w:rPr>
      </w:pPr>
    </w:p>
    <w:p>
      <w:pPr>
        <w:ind w:left="433"/>
        <w:spacing w:after="0" w:line="307" w:lineRule="auto"/>
        <w:rPr>
          <w:sz w:val="20"/>
          <w:szCs w:val="20"/>
          <w:color w:val="auto"/>
        </w:rPr>
      </w:pPr>
      <w:r>
        <w:rPr>
          <w:rFonts w:ascii="Arial" w:cs="Arial" w:eastAsia="Arial" w:hAnsi="Arial"/>
          <w:sz w:val="16"/>
          <w:szCs w:val="16"/>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360"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XEMPTION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NDEMNITY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p>
    <w:p>
      <w:pPr>
        <w:spacing w:after="0" w:line="248" w:lineRule="exact"/>
        <w:rPr>
          <w:sz w:val="20"/>
          <w:szCs w:val="20"/>
          <w:color w:val="auto"/>
        </w:rPr>
      </w:pPr>
    </w:p>
    <w:p>
      <w:pPr>
        <w:ind w:left="433" w:hanging="433"/>
        <w:spacing w:after="0"/>
        <w:tabs>
          <w:tab w:leader="none" w:pos="433"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NSURANCE</w:t>
      </w:r>
      <w:r>
        <w:rPr>
          <w:rFonts w:ascii="Arial" w:cs="Arial" w:eastAsia="Arial" w:hAnsi="Arial"/>
          <w:sz w:val="18"/>
          <w:szCs w:val="18"/>
          <w:color w:val="auto"/>
        </w:rPr>
        <w:t>.</w:t>
      </w:r>
    </w:p>
    <w:p>
      <w:pPr>
        <w:spacing w:after="0" w:line="118" w:lineRule="exact"/>
        <w:rPr>
          <w:sz w:val="20"/>
          <w:szCs w:val="20"/>
          <w:color w:val="auto"/>
        </w:rPr>
      </w:pPr>
    </w:p>
    <w:p>
      <w:pPr>
        <w:ind w:left="433" w:right="180"/>
        <w:spacing w:after="0" w:line="307" w:lineRule="auto"/>
        <w:rPr>
          <w:sz w:val="20"/>
          <w:szCs w:val="20"/>
          <w:color w:val="auto"/>
        </w:rPr>
      </w:pPr>
      <w:r>
        <w:rPr>
          <w:rFonts w:ascii="Arial" w:cs="Arial" w:eastAsia="Arial" w:hAnsi="Arial"/>
          <w:sz w:val="16"/>
          <w:szCs w:val="16"/>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43" w:lineRule="exact"/>
        <w:rPr>
          <w:sz w:val="20"/>
          <w:szCs w:val="20"/>
          <w:color w:val="auto"/>
        </w:rPr>
      </w:pPr>
    </w:p>
    <w:p>
      <w:pPr>
        <w:ind w:left="673" w:hanging="236"/>
        <w:spacing w:after="0"/>
        <w:tabs>
          <w:tab w:leader="none" w:pos="67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breach of duty of care to the Company or to any other person;</w:t>
      </w:r>
    </w:p>
    <w:p>
      <w:pPr>
        <w:spacing w:after="0" w:line="113" w:lineRule="exact"/>
        <w:rPr>
          <w:rFonts w:ascii="Arial" w:cs="Arial" w:eastAsia="Arial" w:hAnsi="Arial"/>
          <w:sz w:val="18"/>
          <w:szCs w:val="18"/>
          <w:color w:val="auto"/>
        </w:rPr>
      </w:pPr>
    </w:p>
    <w:p>
      <w:pPr>
        <w:ind w:left="433" w:right="500" w:firstLine="4"/>
        <w:spacing w:after="0" w:line="271" w:lineRule="auto"/>
        <w:tabs>
          <w:tab w:leader="none" w:pos="68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breach of his or her duty of loyalty to the Company, provided that the Office Holder acted in good faith and had reasonable grounds to assume that act that resulted in such breach would not prejudice the interests of the Company;</w:t>
      </w:r>
    </w:p>
    <w:p>
      <w:pPr>
        <w:spacing w:after="0" w:line="67" w:lineRule="exact"/>
        <w:rPr>
          <w:rFonts w:ascii="Arial" w:cs="Arial" w:eastAsia="Arial" w:hAnsi="Arial"/>
          <w:sz w:val="18"/>
          <w:szCs w:val="18"/>
          <w:color w:val="auto"/>
        </w:rPr>
      </w:pPr>
    </w:p>
    <w:p>
      <w:pPr>
        <w:ind w:left="673" w:hanging="236"/>
        <w:spacing w:after="0"/>
        <w:tabs>
          <w:tab w:leader="none" w:pos="67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financial liability imposed on such Office Holder in favor of any other person; and</w:t>
      </w:r>
    </w:p>
    <w:p>
      <w:pPr>
        <w:spacing w:after="0" w:line="113" w:lineRule="exact"/>
        <w:rPr>
          <w:rFonts w:ascii="Arial" w:cs="Arial" w:eastAsia="Arial" w:hAnsi="Arial"/>
          <w:sz w:val="18"/>
          <w:szCs w:val="18"/>
          <w:color w:val="auto"/>
        </w:rPr>
      </w:pPr>
    </w:p>
    <w:p>
      <w:pPr>
        <w:ind w:left="433" w:right="80" w:firstLine="4"/>
        <w:spacing w:after="0" w:line="275" w:lineRule="auto"/>
        <w:tabs>
          <w:tab w:leader="none" w:pos="685"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Economic Competition Law).</w:t>
      </w:r>
    </w:p>
    <w:p>
      <w:pPr>
        <w:spacing w:after="0" w:line="76" w:lineRule="exact"/>
        <w:rPr>
          <w:rFonts w:ascii="Arial" w:cs="Arial" w:eastAsia="Arial" w:hAnsi="Arial"/>
          <w:sz w:val="17"/>
          <w:szCs w:val="17"/>
          <w:color w:val="auto"/>
        </w:rPr>
      </w:pPr>
    </w:p>
    <w:p>
      <w:pPr>
        <w:ind w:left="433" w:hanging="433"/>
        <w:spacing w:after="0"/>
        <w:tabs>
          <w:tab w:leader="none" w:pos="433"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firstLine="4"/>
        <w:spacing w:after="0" w:line="255" w:lineRule="auto"/>
        <w:tabs>
          <w:tab w:leader="none" w:pos="67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retroactively indemnify an Office Holder of the Company to the maximum extent permitted under applicable law, including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83" w:lineRule="exact"/>
        <w:rPr>
          <w:rFonts w:ascii="Arial" w:cs="Arial" w:eastAsia="Arial" w:hAnsi="Arial"/>
          <w:sz w:val="18"/>
          <w:szCs w:val="18"/>
          <w:color w:val="auto"/>
        </w:rPr>
      </w:pPr>
    </w:p>
    <w:p>
      <w:pPr>
        <w:ind w:left="973" w:right="320" w:firstLine="10"/>
        <w:spacing w:after="0" w:line="271" w:lineRule="auto"/>
        <w:tabs>
          <w:tab w:leader="none" w:pos="1185" w:val="left"/>
        </w:tabs>
        <w:numPr>
          <w:ilvl w:val="2"/>
          <w:numId w:val="256"/>
        </w:numPr>
        <w:rPr>
          <w:rFonts w:ascii="Arial" w:cs="Arial" w:eastAsia="Arial" w:hAnsi="Arial"/>
          <w:sz w:val="18"/>
          <w:szCs w:val="18"/>
          <w:color w:val="auto"/>
        </w:rPr>
      </w:pPr>
      <w:r>
        <w:rPr>
          <w:rFonts w:ascii="Arial" w:cs="Arial" w:eastAsia="Arial" w:hAnsi="Arial"/>
          <w:sz w:val="18"/>
          <w:szCs w:val="18"/>
          <w:color w:val="auto"/>
        </w:rPr>
        <w:t>a financial liability imposed on an Office Holder in favor of another person by any court judgment, including a judgment given as a result of a settlement or an arbitrator’s award which has been confirmed by a court;</w:t>
      </w:r>
    </w:p>
    <w:p>
      <w:pPr>
        <w:spacing w:after="0" w:line="67" w:lineRule="exact"/>
        <w:rPr>
          <w:rFonts w:ascii="Arial" w:cs="Arial" w:eastAsia="Arial" w:hAnsi="Arial"/>
          <w:sz w:val="18"/>
          <w:szCs w:val="18"/>
          <w:color w:val="auto"/>
        </w:rPr>
      </w:pPr>
    </w:p>
    <w:p>
      <w:pPr>
        <w:ind w:left="973" w:right="80" w:firstLine="10"/>
        <w:spacing w:after="0" w:line="270" w:lineRule="auto"/>
        <w:tabs>
          <w:tab w:leader="none" w:pos="1235" w:val="left"/>
        </w:tabs>
        <w:numPr>
          <w:ilvl w:val="2"/>
          <w:numId w:val="256"/>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offense that does not require proof of criminal intent, or (B) in connection with a financial sanction;</w:t>
      </w:r>
    </w:p>
    <w:p>
      <w:pPr>
        <w:spacing w:after="0" w:line="111" w:lineRule="exact"/>
        <w:rPr>
          <w:rFonts w:ascii="Arial" w:cs="Arial" w:eastAsia="Arial" w:hAnsi="Arial"/>
          <w:sz w:val="17"/>
          <w:szCs w:val="17"/>
          <w:color w:val="auto"/>
        </w:rPr>
      </w:pPr>
    </w:p>
    <w:p>
      <w:pPr>
        <w:ind w:left="5373" w:hanging="109"/>
        <w:spacing w:after="0"/>
        <w:tabs>
          <w:tab w:leader="none" w:pos="5373" w:val="left"/>
        </w:tabs>
        <w:numPr>
          <w:ilvl w:val="3"/>
          <w:numId w:val="25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893"/>
          </w:cols>
          <w:pgMar w:left="487" w:top="269" w:right="519" w:bottom="1440" w:gutter="0" w:footer="0" w:header="0"/>
        </w:sectPr>
      </w:pPr>
    </w:p>
    <w:bookmarkStart w:id="301" w:name="page302"/>
    <w:bookmarkEnd w:id="301"/>
    <w:p>
      <w:pPr>
        <w:ind w:left="973" w:right="200" w:firstLine="10"/>
        <w:spacing w:after="0" w:line="255" w:lineRule="auto"/>
        <w:tabs>
          <w:tab w:leader="none" w:pos="1284"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reasonable litigation expenses, including legal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83" w:lineRule="exact"/>
        <w:rPr>
          <w:rFonts w:ascii="Arial" w:cs="Arial" w:eastAsia="Arial" w:hAnsi="Arial"/>
          <w:sz w:val="18"/>
          <w:szCs w:val="18"/>
          <w:color w:val="auto"/>
        </w:rPr>
      </w:pPr>
    </w:p>
    <w:p>
      <w:pPr>
        <w:ind w:left="973" w:right="220" w:firstLine="10"/>
        <w:spacing w:after="0" w:line="297" w:lineRule="auto"/>
        <w:tabs>
          <w:tab w:leader="none" w:pos="127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Israeli Securities Law, if and to the extent applicable, and Section 50P(b)(2) of the RTP Law).</w:t>
      </w:r>
    </w:p>
    <w:p>
      <w:pPr>
        <w:spacing w:after="0" w:line="52" w:lineRule="exact"/>
        <w:rPr>
          <w:rFonts w:ascii="Arial" w:cs="Arial" w:eastAsia="Arial" w:hAnsi="Arial"/>
          <w:sz w:val="16"/>
          <w:szCs w:val="16"/>
          <w:color w:val="auto"/>
        </w:rPr>
      </w:pPr>
    </w:p>
    <w:p>
      <w:pPr>
        <w:ind w:left="433" w:right="20" w:firstLine="4"/>
        <w:spacing w:after="0" w:line="271" w:lineRule="auto"/>
        <w:tabs>
          <w:tab w:leader="none" w:pos="6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undertake to indemnify an Office Holder, in advance, with respect to those liabilities and expenses described in the following Articles:</w:t>
      </w:r>
    </w:p>
    <w:p>
      <w:pPr>
        <w:spacing w:after="0" w:line="67" w:lineRule="exact"/>
        <w:rPr>
          <w:rFonts w:ascii="Arial" w:cs="Arial" w:eastAsia="Arial" w:hAnsi="Arial"/>
          <w:sz w:val="18"/>
          <w:szCs w:val="18"/>
          <w:color w:val="auto"/>
        </w:rPr>
      </w:pPr>
    </w:p>
    <w:p>
      <w:pPr>
        <w:ind w:left="1193" w:hanging="210"/>
        <w:spacing w:after="0"/>
        <w:tabs>
          <w:tab w:leader="none" w:pos="119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Sub-Article 64(a)(ii) to 64(a)(iv); and</w:t>
      </w:r>
    </w:p>
    <w:p>
      <w:pPr>
        <w:spacing w:after="0" w:line="113" w:lineRule="exact"/>
        <w:rPr>
          <w:rFonts w:ascii="Arial" w:cs="Arial" w:eastAsia="Arial" w:hAnsi="Arial"/>
          <w:sz w:val="18"/>
          <w:szCs w:val="18"/>
          <w:color w:val="auto"/>
        </w:rPr>
      </w:pPr>
    </w:p>
    <w:p>
      <w:pPr>
        <w:ind w:left="1253" w:hanging="270"/>
        <w:spacing w:after="0"/>
        <w:tabs>
          <w:tab w:leader="none" w:pos="125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Sub-Article 64(a)(i), provided that:</w:t>
      </w:r>
    </w:p>
    <w:p>
      <w:pPr>
        <w:spacing w:after="0" w:line="113" w:lineRule="exact"/>
        <w:rPr>
          <w:rFonts w:ascii="Arial" w:cs="Arial" w:eastAsia="Arial" w:hAnsi="Arial"/>
          <w:sz w:val="18"/>
          <w:szCs w:val="18"/>
          <w:color w:val="auto"/>
        </w:rPr>
      </w:pPr>
    </w:p>
    <w:p>
      <w:pPr>
        <w:jc w:val="both"/>
        <w:ind w:left="1413" w:right="60" w:firstLine="6"/>
        <w:spacing w:after="0" w:line="307" w:lineRule="auto"/>
        <w:tabs>
          <w:tab w:leader="none" w:pos="1665"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undertaking to indemnify is limited to such events which the Directors shall deem to be foreseeable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42" w:lineRule="exact"/>
        <w:rPr>
          <w:rFonts w:ascii="Arial" w:cs="Arial" w:eastAsia="Arial" w:hAnsi="Arial"/>
          <w:sz w:val="16"/>
          <w:szCs w:val="16"/>
          <w:color w:val="auto"/>
        </w:rPr>
      </w:pPr>
    </w:p>
    <w:p>
      <w:pPr>
        <w:ind w:left="1413" w:right="560" w:firstLine="6"/>
        <w:spacing w:after="0" w:line="307" w:lineRule="auto"/>
        <w:tabs>
          <w:tab w:leader="none" w:pos="1665"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undertaking to indemnify shall set forth such events which the Directors shall deem to be foreseeable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52" w:lineRule="exact"/>
        <w:rPr>
          <w:sz w:val="20"/>
          <w:szCs w:val="20"/>
          <w:color w:val="auto"/>
        </w:rPr>
      </w:pPr>
    </w:p>
    <w:p>
      <w:pPr>
        <w:ind w:left="433" w:hanging="433"/>
        <w:spacing w:after="0"/>
        <w:tabs>
          <w:tab w:leader="none" w:pos="433" w:val="left"/>
        </w:tabs>
        <w:numPr>
          <w:ilvl w:val="0"/>
          <w:numId w:val="259"/>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XEMPTION</w:t>
      </w:r>
      <w:r>
        <w:rPr>
          <w:rFonts w:ascii="Arial" w:cs="Arial" w:eastAsia="Arial" w:hAnsi="Arial"/>
          <w:sz w:val="18"/>
          <w:szCs w:val="18"/>
          <w:color w:val="auto"/>
        </w:rPr>
        <w:t>.</w:t>
      </w:r>
    </w:p>
    <w:p>
      <w:pPr>
        <w:spacing w:after="0" w:line="118" w:lineRule="exact"/>
        <w:rPr>
          <w:sz w:val="20"/>
          <w:szCs w:val="20"/>
          <w:color w:val="auto"/>
        </w:rPr>
      </w:pPr>
    </w:p>
    <w:p>
      <w:pPr>
        <w:ind w:left="433" w:right="20"/>
        <w:spacing w:after="0" w:line="271" w:lineRule="auto"/>
        <w:rPr>
          <w:sz w:val="20"/>
          <w:szCs w:val="20"/>
          <w:color w:val="auto"/>
        </w:rPr>
      </w:pPr>
      <w:r>
        <w:rPr>
          <w:rFonts w:ascii="Arial" w:cs="Arial" w:eastAsia="Arial" w:hAnsi="Arial"/>
          <w:sz w:val="18"/>
          <w:szCs w:val="18"/>
          <w:color w:val="auto"/>
        </w:rPr>
        <w:t>Subject to the provisions of the Companies Law, the Company may, to the maximum extent permitted by law, exempt and release, in advance, any Office Holder from any liability for damages arising out of a breach of a duty of care.</w:t>
      </w:r>
    </w:p>
    <w:p>
      <w:pPr>
        <w:spacing w:after="0" w:line="77" w:lineRule="exact"/>
        <w:rPr>
          <w:sz w:val="20"/>
          <w:szCs w:val="20"/>
          <w:color w:val="auto"/>
        </w:rPr>
      </w:pPr>
    </w:p>
    <w:p>
      <w:pPr>
        <w:ind w:left="433" w:hanging="433"/>
        <w:spacing w:after="0"/>
        <w:tabs>
          <w:tab w:leader="none" w:pos="433"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320" w:firstLine="4"/>
        <w:spacing w:after="0" w:line="255" w:lineRule="auto"/>
        <w:tabs>
          <w:tab w:leader="none" w:pos="675"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amendment to the Companies Law or any other applicable law adversely affecting the right of any Office Holder to be indemnified, insured or exempt pursuant to Articles 63 to 65 and any amendments to Articles 63 to 65 shall be prospective in effect, and shall not affect the Company’s obligation or ability to indemnify, insure or exempt an Office Holder for any act or omission occurring prior to such amendment, unless otherwise provided by applicable law.</w:t>
      </w:r>
    </w:p>
    <w:p>
      <w:pPr>
        <w:spacing w:after="0" w:line="83" w:lineRule="exact"/>
        <w:rPr>
          <w:rFonts w:ascii="Arial" w:cs="Arial" w:eastAsia="Arial" w:hAnsi="Arial"/>
          <w:sz w:val="18"/>
          <w:szCs w:val="18"/>
          <w:color w:val="auto"/>
        </w:rPr>
      </w:pPr>
    </w:p>
    <w:p>
      <w:pPr>
        <w:ind w:left="433" w:firstLine="4"/>
        <w:spacing w:after="0" w:line="293" w:lineRule="auto"/>
        <w:tabs>
          <w:tab w:leader="none" w:pos="68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provisions of Articles 63 to 65 (i) shall apply to the maximum extent permitted by law (including, the Companies Law, the Securities Law and the Economic Competition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371"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INDING</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w:t>
      </w:r>
    </w:p>
    <w:p>
      <w:pPr>
        <w:spacing w:after="0" w:line="248" w:lineRule="exact"/>
        <w:rPr>
          <w:sz w:val="20"/>
          <w:szCs w:val="20"/>
          <w:color w:val="auto"/>
        </w:rPr>
      </w:pPr>
    </w:p>
    <w:p>
      <w:pPr>
        <w:ind w:left="433" w:hanging="433"/>
        <w:spacing w:after="0"/>
        <w:tabs>
          <w:tab w:leader="none" w:pos="433"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INDING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P</w:t>
      </w:r>
      <w:r>
        <w:rPr>
          <w:rFonts w:ascii="Arial" w:cs="Arial" w:eastAsia="Arial" w:hAnsi="Arial"/>
          <w:sz w:val="18"/>
          <w:szCs w:val="18"/>
          <w:color w:val="auto"/>
        </w:rPr>
        <w:t>.</w:t>
      </w:r>
    </w:p>
    <w:p>
      <w:pPr>
        <w:spacing w:after="0" w:line="118" w:lineRule="exact"/>
        <w:rPr>
          <w:sz w:val="20"/>
          <w:szCs w:val="20"/>
          <w:color w:val="auto"/>
        </w:rPr>
      </w:pPr>
    </w:p>
    <w:p>
      <w:pPr>
        <w:jc w:val="both"/>
        <w:ind w:left="433" w:right="280"/>
        <w:spacing w:after="0" w:line="259" w:lineRule="auto"/>
        <w:rPr>
          <w:sz w:val="20"/>
          <w:szCs w:val="20"/>
          <w:color w:val="auto"/>
        </w:rPr>
      </w:pPr>
      <w:r>
        <w:rPr>
          <w:rFonts w:ascii="Arial" w:cs="Arial" w:eastAsia="Arial" w:hAnsi="Arial"/>
          <w:sz w:val="18"/>
          <w:szCs w:val="18"/>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number of issued and outstanding shares held by each Shareholder.</w:t>
      </w:r>
    </w:p>
    <w:p>
      <w:pPr>
        <w:spacing w:after="0" w:line="11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893"/>
          </w:cols>
          <w:pgMar w:left="487" w:top="273" w:right="519" w:bottom="1440" w:gutter="0" w:footer="0" w:header="0"/>
        </w:sectPr>
      </w:pPr>
    </w:p>
    <w:bookmarkStart w:id="302" w:name="page303"/>
    <w:bookmarkEnd w:id="302"/>
    <w:p>
      <w:pPr>
        <w:jc w:val="center"/>
        <w:ind w:right="-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w:t>
      </w:r>
      <w:r>
        <w:rPr>
          <w:rFonts w:ascii="Arial" w:cs="Arial" w:eastAsia="Arial" w:hAnsi="Arial"/>
          <w:sz w:val="14"/>
          <w:szCs w:val="14"/>
          <w:b w:val="1"/>
          <w:bCs w:val="1"/>
          <w:color w:val="auto"/>
        </w:rPr>
        <w:t>OTICES</w:t>
      </w:r>
    </w:p>
    <w:p>
      <w:pPr>
        <w:spacing w:after="0" w:line="248" w:lineRule="exact"/>
        <w:rPr>
          <w:sz w:val="20"/>
          <w:szCs w:val="20"/>
          <w:color w:val="auto"/>
        </w:rPr>
      </w:pPr>
    </w:p>
    <w:p>
      <w:pPr>
        <w:ind w:left="433" w:hanging="433"/>
        <w:spacing w:after="0"/>
        <w:tabs>
          <w:tab w:leader="none" w:pos="433"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33" w:right="240" w:firstLine="4"/>
        <w:spacing w:after="0" w:line="255" w:lineRule="auto"/>
        <w:tabs>
          <w:tab w:leader="none" w:pos="67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or her address as described in the Register of Shareholders or such other address as the Shareholder may have designated in writing for the receipt of notices and other documents.</w:t>
      </w:r>
    </w:p>
    <w:p>
      <w:pPr>
        <w:spacing w:after="0" w:line="83" w:lineRule="exact"/>
        <w:rPr>
          <w:rFonts w:ascii="Arial" w:cs="Arial" w:eastAsia="Arial" w:hAnsi="Arial"/>
          <w:sz w:val="18"/>
          <w:szCs w:val="18"/>
          <w:color w:val="auto"/>
        </w:rPr>
      </w:pPr>
    </w:p>
    <w:p>
      <w:pPr>
        <w:ind w:left="433" w:right="140" w:firstLine="4"/>
        <w:spacing w:after="0" w:line="259" w:lineRule="auto"/>
        <w:tabs>
          <w:tab w:leader="none" w:pos="68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any Shareholder upon the Company by tendering the same in person to the Secretary or the Chief Executive Officer of the Company at the principal office of the Company, by facsimile transmission, or by sending it by prepaid registered mail (airmail if posted outside Israel) to the Company at its Office.</w:t>
      </w:r>
    </w:p>
    <w:p>
      <w:pPr>
        <w:spacing w:after="0" w:line="78" w:lineRule="exact"/>
        <w:rPr>
          <w:rFonts w:ascii="Arial" w:cs="Arial" w:eastAsia="Arial" w:hAnsi="Arial"/>
          <w:sz w:val="18"/>
          <w:szCs w:val="18"/>
          <w:color w:val="auto"/>
        </w:rPr>
      </w:pPr>
    </w:p>
    <w:p>
      <w:pPr>
        <w:ind w:left="673" w:hanging="236"/>
        <w:spacing w:after="0"/>
        <w:tabs>
          <w:tab w:leader="none" w:pos="67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such notice or other document shall be deemed to have been served:</w:t>
      </w:r>
    </w:p>
    <w:p>
      <w:pPr>
        <w:spacing w:after="0" w:line="113" w:lineRule="exact"/>
        <w:rPr>
          <w:rFonts w:ascii="Arial" w:cs="Arial" w:eastAsia="Arial" w:hAnsi="Arial"/>
          <w:sz w:val="18"/>
          <w:szCs w:val="18"/>
          <w:color w:val="auto"/>
        </w:rPr>
      </w:pPr>
    </w:p>
    <w:p>
      <w:pPr>
        <w:ind w:left="973" w:right="220" w:firstLine="10"/>
        <w:spacing w:after="0" w:line="271" w:lineRule="auto"/>
        <w:tabs>
          <w:tab w:leader="none" w:pos="1185"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in the case of mailing, forty-eight (48) hours after it has been posted, or when actually received by the addressee if sooner than forty-eight hours after it has been posted, or</w:t>
      </w:r>
    </w:p>
    <w:p>
      <w:pPr>
        <w:spacing w:after="0" w:line="67" w:lineRule="exact"/>
        <w:rPr>
          <w:rFonts w:ascii="Arial" w:cs="Arial" w:eastAsia="Arial" w:hAnsi="Arial"/>
          <w:sz w:val="18"/>
          <w:szCs w:val="18"/>
          <w:color w:val="auto"/>
        </w:rPr>
      </w:pPr>
    </w:p>
    <w:p>
      <w:pPr>
        <w:ind w:left="973" w:right="320" w:firstLine="10"/>
        <w:spacing w:after="0" w:line="271" w:lineRule="auto"/>
        <w:tabs>
          <w:tab w:leader="none" w:pos="1235"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67" w:lineRule="exact"/>
        <w:rPr>
          <w:rFonts w:ascii="Arial" w:cs="Arial" w:eastAsia="Arial" w:hAnsi="Arial"/>
          <w:sz w:val="18"/>
          <w:szCs w:val="18"/>
          <w:color w:val="auto"/>
        </w:rPr>
      </w:pPr>
    </w:p>
    <w:p>
      <w:pPr>
        <w:ind w:left="1293" w:hanging="310"/>
        <w:spacing w:after="0"/>
        <w:tabs>
          <w:tab w:leader="none" w:pos="1293"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in the case of personal delivery, when actually tendered in person, to such addressee;</w:t>
      </w:r>
    </w:p>
    <w:p>
      <w:pPr>
        <w:spacing w:after="0" w:line="113" w:lineRule="exact"/>
        <w:rPr>
          <w:rFonts w:ascii="Arial" w:cs="Arial" w:eastAsia="Arial" w:hAnsi="Arial"/>
          <w:sz w:val="18"/>
          <w:szCs w:val="18"/>
          <w:color w:val="auto"/>
        </w:rPr>
      </w:pPr>
    </w:p>
    <w:p>
      <w:pPr>
        <w:jc w:val="both"/>
        <w:ind w:left="973" w:right="360" w:firstLine="10"/>
        <w:spacing w:after="0" w:line="281" w:lineRule="auto"/>
        <w:tabs>
          <w:tab w:leader="none" w:pos="1275" w:val="left"/>
        </w:tabs>
        <w:numPr>
          <w:ilvl w:val="2"/>
          <w:numId w:val="262"/>
        </w:numPr>
        <w:rPr>
          <w:rFonts w:ascii="Arial" w:cs="Arial" w:eastAsia="Arial" w:hAnsi="Arial"/>
          <w:sz w:val="17"/>
          <w:szCs w:val="17"/>
          <w:color w:val="auto"/>
        </w:rPr>
      </w:pPr>
      <w:r>
        <w:rPr>
          <w:rFonts w:ascii="Arial" w:cs="Arial" w:eastAsia="Arial" w:hAnsi="Arial"/>
          <w:sz w:val="17"/>
          <w:szCs w:val="17"/>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62" w:lineRule="exact"/>
        <w:rPr>
          <w:rFonts w:ascii="Arial" w:cs="Arial" w:eastAsia="Arial" w:hAnsi="Arial"/>
          <w:sz w:val="17"/>
          <w:szCs w:val="17"/>
          <w:color w:val="auto"/>
        </w:rPr>
      </w:pPr>
    </w:p>
    <w:p>
      <w:pPr>
        <w:ind w:left="433" w:right="520" w:firstLine="4"/>
        <w:spacing w:after="0" w:line="301" w:lineRule="auto"/>
        <w:tabs>
          <w:tab w:leader="none" w:pos="685"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If a notice is, in fact, received by the addressee, it shall be deemed to have been duly served, when received, notwithstanding that it was defectively addressed or failed, in some other respect, to comply with the provisions of this Article 68.</w:t>
      </w:r>
    </w:p>
    <w:p>
      <w:pPr>
        <w:spacing w:after="0" w:line="44" w:lineRule="exact"/>
        <w:rPr>
          <w:rFonts w:ascii="Arial" w:cs="Arial" w:eastAsia="Arial" w:hAnsi="Arial"/>
          <w:sz w:val="17"/>
          <w:szCs w:val="17"/>
          <w:color w:val="auto"/>
        </w:rPr>
      </w:pPr>
    </w:p>
    <w:p>
      <w:pPr>
        <w:ind w:left="433" w:right="120" w:firstLine="4"/>
        <w:spacing w:after="0" w:line="335" w:lineRule="auto"/>
        <w:tabs>
          <w:tab w:leader="none" w:pos="66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21" w:lineRule="exact"/>
        <w:rPr>
          <w:rFonts w:ascii="Arial" w:cs="Arial" w:eastAsia="Arial" w:hAnsi="Arial"/>
          <w:sz w:val="16"/>
          <w:szCs w:val="16"/>
          <w:color w:val="auto"/>
        </w:rPr>
      </w:pPr>
    </w:p>
    <w:p>
      <w:pPr>
        <w:ind w:left="433" w:right="200" w:firstLine="4"/>
        <w:spacing w:after="0" w:line="271" w:lineRule="auto"/>
        <w:tabs>
          <w:tab w:leader="none" w:pos="65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67" w:lineRule="exact"/>
        <w:rPr>
          <w:rFonts w:ascii="Arial" w:cs="Arial" w:eastAsia="Arial" w:hAnsi="Arial"/>
          <w:sz w:val="18"/>
          <w:szCs w:val="18"/>
          <w:color w:val="auto"/>
        </w:rPr>
      </w:pPr>
    </w:p>
    <w:p>
      <w:pPr>
        <w:ind w:left="433" w:firstLine="4"/>
        <w:spacing w:after="0" w:line="272" w:lineRule="auto"/>
        <w:tabs>
          <w:tab w:leader="none" w:pos="685" w:val="left"/>
        </w:tabs>
        <w:numPr>
          <w:ilvl w:val="1"/>
          <w:numId w:val="26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 either or several of the following manners (as applicable) shall be deemed to be notice of such meeting duly given, for the purposes of these Articles, to any Shareholder whose address as registered in the Register of Shareholders (or as designated in writing for the receipt of notices and other documents) is located either inside or outside the State of Israel:</w:t>
      </w:r>
    </w:p>
    <w:p>
      <w:pPr>
        <w:spacing w:after="0" w:line="69" w:lineRule="exact"/>
        <w:rPr>
          <w:rFonts w:ascii="Arial" w:cs="Arial" w:eastAsia="Arial" w:hAnsi="Arial"/>
          <w:sz w:val="17"/>
          <w:szCs w:val="17"/>
          <w:color w:val="auto"/>
        </w:rPr>
      </w:pPr>
    </w:p>
    <w:p>
      <w:pPr>
        <w:ind w:left="1193" w:hanging="210"/>
        <w:spacing w:after="0"/>
        <w:tabs>
          <w:tab w:leader="none" w:pos="1193"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if the Company’s shares are then listed for trading on a national securities exchange in the United States or quoted in an</w:t>
      </w:r>
    </w:p>
    <w:p>
      <w:pPr>
        <w:spacing w:after="0" w:line="20" w:lineRule="exact"/>
        <w:rPr>
          <w:sz w:val="20"/>
          <w:szCs w:val="20"/>
          <w:color w:val="auto"/>
        </w:rPr>
      </w:pPr>
    </w:p>
    <w:p>
      <w:pPr>
        <w:ind w:left="973" w:right="220"/>
        <w:spacing w:after="0" w:line="256" w:lineRule="auto"/>
        <w:rPr>
          <w:sz w:val="20"/>
          <w:szCs w:val="20"/>
          <w:color w:val="auto"/>
        </w:rPr>
      </w:pPr>
      <w:r>
        <w:rPr>
          <w:rFonts w:ascii="Arial" w:cs="Arial" w:eastAsia="Arial" w:hAnsi="Arial"/>
          <w:sz w:val="18"/>
          <w:szCs w:val="18"/>
          <w:color w:val="auto"/>
        </w:rPr>
        <w:t>over-the-counter market in the United States, publication of notice of a General Meeting pursuant to a report or a schedule filed with, or furnished to, the SEC pursuant to the Securities Exchange Act of 1934, as amended; and/or</w:t>
      </w:r>
    </w:p>
    <w:p>
      <w:pPr>
        <w:spacing w:after="0" w:line="12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893"/>
          </w:cols>
          <w:pgMar w:left="487" w:top="269" w:right="519" w:bottom="1440" w:gutter="0" w:footer="0" w:header="0"/>
        </w:sectPr>
      </w:pPr>
    </w:p>
    <w:bookmarkStart w:id="303" w:name="page304"/>
    <w:bookmarkEnd w:id="303"/>
    <w:p>
      <w:pPr>
        <w:ind w:left="1253" w:hanging="270"/>
        <w:spacing w:after="0"/>
        <w:tabs>
          <w:tab w:leader="none" w:pos="1253" w:val="left"/>
        </w:tabs>
        <w:numPr>
          <w:ilvl w:val="1"/>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 the Company’s internet site.</w:t>
      </w:r>
    </w:p>
    <w:p>
      <w:pPr>
        <w:spacing w:after="0" w:line="113" w:lineRule="exact"/>
        <w:rPr>
          <w:rFonts w:ascii="Arial" w:cs="Arial" w:eastAsia="Arial" w:hAnsi="Arial"/>
          <w:sz w:val="18"/>
          <w:szCs w:val="18"/>
          <w:color w:val="auto"/>
        </w:rPr>
      </w:pPr>
    </w:p>
    <w:p>
      <w:pPr>
        <w:ind w:left="433" w:firstLine="4"/>
        <w:spacing w:after="0" w:line="271" w:lineRule="auto"/>
        <w:tabs>
          <w:tab w:leader="none" w:pos="6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mailing or publication date and the record date and/or date of the meeting (as applicable) shall be counted among the days comprising any notice period under the Companies Law and the regulations thereunder.</w:t>
      </w:r>
    </w:p>
    <w:p>
      <w:pPr>
        <w:spacing w:after="0" w:line="384"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p>
    <w:p>
      <w:pPr>
        <w:spacing w:after="0" w:line="248" w:lineRule="exact"/>
        <w:rPr>
          <w:sz w:val="20"/>
          <w:szCs w:val="20"/>
          <w:color w:val="auto"/>
        </w:rPr>
      </w:pPr>
    </w:p>
    <w:p>
      <w:pPr>
        <w:ind w:left="433" w:hanging="433"/>
        <w:spacing w:after="0"/>
        <w:tabs>
          <w:tab w:leader="none" w:pos="433"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18"/>
          <w:szCs w:val="18"/>
          <w:color w:val="auto"/>
        </w:rPr>
        <w:t>.</w:t>
      </w:r>
    </w:p>
    <w:p>
      <w:pPr>
        <w:spacing w:after="0" w:line="118" w:lineRule="exact"/>
        <w:rPr>
          <w:sz w:val="20"/>
          <w:szCs w:val="20"/>
          <w:color w:val="auto"/>
        </w:rPr>
      </w:pPr>
    </w:p>
    <w:p>
      <w:pPr>
        <w:ind w:left="433" w:right="140"/>
        <w:spacing w:after="0" w:line="301" w:lineRule="auto"/>
        <w:rPr>
          <w:sz w:val="20"/>
          <w:szCs w:val="20"/>
          <w:color w:val="auto"/>
        </w:rPr>
      </w:pPr>
      <w:r>
        <w:rPr>
          <w:rFonts w:ascii="Arial" w:cs="Arial" w:eastAsia="Arial" w:hAnsi="Arial"/>
          <w:sz w:val="17"/>
          <w:szCs w:val="17"/>
          <w:color w:val="auto"/>
        </w:rPr>
        <w:t>Any amendment of these Articles shall require the approval of the General Meeting of shareholders in accordance with these Articles, including (where specifically required for under these Articles) a majority of at least 70% of the total voting power of the Shareholders.</w:t>
      </w:r>
    </w:p>
    <w:p>
      <w:pPr>
        <w:spacing w:after="0" w:line="362"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ORUM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DJUDICATION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ISPUTES</w:t>
      </w:r>
    </w:p>
    <w:p>
      <w:pPr>
        <w:spacing w:after="0" w:line="248" w:lineRule="exact"/>
        <w:rPr>
          <w:sz w:val="20"/>
          <w:szCs w:val="20"/>
          <w:color w:val="auto"/>
        </w:rPr>
      </w:pPr>
    </w:p>
    <w:p>
      <w:pPr>
        <w:ind w:left="433" w:hanging="433"/>
        <w:spacing w:after="0"/>
        <w:tabs>
          <w:tab w:leader="none" w:pos="433" w:val="left"/>
        </w:tabs>
        <w:numPr>
          <w:ilvl w:val="0"/>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ORUM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DJUDICATION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ISPUTES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firstLine="4"/>
        <w:spacing w:after="0" w:line="282" w:lineRule="auto"/>
        <w:tabs>
          <w:tab w:leader="none" w:pos="67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Unless the Company consents in writing to the selection of an alternative forum, with respect to any causes of action arising under the U.S. Securities Act of 1933 as amended, against any person or entity, including such claims brought against the Company, its directors, officers, employees, advisors, attorneys, accountants or underwriters, the federal district courts of the United States of America shall be the exclusive forum for the resolution of any complaint asserting a cause of action arising under the U.S. Securities Act of 1933, as amended; and (b) unless the Company consents in writing to the selection of an alternative forum, the competent courts in Tel Aviv, Israel shall be the exclusive forum for</w:t>
      </w:r>
    </w:p>
    <w:p>
      <w:pPr>
        <w:spacing w:after="0" w:line="1" w:lineRule="exact"/>
        <w:rPr>
          <w:rFonts w:ascii="Arial" w:cs="Arial" w:eastAsia="Arial" w:hAnsi="Arial"/>
          <w:sz w:val="16"/>
          <w:szCs w:val="16"/>
          <w:color w:val="auto"/>
        </w:rPr>
      </w:pPr>
    </w:p>
    <w:p>
      <w:pPr>
        <w:ind w:left="433" w:right="120" w:firstLine="4"/>
        <w:spacing w:after="0" w:line="292" w:lineRule="auto"/>
        <w:tabs>
          <w:tab w:leader="none" w:pos="64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Companies Law or the Securities Law. Any person or entity purchasing or otherwise acquiring or holding any interest in shares of the Company shall be deemed to have notice of and consented to these provisions.</w:t>
      </w:r>
    </w:p>
    <w:p>
      <w:pPr>
        <w:spacing w:after="0" w:line="162" w:lineRule="exact"/>
        <w:rPr>
          <w:sz w:val="20"/>
          <w:szCs w:val="20"/>
          <w:color w:val="auto"/>
        </w:rPr>
      </w:pPr>
    </w:p>
    <w:p>
      <w:pPr>
        <w:jc w:val="center"/>
        <w:ind w:right="-52"/>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pacing w:after="0" w:line="15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853"/>
          </w:cols>
          <w:pgMar w:left="487" w:top="272" w:right="559" w:bottom="1440" w:gutter="0" w:footer="0" w:header="0"/>
        </w:sectPr>
      </w:pPr>
    </w:p>
    <w:bookmarkStart w:id="304" w:name="page305"/>
    <w:bookmarkEnd w:id="304"/>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832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094855" cy="4832350"/>
                    </a:xfrm>
                    <a:prstGeom prst="rect">
                      <a:avLst/>
                    </a:prstGeom>
                    <a:noFill/>
                  </pic:spPr>
                </pic:pic>
              </a:graphicData>
            </a:graphic>
          </wp:anchor>
        </w:drawing>
      </w:r>
    </w:p>
    <w:p>
      <w:pPr>
        <w:sectPr>
          <w:pgSz w:w="11900" w:h="16838" w:orient="portrait"/>
          <w:cols w:equalWidth="0" w:num="1">
            <w:col w:w="9960"/>
          </w:cols>
          <w:pgMar w:left="1440" w:top="120" w:right="499" w:bottom="1440"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63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7226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THIRD AMENDED AND RESTATED INVESTORS’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22</w:t>
      </w:r>
      <w:r>
        <w:rPr>
          <w:rFonts w:ascii="Arial" w:cs="Arial" w:eastAsia="Arial" w:hAnsi="Arial"/>
          <w:sz w:val="15"/>
          <w:szCs w:val="15"/>
          <w:color w:val="auto"/>
        </w:rPr>
        <w:t>nd</w:t>
      </w:r>
      <w:r>
        <w:rPr>
          <w:rFonts w:ascii="Arial" w:cs="Arial" w:eastAsia="Arial" w:hAnsi="Arial"/>
          <w:sz w:val="18"/>
          <w:szCs w:val="18"/>
          <w:color w:val="auto"/>
        </w:rPr>
        <w:t xml:space="preserve"> day of March 2021, by and among Global-e Online Ltd., Reg. No. 514889534, a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attached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xml:space="preserve">”), and the shareholders listed in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hereto (each a “</w:t>
      </w:r>
      <w:r>
        <w:rPr>
          <w:rFonts w:ascii="Arial" w:cs="Arial" w:eastAsia="Arial" w:hAnsi="Arial"/>
          <w:sz w:val="18"/>
          <w:szCs w:val="18"/>
          <w:b w:val="1"/>
          <w:bCs w:val="1"/>
          <w:color w:val="auto"/>
        </w:rPr>
        <w:t>Founder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Founders</w:t>
      </w:r>
      <w:r>
        <w:rPr>
          <w:rFonts w:ascii="Arial" w:cs="Arial" w:eastAsia="Arial" w:hAnsi="Arial"/>
          <w:sz w:val="18"/>
          <w:szCs w:val="18"/>
          <w:color w:val="auto"/>
        </w:rPr>
        <w: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1180" w:type="dxa"/>
            <w:vAlign w:val="bottom"/>
            <w:vMerge w:val="continue"/>
          </w:tcPr>
          <w:p>
            <w:pPr>
              <w:spacing w:after="0"/>
              <w:rPr>
                <w:sz w:val="24"/>
                <w:szCs w:val="24"/>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1"/>
              </w:rPr>
              <w:t>the Company and certain Investors are parties to that certain Series E Preferred Share Purchase Agreement, dated as of April 30,</w:t>
            </w:r>
          </w:p>
        </w:tc>
        <w:tc>
          <w:tcPr>
            <w:tcW w:w="0" w:type="dxa"/>
            <w:vAlign w:val="bottom"/>
          </w:tcPr>
          <w:p>
            <w:pPr>
              <w:spacing w:after="0"/>
              <w:rPr>
                <w:sz w:val="1"/>
                <w:szCs w:val="1"/>
                <w:color w:val="auto"/>
              </w:rPr>
            </w:pPr>
          </w:p>
        </w:tc>
      </w:tr>
      <w:tr>
        <w:trPr>
          <w:trHeight w:val="231"/>
        </w:trPr>
        <w:tc>
          <w:tcPr>
            <w:tcW w:w="1180" w:type="dxa"/>
            <w:vAlign w:val="bottom"/>
          </w:tcPr>
          <w:p>
            <w:pPr>
              <w:spacing w:after="0"/>
              <w:rPr>
                <w:sz w:val="20"/>
                <w:szCs w:val="20"/>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rPr>
              <w:t>2020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4"/>
              </w:rPr>
              <w:t>the Investors and the Founders are the holders of all of the issued and outstanding shares of Series A Preferred Shares of the</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1"/>
              </w:rPr>
              <w:t>Company, nominal value NIS 0.01 each (“</w:t>
            </w:r>
            <w:r>
              <w:rPr>
                <w:rFonts w:ascii="Arial" w:cs="Arial" w:eastAsia="Arial" w:hAnsi="Arial"/>
                <w:sz w:val="18"/>
                <w:szCs w:val="18"/>
                <w:b w:val="1"/>
                <w:bCs w:val="1"/>
                <w:color w:val="auto"/>
                <w:w w:val="91"/>
              </w:rPr>
              <w:t>Preferred A Shares</w:t>
            </w:r>
            <w:r>
              <w:rPr>
                <w:rFonts w:ascii="Arial" w:cs="Arial" w:eastAsia="Arial" w:hAnsi="Arial"/>
                <w:sz w:val="18"/>
                <w:szCs w:val="18"/>
                <w:color w:val="auto"/>
                <w:w w:val="91"/>
              </w:rPr>
              <w:t>”), Series A-1 Preferred Shares of the Company, nominal value NIS</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89"/>
              </w:rPr>
              <w:t>0.01 each (the “</w:t>
            </w:r>
            <w:r>
              <w:rPr>
                <w:rFonts w:ascii="Arial" w:cs="Arial" w:eastAsia="Arial" w:hAnsi="Arial"/>
                <w:sz w:val="18"/>
                <w:szCs w:val="18"/>
                <w:b w:val="1"/>
                <w:bCs w:val="1"/>
                <w:color w:val="auto"/>
                <w:w w:val="89"/>
              </w:rPr>
              <w:t>Preferred A-1 Shares</w:t>
            </w:r>
            <w:r>
              <w:rPr>
                <w:rFonts w:ascii="Arial" w:cs="Arial" w:eastAsia="Arial" w:hAnsi="Arial"/>
                <w:sz w:val="18"/>
                <w:szCs w:val="18"/>
                <w:color w:val="auto"/>
                <w:w w:val="89"/>
              </w:rPr>
              <w:t>”), Series B-1 Preferred Shares of the Company, nominal value NIS 0.01 each (the “</w:t>
            </w:r>
            <w:r>
              <w:rPr>
                <w:rFonts w:ascii="Arial" w:cs="Arial" w:eastAsia="Arial" w:hAnsi="Arial"/>
                <w:sz w:val="18"/>
                <w:szCs w:val="18"/>
                <w:b w:val="1"/>
                <w:bCs w:val="1"/>
                <w:color w:val="auto"/>
                <w:w w:val="89"/>
              </w:rPr>
              <w:t>Preferred</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b w:val="1"/>
                <w:bCs w:val="1"/>
                <w:color w:val="auto"/>
                <w:w w:val="91"/>
              </w:rPr>
              <w:t>B-1 Shares</w:t>
            </w:r>
            <w:r>
              <w:rPr>
                <w:rFonts w:ascii="Arial" w:cs="Arial" w:eastAsia="Arial" w:hAnsi="Arial"/>
                <w:sz w:val="18"/>
                <w:szCs w:val="18"/>
                <w:color w:val="auto"/>
                <w:w w:val="91"/>
              </w:rPr>
              <w:t>”), Series B-2 Preferred Shares of the Company, nominal value NIS 0.01 each (the “</w:t>
            </w:r>
            <w:r>
              <w:rPr>
                <w:rFonts w:ascii="Arial" w:cs="Arial" w:eastAsia="Arial" w:hAnsi="Arial"/>
                <w:sz w:val="18"/>
                <w:szCs w:val="18"/>
                <w:b w:val="1"/>
                <w:bCs w:val="1"/>
                <w:color w:val="auto"/>
                <w:w w:val="91"/>
              </w:rPr>
              <w:t>Preferred B-2 Shares</w:t>
            </w:r>
            <w:r>
              <w:rPr>
                <w:rFonts w:ascii="Arial" w:cs="Arial" w:eastAsia="Arial" w:hAnsi="Arial"/>
                <w:sz w:val="18"/>
                <w:szCs w:val="18"/>
                <w:color w:val="auto"/>
                <w:w w:val="91"/>
              </w:rPr>
              <w:t>”), Series C</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2"/>
              </w:rPr>
              <w:t>Preferred Shares of the Company, nominal value NIS 0.01 each (the “</w:t>
            </w:r>
            <w:r>
              <w:rPr>
                <w:rFonts w:ascii="Arial" w:cs="Arial" w:eastAsia="Arial" w:hAnsi="Arial"/>
                <w:sz w:val="18"/>
                <w:szCs w:val="18"/>
                <w:b w:val="1"/>
                <w:bCs w:val="1"/>
                <w:color w:val="auto"/>
                <w:w w:val="92"/>
              </w:rPr>
              <w:t>Preferred C Shares</w:t>
            </w:r>
            <w:r>
              <w:rPr>
                <w:rFonts w:ascii="Arial" w:cs="Arial" w:eastAsia="Arial" w:hAnsi="Arial"/>
                <w:sz w:val="18"/>
                <w:szCs w:val="18"/>
                <w:color w:val="auto"/>
                <w:w w:val="92"/>
              </w:rPr>
              <w:t>”), Series D-1 Preferred Shares of the</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3"/>
              </w:rPr>
              <w:t>Company, nominal value NIS 0.01 each (the “</w:t>
            </w:r>
            <w:r>
              <w:rPr>
                <w:rFonts w:ascii="Arial" w:cs="Arial" w:eastAsia="Arial" w:hAnsi="Arial"/>
                <w:sz w:val="18"/>
                <w:szCs w:val="18"/>
                <w:b w:val="1"/>
                <w:bCs w:val="1"/>
                <w:color w:val="auto"/>
                <w:w w:val="93"/>
              </w:rPr>
              <w:t>Preferred D-1 Shares</w:t>
            </w:r>
            <w:r>
              <w:rPr>
                <w:rFonts w:ascii="Arial" w:cs="Arial" w:eastAsia="Arial" w:hAnsi="Arial"/>
                <w:sz w:val="18"/>
                <w:szCs w:val="18"/>
                <w:color w:val="auto"/>
                <w:w w:val="93"/>
              </w:rPr>
              <w:t>”), and Series E Preferred Shares of the Company, nominal</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3"/>
              </w:rPr>
              <w:t>value NIS 0.01 each (the “</w:t>
            </w:r>
            <w:r>
              <w:rPr>
                <w:rFonts w:ascii="Arial" w:cs="Arial" w:eastAsia="Arial" w:hAnsi="Arial"/>
                <w:sz w:val="18"/>
                <w:szCs w:val="18"/>
                <w:b w:val="1"/>
                <w:bCs w:val="1"/>
                <w:color w:val="auto"/>
                <w:w w:val="93"/>
              </w:rPr>
              <w:t>Preferred E Shares</w:t>
            </w:r>
            <w:r>
              <w:rPr>
                <w:rFonts w:ascii="Arial" w:cs="Arial" w:eastAsia="Arial" w:hAnsi="Arial"/>
                <w:sz w:val="18"/>
                <w:szCs w:val="18"/>
                <w:color w:val="auto"/>
                <w:w w:val="93"/>
              </w:rPr>
              <w:t>” and together with the Preferred A Shares, Preferred A-1 Shares, Preferred B-1</w:t>
            </w:r>
          </w:p>
        </w:tc>
        <w:tc>
          <w:tcPr>
            <w:tcW w:w="0" w:type="dxa"/>
            <w:vAlign w:val="bottom"/>
          </w:tcPr>
          <w:p>
            <w:pPr>
              <w:spacing w:after="0"/>
              <w:rPr>
                <w:sz w:val="1"/>
                <w:szCs w:val="1"/>
                <w:color w:val="auto"/>
              </w:rPr>
            </w:pPr>
          </w:p>
        </w:tc>
      </w:tr>
      <w:tr>
        <w:trPr>
          <w:trHeight w:val="231"/>
        </w:trPr>
        <w:tc>
          <w:tcPr>
            <w:tcW w:w="1180" w:type="dxa"/>
            <w:vAlign w:val="bottom"/>
          </w:tcPr>
          <w:p>
            <w:pPr>
              <w:spacing w:after="0"/>
              <w:rPr>
                <w:sz w:val="20"/>
                <w:szCs w:val="20"/>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rPr>
              <w:t>Shares, Preferred B-2 Shares, Preferred C Shares, and Preferred D-1 shares , the “</w:t>
            </w:r>
            <w:r>
              <w:rPr>
                <w:rFonts w:ascii="Arial" w:cs="Arial" w:eastAsia="Arial" w:hAnsi="Arial"/>
                <w:sz w:val="18"/>
                <w:szCs w:val="18"/>
                <w:b w:val="1"/>
                <w:bCs w:val="1"/>
                <w:color w:val="auto"/>
              </w:rPr>
              <w:t>Preferred Shares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88"/>
              </w:rPr>
              <w:t>the Company, the Founders and the Investors are parties to that certain Second Amended and Restated Investors Rights’ Agreement,</w:t>
            </w:r>
          </w:p>
        </w:tc>
        <w:tc>
          <w:tcPr>
            <w:tcW w:w="0" w:type="dxa"/>
            <w:vAlign w:val="bottom"/>
          </w:tcPr>
          <w:p>
            <w:pPr>
              <w:spacing w:after="0"/>
              <w:rPr>
                <w:sz w:val="1"/>
                <w:szCs w:val="1"/>
                <w:color w:val="auto"/>
              </w:rPr>
            </w:pPr>
          </w:p>
        </w:tc>
      </w:tr>
      <w:tr>
        <w:trPr>
          <w:trHeight w:val="231"/>
        </w:trPr>
        <w:tc>
          <w:tcPr>
            <w:tcW w:w="1180" w:type="dxa"/>
            <w:vAlign w:val="bottom"/>
          </w:tcPr>
          <w:p>
            <w:pPr>
              <w:spacing w:after="0"/>
              <w:rPr>
                <w:sz w:val="20"/>
                <w:szCs w:val="20"/>
                <w:color w:val="auto"/>
              </w:rPr>
            </w:pP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rPr>
              <w:t>dated as of April 30, 2020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tc>
        <w:tc>
          <w:tcPr>
            <w:tcW w:w="0" w:type="dxa"/>
            <w:vAlign w:val="bottom"/>
          </w:tcPr>
          <w:p>
            <w:pPr>
              <w:spacing w:after="0"/>
              <w:rPr>
                <w:sz w:val="1"/>
                <w:szCs w:val="1"/>
                <w:color w:val="auto"/>
              </w:rPr>
            </w:pPr>
          </w:p>
        </w:tc>
      </w:tr>
      <w:tr>
        <w:trPr>
          <w:trHeight w:val="334"/>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720" w:type="dxa"/>
            <w:vAlign w:val="bottom"/>
            <w:gridSpan w:val="3"/>
          </w:tcPr>
          <w:p>
            <w:pPr>
              <w:ind w:left="240"/>
              <w:spacing w:after="0"/>
              <w:rPr>
                <w:sz w:val="20"/>
                <w:szCs w:val="20"/>
                <w:color w:val="auto"/>
              </w:rPr>
            </w:pPr>
            <w:r>
              <w:rPr>
                <w:rFonts w:ascii="Arial" w:cs="Arial" w:eastAsia="Arial" w:hAnsi="Arial"/>
                <w:sz w:val="18"/>
                <w:szCs w:val="18"/>
                <w:color w:val="auto"/>
                <w:w w:val="92"/>
              </w:rPr>
              <w:t>the parties to the Prior Agreement wish to amend and restate in its entirety the Prior Agreement by entering into this Agreement.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hereby agree as follows:</w:t>
      </w:r>
    </w:p>
    <w:p>
      <w:pPr>
        <w:spacing w:after="0" w:line="248" w:lineRule="exact"/>
        <w:rPr>
          <w:sz w:val="20"/>
          <w:szCs w:val="20"/>
          <w:color w:val="auto"/>
        </w:rPr>
      </w:pPr>
    </w:p>
    <w:p>
      <w:pPr>
        <w:ind w:left="760" w:hanging="753"/>
        <w:spacing w:after="0"/>
        <w:tabs>
          <w:tab w:leader="none" w:pos="760"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23" w:lineRule="exact"/>
        <w:rPr>
          <w:sz w:val="20"/>
          <w:szCs w:val="20"/>
          <w:color w:val="auto"/>
        </w:rPr>
      </w:pPr>
    </w:p>
    <w:p>
      <w:pPr>
        <w:ind w:left="2180" w:right="280" w:hanging="761"/>
        <w:spacing w:after="0" w:line="340" w:lineRule="auto"/>
        <w:tabs>
          <w:tab w:leader="none" w:pos="21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Act</w:t>
      </w:r>
      <w:r>
        <w:rPr>
          <w:rFonts w:ascii="Arial" w:cs="Arial" w:eastAsia="Arial" w:hAnsi="Arial"/>
          <w:sz w:val="16"/>
          <w:szCs w:val="16"/>
          <w:color w:val="auto"/>
        </w:rPr>
        <w:t>” means the US Federal Securities Act of 1933, as amended, or equivalent securities law of another jurisdiction acceptable to the Company and to the holders of majority of the Preferred Shares on an as converted basis.</w:t>
      </w:r>
    </w:p>
    <w:p>
      <w:pPr>
        <w:spacing w:after="0" w:line="27" w:lineRule="exact"/>
        <w:rPr>
          <w:sz w:val="20"/>
          <w:szCs w:val="20"/>
          <w:color w:val="auto"/>
        </w:rPr>
      </w:pPr>
    </w:p>
    <w:p>
      <w:pPr>
        <w:ind w:left="2180" w:right="40" w:hanging="761"/>
        <w:spacing w:after="0" w:line="252" w:lineRule="auto"/>
        <w:tabs>
          <w:tab w:leader="none" w:pos="21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Adverse Disclosure</w:t>
      </w:r>
      <w:r>
        <w:rPr>
          <w:rFonts w:ascii="Arial" w:cs="Arial" w:eastAsia="Arial" w:hAnsi="Arial"/>
          <w:sz w:val="18"/>
          <w:szCs w:val="18"/>
          <w:color w:val="auto"/>
        </w:rPr>
        <w:t>” means any public disclosure of material non-public information, which disclosure, in the good faith judgment of the Company’s Chief Executive Officer or the Chief Financial Officer, after consultation with the Company’s counsel, (i) would be required to be made in any Registration Statement in order for it not to contain any untrue statement of a material fact or omit to state a material fact necessary to make the statements contained therein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97" w:lineRule="exact"/>
        <w:rPr>
          <w:sz w:val="20"/>
          <w:szCs w:val="20"/>
          <w:color w:val="auto"/>
        </w:rPr>
      </w:pPr>
    </w:p>
    <w:p>
      <w:pPr>
        <w:ind w:left="2180" w:right="60" w:hanging="761"/>
        <w:spacing w:after="0" w:line="255" w:lineRule="auto"/>
        <w:tabs>
          <w:tab w:leader="none" w:pos="21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any partners, general partner, managing member, officer or director of such person or any venture capital fund now or hereafter existing of which such person is a partner or member that is controlled by one or more general partners or managing members of, or shares the same management company with, such person.</w:t>
      </w:r>
    </w:p>
    <w:p>
      <w:pPr>
        <w:spacing w:after="0" w:line="91" w:lineRule="exact"/>
        <w:rPr>
          <w:sz w:val="20"/>
          <w:szCs w:val="20"/>
          <w:color w:val="auto"/>
        </w:rPr>
      </w:pPr>
    </w:p>
    <w:p>
      <w:pPr>
        <w:ind w:left="2180" w:right="200" w:hanging="761"/>
        <w:spacing w:after="0" w:line="340" w:lineRule="auto"/>
        <w:tabs>
          <w:tab w:leader="none" w:pos="21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Articles</w:t>
      </w:r>
      <w:r>
        <w:rPr>
          <w:rFonts w:ascii="Arial" w:cs="Arial" w:eastAsia="Arial" w:hAnsi="Arial"/>
          <w:sz w:val="16"/>
          <w:szCs w:val="16"/>
          <w:color w:val="auto"/>
        </w:rPr>
        <w:t>” means the Company’s Amended and Restated Articles of Association in effect as of the date of the Closing (as such term is defined in the Share Purchase Agreement), as may be amended from time to time.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26</w:t>
      </w:r>
    </w:p>
    <w:p>
      <w:pPr>
        <w:sectPr>
          <w:pgSz w:w="11900" w:h="16838" w:orient="portrait"/>
          <w:cols w:equalWidth="0" w:num="1">
            <w:col w:w="10920"/>
          </w:cols>
          <w:pgMar w:left="480" w:top="121" w:right="499" w:bottom="1440" w:gutter="0" w:footer="0" w:header="0"/>
        </w:sectPr>
      </w:pPr>
    </w:p>
    <w:bookmarkStart w:id="307" w:name="page308"/>
    <w:bookmarkEnd w:id="307"/>
    <w:p>
      <w:pPr>
        <w:ind w:left="66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1.1.5.</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127" w:lineRule="exact"/>
        <w:rPr>
          <w:sz w:val="20"/>
          <w:szCs w:val="20"/>
          <w:color w:val="auto"/>
        </w:rPr>
      </w:pPr>
    </w:p>
    <w:p>
      <w:pPr>
        <w:ind w:left="1420" w:right="40" w:hanging="761"/>
        <w:spacing w:after="0" w:line="306" w:lineRule="auto"/>
        <w:tabs>
          <w:tab w:leader="none" w:pos="14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(excluding Fridays, Saturdays and Sundays) on which banks are generally open in London, United Kingdom and Tel Aviv, Israel for the transaction of normal banking business.</w:t>
      </w:r>
    </w:p>
    <w:p>
      <w:pPr>
        <w:spacing w:after="0" w:line="50" w:lineRule="exact"/>
        <w:rPr>
          <w:sz w:val="20"/>
          <w:szCs w:val="20"/>
          <w:color w:val="auto"/>
        </w:rPr>
      </w:pPr>
    </w:p>
    <w:p>
      <w:pPr>
        <w:ind w:left="1420" w:right="20" w:hanging="761"/>
        <w:spacing w:after="0" w:line="261" w:lineRule="auto"/>
        <w:tabs>
          <w:tab w:leader="none" w:pos="14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terms “</w:t>
      </w:r>
      <w:r>
        <w:rPr>
          <w:rFonts w:ascii="Arial" w:cs="Arial" w:eastAsia="Arial" w:hAnsi="Arial"/>
          <w:sz w:val="18"/>
          <w:szCs w:val="18"/>
          <w:b w:val="1"/>
          <w:bCs w:val="1"/>
          <w:color w:val="auto"/>
        </w:rPr>
        <w:t>Form S-3</w:t>
      </w:r>
      <w:r>
        <w:rPr>
          <w:rFonts w:ascii="Arial" w:cs="Arial" w:eastAsia="Arial" w:hAnsi="Arial"/>
          <w:sz w:val="18"/>
          <w:szCs w:val="18"/>
          <w:color w:val="auto"/>
        </w:rPr>
        <w:t>” and “</w:t>
      </w:r>
      <w:r>
        <w:rPr>
          <w:rFonts w:ascii="Arial" w:cs="Arial" w:eastAsia="Arial" w:hAnsi="Arial"/>
          <w:sz w:val="18"/>
          <w:szCs w:val="18"/>
          <w:b w:val="1"/>
          <w:bCs w:val="1"/>
          <w:color w:val="auto"/>
        </w:rPr>
        <w:t>Form F-3</w:t>
      </w:r>
      <w:r>
        <w:rPr>
          <w:rFonts w:ascii="Arial" w:cs="Arial" w:eastAsia="Arial" w:hAnsi="Arial"/>
          <w:sz w:val="18"/>
          <w:szCs w:val="18"/>
          <w:color w:val="auto"/>
        </w:rPr>
        <w:t>” mean such form under the Act as in effect on the date hereof or any registration form under the Act subsequently adopted by the SEC that permits inclusion or incorporation of substantial information by reference to other documents filed or furnished by the Company to, the SEC.</w:t>
      </w:r>
    </w:p>
    <w:p>
      <w:pPr>
        <w:spacing w:after="0" w:line="87" w:lineRule="exact"/>
        <w:rPr>
          <w:sz w:val="20"/>
          <w:szCs w:val="20"/>
          <w:color w:val="auto"/>
        </w:rPr>
      </w:pPr>
    </w:p>
    <w:p>
      <w:pPr>
        <w:ind w:left="1420" w:right="740" w:hanging="761"/>
        <w:spacing w:after="0" w:line="275" w:lineRule="auto"/>
        <w:tabs>
          <w:tab w:leader="none" w:pos="14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person owning Registrable Securities or any assignee thereof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hereof.</w:t>
      </w:r>
    </w:p>
    <w:p>
      <w:pPr>
        <w:spacing w:after="0" w:line="74" w:lineRule="exact"/>
        <w:rPr>
          <w:sz w:val="20"/>
          <w:szCs w:val="20"/>
          <w:color w:val="auto"/>
        </w:rPr>
      </w:pPr>
    </w:p>
    <w:p>
      <w:pPr>
        <w:ind w:left="1420" w:right="360" w:hanging="761"/>
        <w:spacing w:after="0" w:line="261" w:lineRule="auto"/>
        <w:tabs>
          <w:tab w:leader="none" w:pos="14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Initial Offering</w:t>
      </w:r>
      <w:r>
        <w:rPr>
          <w:rFonts w:ascii="Arial" w:cs="Arial" w:eastAsia="Arial" w:hAnsi="Arial"/>
          <w:sz w:val="18"/>
          <w:szCs w:val="18"/>
          <w:color w:val="auto"/>
        </w:rPr>
        <w:t>” or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Act or under equivalent securities law of another jurisdiction acceptable to holders of majority of the Company’s Preferred Shares on an as converted basis.</w:t>
      </w:r>
    </w:p>
    <w:p>
      <w:pPr>
        <w:spacing w:after="0" w:line="87" w:lineRule="exact"/>
        <w:rPr>
          <w:sz w:val="20"/>
          <w:szCs w:val="20"/>
          <w:color w:val="auto"/>
        </w:rPr>
      </w:pPr>
    </w:p>
    <w:p>
      <w:pPr>
        <w:ind w:left="1420" w:right="100" w:hanging="761"/>
        <w:spacing w:after="0" w:line="340" w:lineRule="auto"/>
        <w:tabs>
          <w:tab w:leader="none" w:pos="14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Misstatement</w:t>
      </w:r>
      <w:r>
        <w:rPr>
          <w:rFonts w:ascii="Arial" w:cs="Arial" w:eastAsia="Arial" w:hAnsi="Arial"/>
          <w:sz w:val="16"/>
          <w:szCs w:val="16"/>
          <w:color w:val="auto"/>
        </w:rPr>
        <w:t>” means an untrue statement of a material fact or an omission to state a material fact required to be stated in a Registration Statement or necessary to make the statements in a Registration Statement not misleading.</w:t>
      </w:r>
    </w:p>
    <w:p>
      <w:pPr>
        <w:spacing w:after="0" w:line="2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Ordinary Shares</w:t>
      </w:r>
      <w:r>
        <w:rPr>
          <w:rFonts w:ascii="Arial" w:cs="Arial" w:eastAsia="Arial" w:hAnsi="Arial"/>
          <w:sz w:val="16"/>
          <w:szCs w:val="16"/>
          <w:color w:val="auto"/>
        </w:rPr>
        <w:t>” shall have the meaning set forth in the Articles.</w:t>
      </w:r>
    </w:p>
    <w:p>
      <w:pPr>
        <w:spacing w:after="0" w:line="127" w:lineRule="exact"/>
        <w:rPr>
          <w:sz w:val="20"/>
          <w:szCs w:val="20"/>
          <w:color w:val="auto"/>
        </w:rPr>
      </w:pPr>
    </w:p>
    <w:p>
      <w:pPr>
        <w:ind w:left="1420" w:right="80" w:hanging="761"/>
        <w:spacing w:after="0" w:line="261" w:lineRule="auto"/>
        <w:tabs>
          <w:tab w:leader="none" w:pos="1400" w:val="left"/>
        </w:tabs>
        <w:rPr>
          <w:sz w:val="20"/>
          <w:szCs w:val="20"/>
          <w:color w:val="auto"/>
        </w:rPr>
      </w:pPr>
      <w:r>
        <w:rPr>
          <w:rFonts w:ascii="Arial" w:cs="Arial" w:eastAsia="Arial" w:hAnsi="Arial"/>
          <w:sz w:val="18"/>
          <w:szCs w:val="18"/>
          <w:color w:val="auto"/>
        </w:rPr>
        <w:t>1.1.12.</w:t>
        <w:tab/>
        <w:t>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87" w:lineRule="exact"/>
        <w:rPr>
          <w:sz w:val="20"/>
          <w:szCs w:val="20"/>
          <w:color w:val="auto"/>
        </w:rPr>
      </w:pPr>
    </w:p>
    <w:p>
      <w:pPr>
        <w:ind w:left="1420" w:right="40" w:hanging="761"/>
        <w:spacing w:after="0" w:line="268" w:lineRule="auto"/>
        <w:tabs>
          <w:tab w:leader="none" w:pos="140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Ordinary Shares issuable or issued upon conversion of the Preferred Shares and all Ordinary Shares that the holders of Preferred Shares may hereafter purchase pursuant to their rights of first offer or rights of first refusal, and (ii) any Ordinary Shares issued as (or issuable upon the conversion or exercise of any warrant, right or other security that is issued as) a dividend or other distribution with respect to, or in exchange for, or in replacement of, the shares referenced in (i) above; provided, however, that, as to any particular Registrable Securities, such securities shall cease to be Registrable Securities upon the earliest to occur of: (a) such securities having been sold by a person in a transaction in which the registration rights under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are not duly assigned, and (b) such securities becoming available for resale without restriction pursuant to Rule 144 under the Act (or similar rule) and no longer bearing any restrictive legend.</w:t>
      </w:r>
    </w:p>
    <w:p>
      <w:pPr>
        <w:spacing w:after="0" w:line="82" w:lineRule="exact"/>
        <w:rPr>
          <w:sz w:val="20"/>
          <w:szCs w:val="20"/>
          <w:color w:val="auto"/>
        </w:rPr>
      </w:pPr>
    </w:p>
    <w:p>
      <w:pPr>
        <w:ind w:left="1420" w:right="380" w:hanging="761"/>
        <w:spacing w:after="0" w:line="306" w:lineRule="auto"/>
        <w:tabs>
          <w:tab w:leader="none" w:pos="14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The number of shares of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shall be determined by the number of Ordinary Shares outstanding, which are Registrable Securities, calculated on an as-converted basis.</w:t>
      </w:r>
    </w:p>
    <w:p>
      <w:pPr>
        <w:spacing w:after="0" w:line="50" w:lineRule="exact"/>
        <w:rPr>
          <w:sz w:val="20"/>
          <w:szCs w:val="20"/>
          <w:color w:val="auto"/>
        </w:rPr>
      </w:pPr>
    </w:p>
    <w:p>
      <w:pPr>
        <w:ind w:left="1420" w:hanging="761"/>
        <w:spacing w:after="0" w:line="275" w:lineRule="auto"/>
        <w:tabs>
          <w:tab w:leader="none" w:pos="1400" w:val="left"/>
        </w:tabs>
        <w:rPr>
          <w:sz w:val="20"/>
          <w:szCs w:val="20"/>
          <w:color w:val="auto"/>
        </w:rPr>
      </w:pPr>
      <w:r>
        <w:rPr>
          <w:rFonts w:ascii="Arial" w:cs="Arial" w:eastAsia="Arial" w:hAnsi="Arial"/>
          <w:sz w:val="18"/>
          <w:szCs w:val="18"/>
          <w:color w:val="auto"/>
        </w:rPr>
        <w:t>1.1.15.</w:t>
        <w:tab/>
        <w:t>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filed with the SEC on Form S-1, F-1, S-3 or F-3, and the accompanying prospectus and any materials incorporated therein by reference.</w:t>
      </w:r>
    </w:p>
    <w:p>
      <w:pPr>
        <w:spacing w:after="0" w:line="7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SEC</w:t>
      </w:r>
      <w:r>
        <w:rPr>
          <w:rFonts w:ascii="Arial" w:cs="Arial" w:eastAsia="Arial" w:hAnsi="Arial"/>
          <w:sz w:val="16"/>
          <w:szCs w:val="16"/>
          <w:color w:val="auto"/>
        </w:rPr>
        <w:t>” means the US Securities and Exchange Commission.</w:t>
      </w:r>
    </w:p>
    <w:p>
      <w:pPr>
        <w:spacing w:after="0" w:line="127" w:lineRule="exact"/>
        <w:rPr>
          <w:sz w:val="20"/>
          <w:szCs w:val="20"/>
          <w:color w:val="auto"/>
        </w:rPr>
      </w:pPr>
    </w:p>
    <w:p>
      <w:pPr>
        <w:ind w:left="1420" w:right="120" w:hanging="761"/>
        <w:spacing w:after="0" w:line="306" w:lineRule="auto"/>
        <w:tabs>
          <w:tab w:leader="none" w:pos="140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1934 Act</w:t>
      </w:r>
      <w:r>
        <w:rPr>
          <w:rFonts w:ascii="Arial" w:cs="Arial" w:eastAsia="Arial" w:hAnsi="Arial"/>
          <w:sz w:val="17"/>
          <w:szCs w:val="17"/>
          <w:color w:val="auto"/>
        </w:rPr>
        <w:t>” means the US federal Securities Exchange Act of 1934, as amended or equivalent securities law of another jurisdiction acceptable to the holders of majority of the Preferred Shares on an as converted basis.</w:t>
      </w:r>
    </w:p>
    <w:p>
      <w:pPr>
        <w:spacing w:after="0" w:line="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2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xml:space="preserve">Subject to the conditions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if the Company shall receive a written request (i) at any time after six</w:t>
      </w:r>
    </w:p>
    <w:p>
      <w:pPr>
        <w:spacing w:after="0" w:line="20" w:lineRule="exact"/>
        <w:rPr>
          <w:sz w:val="20"/>
          <w:szCs w:val="20"/>
          <w:color w:val="auto"/>
        </w:rPr>
      </w:pPr>
    </w:p>
    <w:p>
      <w:pPr>
        <w:jc w:val="both"/>
        <w:ind w:left="1420" w:right="80" w:firstLine="7"/>
        <w:spacing w:after="0" w:line="252" w:lineRule="auto"/>
        <w:tabs>
          <w:tab w:leader="none" w:pos="16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months of the effective date of an Initial Offering, from the Holders of at least 30% of the Registrable Securities then outstanding, or (ii) at any time prior to the passage of six (6) months after the effective date of an Initial Offering, subject to restrictions imposed by the underwriters in connection with the</w:t>
      </w:r>
    </w:p>
    <w:p>
      <w:pPr>
        <w:spacing w:after="0" w:line="124"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2 of 26</w:t>
      </w:r>
    </w:p>
    <w:p>
      <w:pPr>
        <w:sectPr>
          <w:pgSz w:w="11900" w:h="16838" w:orient="portrait"/>
          <w:cols w:equalWidth="0" w:num="1">
            <w:col w:w="10140"/>
          </w:cols>
          <w:pgMar w:left="1240" w:top="268" w:right="519" w:bottom="1440" w:gutter="0" w:footer="0" w:header="0"/>
        </w:sectPr>
      </w:pPr>
    </w:p>
    <w:bookmarkStart w:id="308" w:name="page309"/>
    <w:bookmarkEnd w:id="308"/>
    <w:p>
      <w:pPr>
        <w:ind w:left="1220" w:right="1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Initial Offering (whether such restrictions terminate by their terms or are waived by the underwriters)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from the Holders of at least 75% of the Registrable Securities then outstanding (the Holders delivering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request under items (i) or (ii), as applicable, being referred to herein as the “</w:t>
      </w:r>
      <w:r>
        <w:rPr>
          <w:rFonts w:ascii="Arial" w:cs="Arial" w:eastAsia="Arial" w:hAnsi="Arial"/>
          <w:sz w:val="17"/>
          <w:szCs w:val="17"/>
          <w:b w:val="1"/>
          <w:bCs w:val="1"/>
          <w:color w:val="auto"/>
        </w:rPr>
        <w:t>Initiating Holders</w:t>
      </w:r>
      <w:r>
        <w:rPr>
          <w:rFonts w:ascii="Arial" w:cs="Arial" w:eastAsia="Arial" w:hAnsi="Arial"/>
          <w:sz w:val="17"/>
          <w:szCs w:val="17"/>
          <w:color w:val="auto"/>
        </w:rPr>
        <w:t xml:space="preserve">”) that the Company file a registration statement under the Act (or under equivalent securities law of another jurisdiction) covering the registration of Registrable Securities, then the Company shall, within twenty (20) days of the receipt thereof, give written notice of such request to all Holders, and subject to the limitations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use all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86" w:lineRule="exact"/>
        <w:rPr>
          <w:sz w:val="20"/>
          <w:szCs w:val="20"/>
          <w:color w:val="auto"/>
        </w:rPr>
      </w:pPr>
    </w:p>
    <w:p>
      <w:pPr>
        <w:ind w:left="1220" w:right="160" w:hanging="761"/>
        <w:spacing w:after="0" w:line="283" w:lineRule="auto"/>
        <w:tabs>
          <w:tab w:leader="none" w:pos="12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 xml:space="preserve">If the Initiating Holders intend to distribute the Registrable Securities covered by their request by means of an underwriting or an “at the market” or similar registered offering through a broker, sales agent or distribution agent, whether as agent or principal or sale by a broker, placement agent or sales agent, they shall so advise the Company as a part of their request made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the Company shall include such information in the written notice referred to in </w:t>
      </w:r>
      <w:r>
        <w:rPr>
          <w:rFonts w:ascii="Arial" w:cs="Arial" w:eastAsia="Arial" w:hAnsi="Arial"/>
          <w:sz w:val="16"/>
          <w:szCs w:val="16"/>
          <w:u w:val="single" w:color="auto"/>
          <w:color w:val="auto"/>
        </w:rPr>
        <w:t>Section 1.2.1</w:t>
      </w:r>
      <w:r>
        <w:rPr>
          <w:rFonts w:ascii="Arial" w:cs="Arial" w:eastAsia="Arial" w:hAnsi="Arial"/>
          <w:sz w:val="16"/>
          <w:szCs w:val="16"/>
          <w:color w:val="auto"/>
        </w:rPr>
        <w:t>. In such event the right of any Holder to include its Registrable Securities in such registration shall be conditioned upon such Holder’s participation in such underwriting or other arrangement and the inclusion of such Holder’s Registrable Securities in the underwriting or other arrangement (unless otherwise mutually agreed by a majority in interest of the Initiating Holders and such Holder) to the extent provided herein. If an underwriting is specified, all Holders proposing to distribute their securities through an underwriting shall enter into an underwriting agreement in customary form with the underwriter or underwriters selected for such underwriting by the Company and reasonably acceptable to a majority in interest of the Initiating Holders. If another form of registered offering is specified, all Holders proposing to participate in such offering shall cooperate with and enter into any documentation recommended by the brokers, sales agents or placement agents and take all actions requested to facilitate the preparation of the offering documentation.</w:t>
      </w:r>
    </w:p>
    <w:p>
      <w:pPr>
        <w:spacing w:after="0" w:line="79" w:lineRule="exact"/>
        <w:rPr>
          <w:sz w:val="20"/>
          <w:szCs w:val="20"/>
          <w:color w:val="auto"/>
        </w:rPr>
      </w:pPr>
    </w:p>
    <w:p>
      <w:pPr>
        <w:ind w:left="1220" w:hanging="761"/>
        <w:spacing w:after="0" w:line="265" w:lineRule="auto"/>
        <w:tabs>
          <w:tab w:leader="none" w:pos="12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 xml:space="preserve">If the underwriter or other adviser advises the Company that marketing factors require a limitation of the number of securities underwritten or marketed (including Registrable Securities), then the Company shall so advise all Holders of Registrable Securities that would otherwise be underwritten or marketed pursuant hereto, and the number of shares that may be included in the underwriting or other offering shall be allocated: (a) first, to the Initiating Holders on a pro rata basis based on the number of Registrable Securities held by all such Initiating Holders, (b) second, to the other Holders of such Registrable Securities who requested to participate in such registration on a pro rata basis based on the number of Registrable Securities held by all such Holders (including the Initiating Holders), and (c) then to any other holder of securities of the Company, including any shares the Company wishes to register for its own benefit;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(x) the amount of Registrable Securities included in the offering be reduced below thirty three percent (33%) of the total amount of securities included in such offering, nor (y) the amount of Registrable Securities included in the registration be reduced unless all other securities requested to be registered by any holder other than the Company are first excluded from such registration. Any Registrable Securities excluded or withdrawn from such underwriting or offering shall be withdrawn from the registration.</w:t>
      </w:r>
    </w:p>
    <w:p>
      <w:pPr>
        <w:spacing w:after="0" w:line="96" w:lineRule="exact"/>
        <w:rPr>
          <w:sz w:val="20"/>
          <w:szCs w:val="20"/>
          <w:color w:val="auto"/>
        </w:rPr>
      </w:pPr>
    </w:p>
    <w:p>
      <w:pPr>
        <w:ind w:left="1220" w:right="160" w:hanging="761"/>
        <w:spacing w:after="0" w:line="271" w:lineRule="auto"/>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The Holders’ rights to use their registration rights shall be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the Company shall not be required to effect a registration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81" w:lineRule="exact"/>
        <w:rPr>
          <w:sz w:val="20"/>
          <w:szCs w:val="20"/>
          <w:color w:val="auto"/>
        </w:rPr>
      </w:pPr>
    </w:p>
    <w:p>
      <w:pPr>
        <w:ind w:left="1860" w:right="80" w:hanging="641"/>
        <w:spacing w:after="0" w:line="259" w:lineRule="auto"/>
        <w:rPr>
          <w:sz w:val="20"/>
          <w:szCs w:val="20"/>
          <w:color w:val="auto"/>
        </w:rPr>
      </w:pPr>
      <w:r>
        <w:rPr>
          <w:rFonts w:ascii="Arial" w:cs="Arial" w:eastAsia="Arial" w:hAnsi="Arial"/>
          <w:sz w:val="18"/>
          <w:szCs w:val="18"/>
          <w:color w:val="auto"/>
        </w:rPr>
        <w:t>1.2.4.1. 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3 of 26</w:t>
      </w:r>
    </w:p>
    <w:p>
      <w:pPr>
        <w:sectPr>
          <w:pgSz w:w="11900" w:h="16838" w:orient="portrait"/>
          <w:cols w:equalWidth="0" w:num="1">
            <w:col w:w="9960"/>
          </w:cols>
          <w:pgMar w:left="1440" w:top="268" w:right="499" w:bottom="1440" w:gutter="0" w:footer="0" w:header="0"/>
        </w:sectPr>
      </w:pPr>
    </w:p>
    <w:bookmarkStart w:id="309" w:name="page310"/>
    <w:bookmarkEnd w:id="309"/>
    <w:p>
      <w:pPr>
        <w:ind w:left="1860" w:right="180" w:hanging="641"/>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1.2.4.2. during the Initial Period if the Company has effected one (1) registration pursuant to this Section 1.2, and such registration has been declared or ordered effective; or</w:t>
      </w:r>
    </w:p>
    <w:p>
      <w:pPr>
        <w:spacing w:after="0" w:line="81" w:lineRule="exact"/>
        <w:rPr>
          <w:sz w:val="20"/>
          <w:szCs w:val="20"/>
          <w:color w:val="auto"/>
        </w:rPr>
      </w:pPr>
    </w:p>
    <w:p>
      <w:pPr>
        <w:ind w:left="1860" w:hanging="641"/>
        <w:spacing w:after="0" w:line="259" w:lineRule="auto"/>
        <w:rPr>
          <w:sz w:val="20"/>
          <w:szCs w:val="20"/>
          <w:color w:val="auto"/>
        </w:rPr>
      </w:pPr>
      <w:r>
        <w:rPr>
          <w:rFonts w:ascii="Arial" w:cs="Arial" w:eastAsia="Arial" w:hAnsi="Arial"/>
          <w:sz w:val="18"/>
          <w:szCs w:val="18"/>
          <w:color w:val="auto"/>
        </w:rPr>
        <w:t xml:space="preserve">1.2.4.3. after the Company has effected at least one (1) registration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during such calendar year or in the three (3) months prior to the date of the receipt of the request to register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such registrations have been declared or ordered effective; or</w:t>
      </w:r>
    </w:p>
    <w:p>
      <w:pPr>
        <w:spacing w:after="0" w:line="92" w:lineRule="exact"/>
        <w:rPr>
          <w:sz w:val="20"/>
          <w:szCs w:val="20"/>
          <w:color w:val="auto"/>
        </w:rPr>
      </w:pPr>
    </w:p>
    <w:p>
      <w:pPr>
        <w:ind w:left="1860" w:right="60" w:hanging="641"/>
        <w:spacing w:after="0" w:line="297" w:lineRule="auto"/>
        <w:rPr>
          <w:sz w:val="20"/>
          <w:szCs w:val="20"/>
          <w:color w:val="auto"/>
        </w:rPr>
      </w:pPr>
      <w:r>
        <w:rPr>
          <w:rFonts w:ascii="Arial" w:cs="Arial" w:eastAsia="Arial" w:hAnsi="Arial"/>
          <w:sz w:val="16"/>
          <w:szCs w:val="16"/>
          <w:color w:val="auto"/>
        </w:rPr>
        <w:t xml:space="preserve">1.2.4.4. during the period starting with the date that is sixty (60) days prior to the Company’s good faith estimate of the date of the filing of, and ending on a date that is ninety (90) days following the effective date of, a Company-initiated registration (subject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 or</w:t>
      </w:r>
    </w:p>
    <w:p>
      <w:pPr>
        <w:spacing w:after="0" w:line="66" w:lineRule="exact"/>
        <w:rPr>
          <w:sz w:val="20"/>
          <w:szCs w:val="20"/>
          <w:color w:val="auto"/>
        </w:rPr>
      </w:pPr>
    </w:p>
    <w:p>
      <w:pPr>
        <w:jc w:val="both"/>
        <w:ind w:left="1860" w:right="40" w:hanging="641"/>
        <w:spacing w:after="0" w:line="284" w:lineRule="auto"/>
        <w:rPr>
          <w:sz w:val="20"/>
          <w:szCs w:val="20"/>
          <w:color w:val="auto"/>
        </w:rPr>
      </w:pPr>
      <w:r>
        <w:rPr>
          <w:rFonts w:ascii="Arial" w:cs="Arial" w:eastAsia="Arial" w:hAnsi="Arial"/>
          <w:sz w:val="16"/>
          <w:szCs w:val="16"/>
          <w:color w:val="auto"/>
        </w:rPr>
        <w:t>1.2.4.5. if the Initiating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(i) US$5,000,000 or</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(ii) US$50,000,000 during the Initial Period.</w:t>
      </w:r>
    </w:p>
    <w:p>
      <w:pPr>
        <w:spacing w:after="0" w:line="115" w:lineRule="exact"/>
        <w:rPr>
          <w:sz w:val="20"/>
          <w:szCs w:val="20"/>
          <w:color w:val="auto"/>
        </w:rPr>
      </w:pPr>
    </w:p>
    <w:p>
      <w:pPr>
        <w:ind w:left="460" w:hanging="641"/>
        <w:spacing w:after="0" w:line="282"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(but without any obligation to do so) at any time after the completion of the Initial Offering, subject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restrictions imposed by the underwriters in connection with the Initial Offering (whether such restrictions terminate by their terms or are waived by the underwriters), the Company proposes to register (including for this purpose a registration effected by the Company for shareholders other than the Holders) any of its shares or other securities under the Act (or under equivalent securities law of another jurisdiction) in connection with the public offering of such securities (other than a registration relating solely to the sale of securities to participants in an employee benefit plan, a registration relating to a corporate reorganization or other transaction under Rule 145 of the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 Company shall, at such time, promptly give each Holder a written notice of such registration. Upon the written request of each Holder given within twenty (20) days after mailing of such notice by the Company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the Company shall, subject to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do all necessary actions in order to cause to be registered under the Act all of the Registrable Securities that each such Holder has requested to be registered (subject, in the case of registering shares or other securities under the Act (or under equivalent securities law of another jurisdiction) during the six (6) months after the effective date of the Initial Offering, to the restrictions imposed by the underwriters in connection with the Initial Offering (whether such restrictions terminate by their terms or are waived by the underwriters)).</w:t>
      </w:r>
    </w:p>
    <w:p>
      <w:pPr>
        <w:spacing w:after="0" w:line="85" w:lineRule="exact"/>
        <w:rPr>
          <w:sz w:val="20"/>
          <w:szCs w:val="20"/>
          <w:color w:val="auto"/>
        </w:rPr>
      </w:pPr>
    </w:p>
    <w:p>
      <w:pPr>
        <w:ind w:left="1220" w:right="100" w:hanging="761"/>
        <w:spacing w:after="0" w:line="253" w:lineRule="auto"/>
        <w:tabs>
          <w:tab w:leader="none" w:pos="12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The Company shall have the right to terminate or withdraw any registration initiated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it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prior to the effectiveness of such registration, whether or not any Holder has elected to include securities in such registration, which termination or withdrawal shall not, in itself, impose liability on the Company towards any Holder. The expenses of such withdrawn registration shall be borne by the Company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hereof.</w:t>
      </w:r>
    </w:p>
    <w:p>
      <w:pPr>
        <w:spacing w:after="0" w:line="99" w:lineRule="exact"/>
        <w:rPr>
          <w:sz w:val="20"/>
          <w:szCs w:val="20"/>
          <w:color w:val="auto"/>
        </w:rPr>
      </w:pPr>
    </w:p>
    <w:p>
      <w:pPr>
        <w:ind w:left="1220" w:right="40" w:hanging="761"/>
        <w:spacing w:after="0" w:line="253" w:lineRule="auto"/>
        <w:tabs>
          <w:tab w:leader="none" w:pos="12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 In connection with any offering involving an underwriting of shares of the Company’s share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capital, the Company shall not be required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to include any of the Holders’ securities in such underwriting unless they accept the terms of the underwriting, in customary form, as agreed upon between the Company and the underwriters selected by it and approved by a majority in interest of Holders of Registrable Securities, and enter into such underwriting agreement, and then</w:t>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4 of 26</w:t>
      </w:r>
    </w:p>
    <w:p>
      <w:pPr>
        <w:sectPr>
          <w:pgSz w:w="11900" w:h="16838" w:orient="portrait"/>
          <w:cols w:equalWidth="0" w:num="1">
            <w:col w:w="9920"/>
          </w:cols>
          <w:pgMar w:left="1440" w:top="272" w:right="539" w:bottom="1440" w:gutter="0" w:footer="0" w:header="0"/>
        </w:sectPr>
      </w:pPr>
    </w:p>
    <w:bookmarkStart w:id="310" w:name="page311"/>
    <w:bookmarkEnd w:id="310"/>
    <w:p>
      <w:pPr>
        <w:ind w:left="12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only in such quantity as the underwriters determine in their sole discretion will not materially and adversely jeopardize the success of the offering by the Company. If the total amount of securities, including Registrable Securities requested by Holders to be included in such offering, exceeds the amount of securities sold other than by the Company that the underwriters determine in their sole discretion could materially and adversely jeopardize the success of the offering, then the Company shall be required to include in the offering only that number of such securities, including Registrable Securities, that the underwriters determine in their sole discretion will not materially and adversely jeopardize the success of the offering, the securities so included to be first apportioned among the Holders of Registrable Securities held by the Investors requested to be included in such offering, on a pro rata basis relative to their holding among the Preferred Shares, and thereafter among the holders of Registrable Securities held by other shareholders requested to be included in such offering, on a pro rata basis relative to their holding in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no event shall (x) the amount of Registrable Securities to be included in the offering be reduced below thirty three percent (33%) of the total amount of securities included in such offering, unless such offering is the Initial Offering, in which case the Registrable Securities may be excluded if the underwriters make the determination described above and no other shareholder’s securities are included, and (y) the amount of Registrable Securities included in the registration be reduced unless all other securities requested to be registered by any holder other than the Company are first excluded from such registration.</w:t>
      </w:r>
    </w:p>
    <w:p>
      <w:pPr>
        <w:spacing w:after="0" w:line="76" w:lineRule="exact"/>
        <w:rPr>
          <w:sz w:val="20"/>
          <w:szCs w:val="20"/>
          <w:color w:val="auto"/>
        </w:rPr>
      </w:pPr>
    </w:p>
    <w:p>
      <w:pPr>
        <w:ind w:left="1220" w:right="60" w:hanging="761"/>
        <w:spacing w:after="0" w:line="290" w:lineRule="auto"/>
        <w:tabs>
          <w:tab w:leader="none" w:pos="12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For purposes of the preceding section concerning apportionment, for any shareholder that is a Holder of Registrable Securities that is a partnership or corporation, the partners, retired partners and shareholders of such Holder, or the estates and family members of any such partners and retired partners and any trusts for the benefit of any of the foregoing persons or any entity that controls or is controlled by or is under common control or management with the respective Holder, shall be deemed to be a single “Holder,” as applicable and any pro rata reduction with respect to such “Holder” shall be based upon the aggregate amount of Registrable Securities owned by all such related entities and individuals.</w:t>
      </w:r>
    </w:p>
    <w:p>
      <w:pPr>
        <w:spacing w:after="0" w:line="70" w:lineRule="exact"/>
        <w:rPr>
          <w:sz w:val="20"/>
          <w:szCs w:val="20"/>
          <w:color w:val="auto"/>
        </w:rPr>
      </w:pPr>
    </w:p>
    <w:p>
      <w:pPr>
        <w:ind w:left="460" w:right="180" w:hanging="641"/>
        <w:spacing w:after="0" w:line="252"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auto"/>
        </w:rPr>
        <w:t>Form S-3 or Form F-3 Registration</w:t>
      </w:r>
      <w:r>
        <w:rPr>
          <w:rFonts w:ascii="Arial" w:cs="Arial" w:eastAsia="Arial" w:hAnsi="Arial"/>
          <w:sz w:val="18"/>
          <w:szCs w:val="18"/>
          <w:color w:val="auto"/>
        </w:rPr>
        <w:t>. At any time beginning six (6) months following the closing of an IPO, in case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shall receive from any of the Initiating Holders (as such term is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above), a written request or requests that the Company effect a shelf registration on Form S-3 or Form F-3 (a “</w:t>
      </w:r>
      <w:r>
        <w:rPr>
          <w:rFonts w:ascii="Arial" w:cs="Arial" w:eastAsia="Arial" w:hAnsi="Arial"/>
          <w:sz w:val="18"/>
          <w:szCs w:val="18"/>
          <w:b w:val="1"/>
          <w:bCs w:val="1"/>
          <w:color w:val="auto"/>
        </w:rPr>
        <w:t>Shelf Registration</w:t>
      </w:r>
      <w:r>
        <w:rPr>
          <w:rFonts w:ascii="Arial" w:cs="Arial" w:eastAsia="Arial" w:hAnsi="Arial"/>
          <w:sz w:val="18"/>
          <w:szCs w:val="18"/>
          <w:color w:val="auto"/>
        </w:rPr>
        <w:t>”) to cover the resale of all the Registrable Securities (determined as of two (2) business days prior to such submission or filing) on a delayed or continuous basis, and any related qualification or compliance with respect to all or a part of the Registrable Securities owned by such Holder or Holders, the Company shall:</w:t>
      </w:r>
    </w:p>
    <w:p>
      <w:pPr>
        <w:spacing w:after="0" w:line="100" w:lineRule="exact"/>
        <w:rPr>
          <w:sz w:val="20"/>
          <w:szCs w:val="20"/>
          <w:color w:val="auto"/>
        </w:rPr>
      </w:pPr>
    </w:p>
    <w:p>
      <w:pPr>
        <w:ind w:left="1220" w:right="240" w:hanging="761"/>
        <w:spacing w:after="0" w:line="271" w:lineRule="auto"/>
        <w:tabs>
          <w:tab w:leader="none" w:pos="12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within ten (10) days after receipt of any such request, give a written notice of the proposed registration, and any related qualification or compliance, to all other Holders; and</w:t>
      </w:r>
    </w:p>
    <w:p>
      <w:pPr>
        <w:spacing w:after="0" w:line="81" w:lineRule="exact"/>
        <w:rPr>
          <w:sz w:val="20"/>
          <w:szCs w:val="20"/>
          <w:color w:val="auto"/>
        </w:rPr>
      </w:pPr>
    </w:p>
    <w:p>
      <w:pPr>
        <w:ind w:left="1220" w:hanging="761"/>
        <w:spacing w:after="0" w:line="266" w:lineRule="auto"/>
        <w:tabs>
          <w:tab w:leader="none" w:pos="12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 xml:space="preserve">use all commercially reasonable efforts to effect, as soon as practicable (but not later than ninety (90) days following a request), such registration and all such qualifications and compliances as may be so requested and as would permit or facilitate the sale and distribution of all or such portion of all Holders’ Registrable Securities on a delayed or continuous basis pursuant to any method or combination of methods legally available to, and requested by, any Holder named therein, subject to the restrictions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The Company shall use commercially reasonable efforts to maintain the Shelf Registration in accordance with the terms hereof and shall prepare and file with the SEC such amendments, including post-effective amendments, and supplements as may be necessary to keep a Shelf Registration continuously effective, available for use to permit the Holders named therein to sell their Registrable Securities included therein and in compliance with the provisions of the Act until such time as there are no longer any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qualification or compliance,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9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1.4.2.1. if Form S-3 or Form F-3 is not available for such offering by the Holders;</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5 of 26</w:t>
      </w:r>
    </w:p>
    <w:p>
      <w:pPr>
        <w:sectPr>
          <w:pgSz w:w="11900" w:h="16838" w:orient="portrait"/>
          <w:cols w:equalWidth="0" w:num="1">
            <w:col w:w="9960"/>
          </w:cols>
          <w:pgMar w:left="1440" w:top="272" w:right="499" w:bottom="1440" w:gutter="0" w:footer="0" w:header="0"/>
        </w:sectPr>
      </w:pPr>
    </w:p>
    <w:bookmarkStart w:id="311" w:name="page312"/>
    <w:bookmarkEnd w:id="311"/>
    <w:p>
      <w:pPr>
        <w:ind w:left="2060" w:right="180" w:hanging="641"/>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1.4.2.2. in any particular jurisdiction in which the Company would be required to qualify to do business or to execute a general consent to service of process in effecting such registration, qualification or compliance;</w:t>
      </w:r>
    </w:p>
    <w:p>
      <w:pPr>
        <w:spacing w:after="0" w:line="58" w:lineRule="exact"/>
        <w:rPr>
          <w:sz w:val="20"/>
          <w:szCs w:val="20"/>
          <w:color w:val="auto"/>
        </w:rPr>
      </w:pPr>
    </w:p>
    <w:p>
      <w:pPr>
        <w:ind w:left="2060" w:hanging="641"/>
        <w:spacing w:after="0" w:line="293" w:lineRule="auto"/>
        <w:rPr>
          <w:sz w:val="20"/>
          <w:szCs w:val="20"/>
          <w:color w:val="auto"/>
        </w:rPr>
      </w:pPr>
      <w:r>
        <w:rPr>
          <w:rFonts w:ascii="Arial" w:cs="Arial" w:eastAsia="Arial" w:hAnsi="Arial"/>
          <w:sz w:val="16"/>
          <w:szCs w:val="16"/>
          <w:color w:val="auto"/>
        </w:rPr>
        <w:t xml:space="preserve">1.4.2.3. during the period starting on the date that is sixty (60) days prior to the Company’s estimated date of filing of, and ending on the date that is one hundred and ninety (190) days following the effective date of, any registration statement pertaining to securities of the Company (other than a registration of securities in a Rule 145 transaction or with respect to an employee benefit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 or</w:t>
      </w:r>
    </w:p>
    <w:p>
      <w:pPr>
        <w:spacing w:after="0" w:line="67" w:lineRule="exact"/>
        <w:rPr>
          <w:sz w:val="20"/>
          <w:szCs w:val="20"/>
          <w:color w:val="auto"/>
        </w:rPr>
      </w:pPr>
    </w:p>
    <w:p>
      <w:pPr>
        <w:jc w:val="both"/>
        <w:ind w:left="2060" w:right="80" w:hanging="641"/>
        <w:spacing w:after="0" w:line="307" w:lineRule="auto"/>
        <w:rPr>
          <w:sz w:val="20"/>
          <w:szCs w:val="20"/>
          <w:color w:val="auto"/>
        </w:rPr>
      </w:pPr>
      <w:r>
        <w:rPr>
          <w:rFonts w:ascii="Arial" w:cs="Arial" w:eastAsia="Arial" w:hAnsi="Arial"/>
          <w:sz w:val="16"/>
          <w:szCs w:val="16"/>
          <w:color w:val="auto"/>
        </w:rPr>
        <w:t>1.4.2.4. if the Initiating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US$5,000,000.</w:t>
      </w:r>
    </w:p>
    <w:p>
      <w:pPr>
        <w:spacing w:after="0" w:line="56" w:lineRule="exact"/>
        <w:rPr>
          <w:sz w:val="20"/>
          <w:szCs w:val="20"/>
          <w:color w:val="auto"/>
        </w:rPr>
      </w:pPr>
    </w:p>
    <w:p>
      <w:pPr>
        <w:ind w:left="1420" w:right="320" w:hanging="761"/>
        <w:spacing w:after="0" w:line="255" w:lineRule="auto"/>
        <w:tabs>
          <w:tab w:leader="none" w:pos="14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 xml:space="preserve">Subject to the foregoing, the Company shall file a registration statement covering the Registrable Securities and other securities so requested to be registered as soon as practicable after receipt of the request or requests of the Holders. Registrations effected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not be counted as requests for registration effected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97" w:lineRule="exact"/>
        <w:rPr>
          <w:sz w:val="20"/>
          <w:szCs w:val="20"/>
          <w:color w:val="auto"/>
        </w:rPr>
      </w:pPr>
    </w:p>
    <w:p>
      <w:pPr>
        <w:ind w:left="1420" w:right="20" w:hanging="761"/>
        <w:spacing w:after="0" w:line="282" w:lineRule="auto"/>
        <w:tabs>
          <w:tab w:leader="none" w:pos="14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any Shelf Registration ceases to be effective under the Act for any reason at any time while Registrable Securities are still outstanding, the Company shall, subject to Section 1.4.2.3, use its commercially reasonable efforts to, as promptly as is reasonably practicable, cause such Shelf Registration to again become effective under the Act (including using its commercially reasonable efforts to obtain the prompt withdrawal of any order suspending the effectiveness of such Shelf Registration), and shall use its commercially reasonable efforts to, as promptly as is reasonably practicable, amend such Shelf Registration in a manner reasonably expected to result in the withdrawal of any order suspending the effectiveness of such Shelf Registration or file an additional registration statement as a Shelf Registration (a “</w:t>
      </w:r>
      <w:r>
        <w:rPr>
          <w:rFonts w:ascii="Arial" w:cs="Arial" w:eastAsia="Arial" w:hAnsi="Arial"/>
          <w:sz w:val="16"/>
          <w:szCs w:val="16"/>
          <w:b w:val="1"/>
          <w:bCs w:val="1"/>
          <w:color w:val="auto"/>
        </w:rPr>
        <w:t>Subsequent Shelf</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registering the resale of all Registrable Securities (determined as of two (2) business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Act as promptly as is reasonably practicable after the filing thereof (it being agreed that the Subsequent Shelf Registration Statement shall be an automatic shelf registration statement (as defined in Rule 405 under the Act) if the Company is a well-known seasoned issuer (as defined in Rule 405 under the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Act until such time as there are no longer any Registrable Securities. Any such Subsequent Shelf Registration Statement shall be on Form S-3 or Form F-3 to the extent that the Company is eligible to use such form. Otherwise, such Subsequent Shelf Registration Statement shall be on another appropriate form.</w:t>
      </w:r>
    </w:p>
    <w:p>
      <w:pPr>
        <w:spacing w:after="0" w:line="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Suspension of Sales; Adverse Disclosure; Restrictions on Registration Rights</w:t>
      </w:r>
      <w:r>
        <w:rPr>
          <w:rFonts w:ascii="Arial" w:cs="Arial" w:eastAsia="Arial" w:hAnsi="Arial"/>
          <w:sz w:val="16"/>
          <w:szCs w:val="16"/>
          <w:color w:val="auto"/>
        </w:rPr>
        <w:t>.</w:t>
      </w:r>
    </w:p>
    <w:p>
      <w:pPr>
        <w:spacing w:after="0" w:line="127" w:lineRule="exact"/>
        <w:rPr>
          <w:sz w:val="20"/>
          <w:szCs w:val="20"/>
          <w:color w:val="auto"/>
        </w:rPr>
      </w:pPr>
    </w:p>
    <w:p>
      <w:pPr>
        <w:ind w:left="1420" w:right="20" w:hanging="761"/>
        <w:spacing w:after="0" w:line="272" w:lineRule="auto"/>
        <w:tabs>
          <w:tab w:leader="none" w:pos="14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Upon receipt of written notice from the Company that a Registration Statement contains a Misstatement, each Holder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Registration Statement may be resumed.</w:t>
      </w: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6 of 26</w:t>
      </w:r>
    </w:p>
    <w:p>
      <w:pPr>
        <w:sectPr>
          <w:pgSz w:w="11900" w:h="16838" w:orient="portrait"/>
          <w:cols w:equalWidth="0" w:num="1">
            <w:col w:w="10160"/>
          </w:cols>
          <w:pgMar w:left="1240" w:top="272" w:right="499" w:bottom="1440" w:gutter="0" w:footer="0" w:header="0"/>
        </w:sectPr>
      </w:pPr>
    </w:p>
    <w:bookmarkStart w:id="312" w:name="page313"/>
    <w:bookmarkEnd w:id="312"/>
    <w:p>
      <w:pPr>
        <w:ind w:left="66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1.5.2.</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1.5.3</w:t>
      </w:r>
      <w:r>
        <w:rPr>
          <w:rFonts w:ascii="Arial" w:cs="Arial" w:eastAsia="Arial" w:hAnsi="Arial"/>
          <w:sz w:val="16"/>
          <w:szCs w:val="16"/>
          <w:color w:val="auto"/>
        </w:rPr>
        <w:t>, if the filing, initial effectiveness or continued use of a Registration Statement at any time would</w:t>
      </w:r>
    </w:p>
    <w:p>
      <w:pPr>
        <w:spacing w:after="0" w:line="20" w:lineRule="exact"/>
        <w:rPr>
          <w:sz w:val="20"/>
          <w:szCs w:val="20"/>
          <w:color w:val="auto"/>
        </w:rPr>
      </w:pPr>
    </w:p>
    <w:p>
      <w:pPr>
        <w:ind w:left="1420" w:right="60" w:firstLine="7"/>
        <w:spacing w:after="0" w:line="264" w:lineRule="auto"/>
        <w:tabs>
          <w:tab w:leader="none" w:pos="166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require the Company to make an Adverse Disclosure, (b) require the inclusion in such Registration Statement of financial statements that are unavailable to the Company for reasons beyond the Company’s control, or (c) in the Company’s good faith judgment, the filing or the Holder’s use of such Registration Statement would be seriously detrimental to the Company and the Company concludes that it is essential to defer such filing or use, the Company may give prompt written notice of such action to the Holders and thereafter delay the filing or effectiveness of, or suspend the use of, such Registration Statement for (i) ninety (90) days after the receipt of the request of the Initiating Holders pursuant to Section 1.2 and (ii) hundred and twenty (120) days after the receipt of the request of the Initiating Holders pursuant to Section 1.4. If the Company exercises its rights under this </w:t>
      </w:r>
      <w:r>
        <w:rPr>
          <w:rFonts w:ascii="Arial" w:cs="Arial" w:eastAsia="Arial" w:hAnsi="Arial"/>
          <w:sz w:val="17"/>
          <w:szCs w:val="17"/>
          <w:u w:val="single" w:color="auto"/>
          <w:color w:val="auto"/>
        </w:rPr>
        <w:t>Section 1.5.3</w:t>
      </w:r>
      <w:r>
        <w:rPr>
          <w:rFonts w:ascii="Arial" w:cs="Arial" w:eastAsia="Arial" w:hAnsi="Arial"/>
          <w:sz w:val="17"/>
          <w:szCs w:val="17"/>
          <w:color w:val="auto"/>
        </w:rPr>
        <w:t>, the Holders will suspend, immediately upon their receipt of the notice referred to above, their use of any Registration Statement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95" w:lineRule="exact"/>
        <w:rPr>
          <w:sz w:val="20"/>
          <w:szCs w:val="20"/>
          <w:color w:val="auto"/>
        </w:rPr>
      </w:pPr>
    </w:p>
    <w:p>
      <w:pPr>
        <w:ind w:left="1420" w:right="620" w:hanging="761"/>
        <w:spacing w:after="0" w:line="271" w:lineRule="auto"/>
        <w:tabs>
          <w:tab w:leader="none" w:pos="14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The right to delay or suspend any filing, effectiveness or use of a Registration Statement shall be exercised by the Company no more than once in any twelve (12) months period;</w:t>
      </w:r>
    </w:p>
    <w:p>
      <w:pPr>
        <w:spacing w:after="0" w:line="81" w:lineRule="exact"/>
        <w:rPr>
          <w:sz w:val="20"/>
          <w:szCs w:val="20"/>
          <w:color w:val="auto"/>
        </w:rPr>
      </w:pPr>
    </w:p>
    <w:p>
      <w:pPr>
        <w:ind w:left="660" w:right="160" w:hanging="641"/>
        <w:spacing w:after="0" w:line="255"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u w:val="single" w:color="auto"/>
          <w:color w:val="auto"/>
        </w:rPr>
        <w:t>Registration Preference</w:t>
      </w:r>
      <w:r>
        <w:rPr>
          <w:rFonts w:ascii="Arial" w:cs="Arial" w:eastAsia="Arial" w:hAnsi="Arial"/>
          <w:sz w:val="18"/>
          <w:szCs w:val="18"/>
          <w:color w:val="auto"/>
        </w:rPr>
        <w:t>. If any shareholders of the Company shall have the option to sell shares of the Company in an Initial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Offering or in any subsequent registration, the holders of Preferred Shares or Registrable Securities converted therefrom shall have preference over all other shareholders to register and sell their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 registration initiated by the Company, the Company shall have first priority.</w:t>
      </w:r>
    </w:p>
    <w:p>
      <w:pPr>
        <w:spacing w:after="0" w:line="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1 </w:t>
      </w:r>
      <w:r>
        <w:rPr>
          <w:rFonts w:ascii="Arial" w:cs="Arial" w:eastAsia="Arial" w:hAnsi="Arial"/>
          <w:sz w:val="16"/>
          <w:szCs w:val="16"/>
          <w:color w:val="auto"/>
        </w:rPr>
        <w:t>to effect the registration of any Registrable Securities, the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as expeditiously as reasonably possible:</w:t>
      </w:r>
    </w:p>
    <w:p>
      <w:pPr>
        <w:spacing w:after="0" w:line="115" w:lineRule="exact"/>
        <w:rPr>
          <w:sz w:val="20"/>
          <w:szCs w:val="20"/>
          <w:color w:val="auto"/>
        </w:rPr>
      </w:pPr>
    </w:p>
    <w:p>
      <w:pPr>
        <w:ind w:left="2060" w:hanging="641"/>
        <w:spacing w:after="0" w:line="293" w:lineRule="auto"/>
        <w:tabs>
          <w:tab w:leader="none" w:pos="20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prepare and file with the SEC a registration statement with respect to such Registrable Securities and use commercially reasonable efforts to cause such registration statement to become effective, and, upon the request of the Holders of a majority of the Registrable Securities registered thereunder, use commercially reasonable efforts to keep such registration statement effective for a period of up to one hundred and twenty (120) days or, if earlier, until the distribution contemplated in the Registration Statement has been completed;</w:t>
      </w:r>
    </w:p>
    <w:p>
      <w:pPr>
        <w:spacing w:after="0" w:line="67" w:lineRule="exact"/>
        <w:rPr>
          <w:sz w:val="20"/>
          <w:szCs w:val="20"/>
          <w:color w:val="auto"/>
        </w:rPr>
      </w:pPr>
    </w:p>
    <w:p>
      <w:pPr>
        <w:ind w:left="2060" w:right="420" w:hanging="641"/>
        <w:spacing w:after="0" w:line="307" w:lineRule="auto"/>
        <w:tabs>
          <w:tab w:leader="none" w:pos="20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56" w:lineRule="exact"/>
        <w:rPr>
          <w:sz w:val="20"/>
          <w:szCs w:val="20"/>
          <w:color w:val="auto"/>
        </w:rPr>
      </w:pPr>
    </w:p>
    <w:p>
      <w:pPr>
        <w:jc w:val="both"/>
        <w:ind w:left="2060" w:right="40" w:hanging="641"/>
        <w:spacing w:after="0" w:line="259" w:lineRule="auto"/>
        <w:tabs>
          <w:tab w:leader="none" w:pos="2040" w:val="left"/>
        </w:tabs>
        <w:rPr>
          <w:sz w:val="20"/>
          <w:szCs w:val="20"/>
          <w:color w:val="auto"/>
        </w:rPr>
      </w:pPr>
      <w:r>
        <w:rPr>
          <w:rFonts w:ascii="Arial" w:cs="Arial" w:eastAsia="Arial" w:hAnsi="Arial"/>
          <w:sz w:val="18"/>
          <w:szCs w:val="18"/>
          <w:color w:val="auto"/>
        </w:rPr>
        <w:t>1.7.3.</w:t>
        <w:tab/>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92" w:lineRule="exact"/>
        <w:rPr>
          <w:sz w:val="20"/>
          <w:szCs w:val="20"/>
          <w:color w:val="auto"/>
        </w:rPr>
      </w:pPr>
    </w:p>
    <w:p>
      <w:pPr>
        <w:ind w:left="2060" w:right="120" w:hanging="641"/>
        <w:spacing w:after="0" w:line="297" w:lineRule="auto"/>
        <w:tabs>
          <w:tab w:leader="none" w:pos="20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use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66" w:lineRule="exact"/>
        <w:rPr>
          <w:sz w:val="20"/>
          <w:szCs w:val="20"/>
          <w:color w:val="auto"/>
        </w:rPr>
      </w:pPr>
    </w:p>
    <w:p>
      <w:pPr>
        <w:ind w:left="2060" w:right="320" w:hanging="641"/>
        <w:spacing w:after="0" w:line="301" w:lineRule="auto"/>
        <w:tabs>
          <w:tab w:leader="none" w:pos="20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of such offering;</w:t>
      </w:r>
    </w:p>
    <w:p>
      <w:pPr>
        <w:spacing w:after="0" w:line="8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7 of 26</w:t>
      </w:r>
    </w:p>
    <w:p>
      <w:pPr>
        <w:sectPr>
          <w:pgSz w:w="11900" w:h="16838" w:orient="portrait"/>
          <w:cols w:equalWidth="0" w:num="1">
            <w:col w:w="10140"/>
          </w:cols>
          <w:pgMar w:left="1240" w:top="272" w:right="519" w:bottom="1440" w:gutter="0" w:footer="0" w:header="0"/>
        </w:sectPr>
      </w:pPr>
    </w:p>
    <w:bookmarkStart w:id="313" w:name="page314"/>
    <w:bookmarkEnd w:id="313"/>
    <w:p>
      <w:pPr>
        <w:ind w:left="1220" w:right="20" w:hanging="761"/>
        <w:spacing w:after="0" w:line="253" w:lineRule="auto"/>
        <w:tabs>
          <w:tab w:leader="none" w:pos="1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1.7.6.</w:t>
      </w:r>
      <w:r>
        <w:rPr>
          <w:sz w:val="20"/>
          <w:szCs w:val="20"/>
          <w:color w:val="auto"/>
        </w:rPr>
        <w:tab/>
      </w: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99" w:lineRule="exact"/>
        <w:rPr>
          <w:sz w:val="20"/>
          <w:szCs w:val="20"/>
          <w:color w:val="auto"/>
        </w:rPr>
      </w:pPr>
    </w:p>
    <w:p>
      <w:pPr>
        <w:ind w:left="1220" w:right="320" w:hanging="761"/>
        <w:spacing w:after="0" w:line="259" w:lineRule="auto"/>
        <w:tabs>
          <w:tab w:leader="none" w:pos="12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notify each Holder of Registrable Securities covered by such registration statement, promptly after the Company shall receive notice thereof, of the time when such registration statement becomes effective or when any amendment or supplement or any prospectus forming a part of such registration has been filed;</w:t>
      </w:r>
    </w:p>
    <w:p>
      <w:pPr>
        <w:spacing w:after="0" w:line="92" w:lineRule="exact"/>
        <w:rPr>
          <w:sz w:val="20"/>
          <w:szCs w:val="20"/>
          <w:color w:val="auto"/>
        </w:rPr>
      </w:pPr>
    </w:p>
    <w:p>
      <w:pPr>
        <w:ind w:left="1220" w:right="160" w:hanging="761"/>
        <w:spacing w:after="0" w:line="335" w:lineRule="auto"/>
        <w:tabs>
          <w:tab w:leader="none" w:pos="12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notify each Holder of Registrable Securities covered by such registration statement, promptly of any request by the SEC for the amending or supplementing of such registration statement or prospectus for additional information;</w:t>
      </w:r>
    </w:p>
    <w:p>
      <w:pPr>
        <w:spacing w:after="0" w:line="35" w:lineRule="exact"/>
        <w:rPr>
          <w:sz w:val="20"/>
          <w:szCs w:val="20"/>
          <w:color w:val="auto"/>
        </w:rPr>
      </w:pPr>
    </w:p>
    <w:p>
      <w:pPr>
        <w:jc w:val="both"/>
        <w:ind w:left="1220" w:right="80" w:hanging="761"/>
        <w:spacing w:after="0" w:line="253" w:lineRule="auto"/>
        <w:tabs>
          <w:tab w:leader="none" w:pos="120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advise each Holder whose Registrable Securities are included in such registration statement promptly after the Company shall receive notice or otherwise obtain knowledge of the issuance of any order by the SEC suspending the effectiveness of such registration statement or amendment thereto or of the initiation or threatening of any proceeding for that purpose; and promptly use its commercially reasonable efforts to prevent the issuance of any stop order or to obtain its withdrawal promptly if a stop order should be issued;</w:t>
      </w:r>
    </w:p>
    <w:p>
      <w:pPr>
        <w:spacing w:after="0" w:line="99" w:lineRule="exact"/>
        <w:rPr>
          <w:sz w:val="20"/>
          <w:szCs w:val="20"/>
          <w:color w:val="auto"/>
        </w:rPr>
      </w:pPr>
    </w:p>
    <w:p>
      <w:pPr>
        <w:ind w:left="1220" w:hanging="761"/>
        <w:spacing w:after="0" w:line="267" w:lineRule="auto"/>
        <w:tabs>
          <w:tab w:leader="none" w:pos="120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7"/>
          <w:szCs w:val="17"/>
          <w:color w:val="auto"/>
        </w:rPr>
        <w:t>use its commercially reasonable efforts to furnish, at the request of any Holder requesting registration of Registrable Securities pursuant to this Agreement on the date that such Registrable Securities are delivered to the underwriters for sale in connection with a registration pursuant to this Agreement, if such securities are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86" w:lineRule="exact"/>
        <w:rPr>
          <w:sz w:val="20"/>
          <w:szCs w:val="20"/>
          <w:color w:val="auto"/>
        </w:rPr>
      </w:pPr>
    </w:p>
    <w:p>
      <w:pPr>
        <w:ind w:left="1220" w:right="380" w:hanging="761"/>
        <w:spacing w:after="0" w:line="271" w:lineRule="auto"/>
        <w:tabs>
          <w:tab w:leader="none" w:pos="120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8"/>
          <w:szCs w:val="18"/>
          <w:color w:val="auto"/>
        </w:rPr>
        <w:t>cause all such Registrable Securities registered pursuant hereunder to be listed on each securities exchange or trading system on which similar securities issued by the Company are then listed;</w:t>
      </w:r>
    </w:p>
    <w:p>
      <w:pPr>
        <w:spacing w:after="0" w:line="81" w:lineRule="exact"/>
        <w:rPr>
          <w:sz w:val="20"/>
          <w:szCs w:val="20"/>
          <w:color w:val="auto"/>
        </w:rPr>
      </w:pPr>
    </w:p>
    <w:p>
      <w:pPr>
        <w:ind w:left="1220" w:right="60" w:hanging="761"/>
        <w:spacing w:after="0" w:line="301" w:lineRule="auto"/>
        <w:tabs>
          <w:tab w:leader="none" w:pos="120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 and</w:t>
      </w:r>
    </w:p>
    <w:p>
      <w:pPr>
        <w:spacing w:after="0" w:line="58" w:lineRule="exact"/>
        <w:rPr>
          <w:sz w:val="20"/>
          <w:szCs w:val="20"/>
          <w:color w:val="auto"/>
        </w:rPr>
      </w:pPr>
    </w:p>
    <w:p>
      <w:pPr>
        <w:ind w:left="1220" w:right="140" w:hanging="761"/>
        <w:spacing w:after="0" w:line="335" w:lineRule="auto"/>
        <w:tabs>
          <w:tab w:leader="none" w:pos="120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6"/>
          <w:szCs w:val="16"/>
          <w:color w:val="auto"/>
        </w:rPr>
        <w:t>use its commercially reasonable efforts to make available senior executives of the Company to participate in customary “road show” presentations that may be reasonably requested by the underwriters in connection with a marketed offering.</w:t>
      </w:r>
    </w:p>
    <w:p>
      <w:pPr>
        <w:spacing w:after="0" w:line="35" w:lineRule="exact"/>
        <w:rPr>
          <w:sz w:val="20"/>
          <w:szCs w:val="20"/>
          <w:color w:val="auto"/>
        </w:rPr>
      </w:pPr>
    </w:p>
    <w:p>
      <w:pPr>
        <w:ind w:left="460" w:right="200" w:hanging="641"/>
        <w:spacing w:after="0" w:line="275" w:lineRule="auto"/>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u w:val="single" w:color="auto"/>
          <w:color w:val="auto"/>
        </w:rPr>
        <w:t>Information from Holder</w:t>
      </w:r>
      <w:r>
        <w:rPr>
          <w:rFonts w:ascii="Arial" w:cs="Arial" w:eastAsia="Arial" w:hAnsi="Arial"/>
          <w:sz w:val="17"/>
          <w:szCs w:val="17"/>
          <w:color w:val="auto"/>
        </w:rPr>
        <w:t>. It shall be a condition precedent to the obligations of the Company to take any action pursuant to this</w:t>
      </w:r>
      <w:r>
        <w:rPr>
          <w:rFonts w:ascii="Arial" w:cs="Arial" w:eastAsia="Arial" w:hAnsi="Arial"/>
          <w:sz w:val="17"/>
          <w:szCs w:val="17"/>
          <w:u w:val="single" w:color="auto"/>
          <w:color w:val="auto"/>
        </w:rPr>
        <w:t xml:space="preserve"> Section 1</w:t>
      </w:r>
      <w:r>
        <w:rPr>
          <w:rFonts w:ascii="Arial" w:cs="Arial" w:eastAsia="Arial" w:hAnsi="Arial"/>
          <w:sz w:val="17"/>
          <w:szCs w:val="17"/>
          <w:color w:val="auto"/>
        </w:rPr>
        <w:t xml:space="preserve"> with respect to the Registrable Securities of any selling Holder that such Holder shall promptly furnish to the Company such information regarding itself, the Registrable Securities held by it, and the intended method of disposition of such securities as shall be required to effect the registration of such Holder’s Registrable Securities.</w:t>
      </w:r>
    </w:p>
    <w:p>
      <w:pPr>
        <w:spacing w:after="0" w:line="80" w:lineRule="exact"/>
        <w:rPr>
          <w:sz w:val="20"/>
          <w:szCs w:val="20"/>
          <w:color w:val="auto"/>
        </w:rPr>
      </w:pPr>
    </w:p>
    <w:p>
      <w:pPr>
        <w:ind w:left="460" w:right="20" w:hanging="641"/>
        <w:spacing w:after="0" w:line="255" w:lineRule="auto"/>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List of Registrable Securities then Outstanding</w:t>
      </w:r>
      <w:r>
        <w:rPr>
          <w:rFonts w:ascii="Arial" w:cs="Arial" w:eastAsia="Arial" w:hAnsi="Arial"/>
          <w:sz w:val="18"/>
          <w:szCs w:val="18"/>
          <w:color w:val="auto"/>
        </w:rPr>
        <w:t>. The Company shall maintain and update a list of the total Registrable Securities then</w:t>
      </w:r>
      <w:r>
        <w:rPr>
          <w:rFonts w:ascii="Arial" w:cs="Arial" w:eastAsia="Arial" w:hAnsi="Arial"/>
          <w:sz w:val="18"/>
          <w:szCs w:val="18"/>
          <w:u w:val="single" w:color="auto"/>
          <w:color w:val="auto"/>
        </w:rPr>
        <w:t xml:space="preserve"> </w:t>
      </w:r>
      <w:r>
        <w:rPr>
          <w:rFonts w:ascii="Arial" w:cs="Arial" w:eastAsia="Arial" w:hAnsi="Arial"/>
          <w:sz w:val="18"/>
          <w:szCs w:val="18"/>
          <w:color w:val="auto"/>
        </w:rPr>
        <w:t>Outstanding, which includes each Holder’s percentages of Registrable Securities (determined on a fully-diluted basis) and contact details for each Holder (in such form as is provided to the Company without any duty to update or verify), and shall provide such list promptly to any Holder upon request.</w:t>
      </w:r>
    </w:p>
    <w:p>
      <w:pPr>
        <w:spacing w:after="0" w:line="1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8 of 26</w:t>
      </w:r>
    </w:p>
    <w:p>
      <w:pPr>
        <w:sectPr>
          <w:pgSz w:w="11900" w:h="16838" w:orient="portrait"/>
          <w:cols w:equalWidth="0" w:num="1">
            <w:col w:w="9960"/>
          </w:cols>
          <w:pgMar w:left="1440" w:top="272" w:right="499" w:bottom="1440" w:gutter="0" w:footer="0" w:header="0"/>
        </w:sectPr>
      </w:pPr>
    </w:p>
    <w:bookmarkStart w:id="314" w:name="page315"/>
    <w:bookmarkEnd w:id="314"/>
    <w:p>
      <w:pPr>
        <w:ind w:left="660" w:hanging="641"/>
        <w:spacing w:after="0" w:line="280"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1.10.</w:t>
      </w:r>
      <w:r>
        <w:rPr>
          <w:sz w:val="20"/>
          <w:szCs w:val="20"/>
          <w:color w:val="auto"/>
        </w:rPr>
        <w:tab/>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filings or qualifications pursuant to </w:t>
      </w:r>
      <w:r>
        <w:rPr>
          <w:rFonts w:ascii="Arial" w:cs="Arial" w:eastAsia="Arial" w:hAnsi="Arial"/>
          <w:sz w:val="16"/>
          <w:szCs w:val="16"/>
          <w:u w:val="single" w:color="auto"/>
          <w:color w:val="auto"/>
        </w:rPr>
        <w:t>Sections 1.2</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including all registration, filing and qualification fees, printers’ and accounting fees, fees and disbursements of counsel for the Company and the reasonable fees and disbursements of one counsel for the selling Holders (selected by the Initiating Holders)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of the Holders participating in such registration shall pay its pro rata portion of discounts or commissions payable to any underwriter.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requested in the withdrawn registration), unless, in the case of a registration requested under </w:t>
      </w:r>
      <w:r>
        <w:rPr>
          <w:rFonts w:ascii="Arial" w:cs="Arial" w:eastAsia="Arial" w:hAnsi="Arial"/>
          <w:sz w:val="16"/>
          <w:szCs w:val="16"/>
          <w:u w:val="single" w:color="auto"/>
          <w:color w:val="auto"/>
        </w:rPr>
        <w:t>Section 1.2</w:t>
      </w:r>
      <w:r>
        <w:rPr>
          <w:rFonts w:ascii="Arial" w:cs="Arial" w:eastAsia="Arial" w:hAnsi="Arial"/>
          <w:sz w:val="16"/>
          <w:szCs w:val="16"/>
          <w:color w:val="auto"/>
        </w:rPr>
        <w:t>, the Holders of a majority of the Registrable Securities agree to forfeit their right to each of the two</w:t>
      </w:r>
    </w:p>
    <w:p>
      <w:pPr>
        <w:spacing w:after="0" w:line="6" w:lineRule="exact"/>
        <w:rPr>
          <w:sz w:val="20"/>
          <w:szCs w:val="20"/>
          <w:color w:val="auto"/>
        </w:rPr>
      </w:pPr>
    </w:p>
    <w:p>
      <w:pPr>
        <w:ind w:left="660" w:right="60" w:hanging="8"/>
        <w:spacing w:after="0" w:line="250" w:lineRule="auto"/>
        <w:tabs>
          <w:tab w:leader="none" w:pos="91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demand registrations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w:t>
      </w:r>
    </w:p>
    <w:p>
      <w:pPr>
        <w:spacing w:after="0" w:line="99" w:lineRule="exact"/>
        <w:rPr>
          <w:sz w:val="20"/>
          <w:szCs w:val="20"/>
          <w:color w:val="auto"/>
        </w:rPr>
      </w:pPr>
    </w:p>
    <w:p>
      <w:pPr>
        <w:ind w:left="660" w:right="300" w:hanging="641"/>
        <w:spacing w:after="0" w:line="335"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registration as the result of any controversy that might arise with respect to the interpretation or implementation of this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w:t>
      </w:r>
      <w:r>
        <w:rPr>
          <w:rFonts w:ascii="Arial" w:cs="Arial" w:eastAsia="Arial" w:hAnsi="Arial"/>
          <w:sz w:val="16"/>
          <w:szCs w:val="16"/>
          <w:u w:val="single" w:color="auto"/>
          <w:color w:val="auto"/>
        </w:rPr>
        <w:t xml:space="preserve"> Section 1</w:t>
      </w:r>
      <w:r>
        <w:rPr>
          <w:rFonts w:ascii="Arial" w:cs="Arial" w:eastAsia="Arial" w:hAnsi="Arial"/>
          <w:sz w:val="16"/>
          <w:szCs w:val="16"/>
          <w:color w:val="auto"/>
        </w:rPr>
        <w:t>:</w:t>
      </w:r>
    </w:p>
    <w:p>
      <w:pPr>
        <w:spacing w:after="0" w:line="127" w:lineRule="exact"/>
        <w:rPr>
          <w:sz w:val="20"/>
          <w:szCs w:val="20"/>
          <w:color w:val="auto"/>
        </w:rPr>
      </w:pPr>
    </w:p>
    <w:p>
      <w:pPr>
        <w:ind w:left="1420" w:right="20" w:hanging="761"/>
        <w:spacing w:after="0" w:line="281" w:lineRule="auto"/>
        <w:tabs>
          <w:tab w:leader="none" w:pos="140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To the extent permitted by law, the Company will indemnify and hold harmless each Holder, the partners, members or officers, directors and shareholders of each such Holder, legal counsel and accountants for each such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applicable state securities laws,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applicable state securities laws or any rule or regulation promulgated under the Act, the 1934 Act or any applicable state securities laws; and the Company will reimburse each such Holder,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1.11.1</w:t>
      </w:r>
      <w:r>
        <w:rPr>
          <w:rFonts w:ascii="Arial" w:cs="Arial" w:eastAsia="Arial" w:hAnsi="Arial"/>
          <w:sz w:val="16"/>
          <w:szCs w:val="16"/>
          <w:color w:val="auto"/>
        </w:rPr>
        <w:t xml:space="preserve"> shall not apply to amounts paid in settlement of any such loss, claim, damage, liability or action if such settlement is effected without the prior written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or on behalf of any such Holder, underwriter or controlling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agreement with respect to any preliminary prospectus shall not inure to the benefit of any Holder or underwriter, or any person controlling such Holder or underwriter, from whom the person asserting any such losses, claims, damages or liabilities purchased shares in the offering, if a copy</w:t>
      </w:r>
    </w:p>
    <w:p>
      <w:pPr>
        <w:spacing w:after="0" w:line="3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9 of 26</w:t>
      </w:r>
    </w:p>
    <w:p>
      <w:pPr>
        <w:sectPr>
          <w:pgSz w:w="11900" w:h="16838" w:orient="portrait"/>
          <w:cols w:equalWidth="0" w:num="1">
            <w:col w:w="10160"/>
          </w:cols>
          <w:pgMar w:left="1240" w:top="272" w:right="499" w:bottom="1440" w:gutter="0" w:footer="0" w:header="0"/>
        </w:sectPr>
      </w:pPr>
    </w:p>
    <w:bookmarkStart w:id="315" w:name="page316"/>
    <w:bookmarkEnd w:id="315"/>
    <w:p>
      <w:pPr>
        <w:ind w:left="1220" w:right="2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of the prospectus (as then amended or supplemented if the Company shall have furnished any amendments or supplements thereto) was not sent or given by or on behalf of such Holder or underwriter to such person, if required by law so to have been delivered, at or prior to the written confirmation of the sale of the shares to such person, and if the prospectus (as so amended or supplemented) would have cured the defect giving rise to such loss, claim, damage or liability;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this indemnity shall not be deemed to relieve any underwriter of any of its due diligence obligations.</w:t>
      </w:r>
    </w:p>
    <w:p>
      <w:pPr>
        <w:spacing w:after="0" w:line="100" w:lineRule="exact"/>
        <w:rPr>
          <w:sz w:val="20"/>
          <w:szCs w:val="20"/>
          <w:color w:val="auto"/>
        </w:rPr>
      </w:pPr>
    </w:p>
    <w:p>
      <w:pPr>
        <w:ind w:left="1220" w:right="80" w:hanging="761"/>
        <w:spacing w:after="0" w:line="283" w:lineRule="auto"/>
        <w:tabs>
          <w:tab w:leader="none" w:pos="120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 xml:space="preserve">To the extent permitted by law, each selling Holder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any applicable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or on behalf of such Holder expressly for use in connection with such registration; and each such Holder will reimburse any person intended to be indemnified pursuant to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for any legal or other expenses reasonably incurred by such person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not apply to amounts paid in settlement of any such loss, claim, damage, liability or action if such settlement is effected without the prior written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exceed the net proceeds from the offering received by such Holder.</w:t>
      </w:r>
    </w:p>
    <w:p>
      <w:pPr>
        <w:spacing w:after="0" w:line="76" w:lineRule="exact"/>
        <w:rPr>
          <w:sz w:val="20"/>
          <w:szCs w:val="20"/>
          <w:color w:val="auto"/>
        </w:rPr>
      </w:pPr>
    </w:p>
    <w:p>
      <w:pPr>
        <w:ind w:left="1220" w:hanging="761"/>
        <w:spacing w:after="0" w:line="282" w:lineRule="auto"/>
        <w:tabs>
          <w:tab w:leader="none" w:pos="120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but the omission so to deliver written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85" w:lineRule="exact"/>
        <w:rPr>
          <w:sz w:val="20"/>
          <w:szCs w:val="20"/>
          <w:color w:val="auto"/>
        </w:rPr>
      </w:pPr>
    </w:p>
    <w:p>
      <w:pPr>
        <w:ind w:left="1220" w:right="60" w:hanging="761"/>
        <w:spacing w:after="0" w:line="255" w:lineRule="auto"/>
        <w:tabs>
          <w:tab w:leader="none" w:pos="1200" w:val="left"/>
        </w:tabs>
        <w:rPr>
          <w:sz w:val="20"/>
          <w:szCs w:val="20"/>
          <w:color w:val="auto"/>
        </w:rPr>
      </w:pPr>
      <w:r>
        <w:rPr>
          <w:rFonts w:ascii="Arial" w:cs="Arial" w:eastAsia="Arial" w:hAnsi="Arial"/>
          <w:sz w:val="18"/>
          <w:szCs w:val="18"/>
          <w:color w:val="auto"/>
        </w:rPr>
        <w:t>1.12.4.</w:t>
        <w:tab/>
        <w:t xml:space="preserve">If the indemnification provided for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w:t>
      </w:r>
    </w:p>
    <w:p>
      <w:pPr>
        <w:spacing w:after="0" w:line="1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10 of 26</w:t>
      </w:r>
    </w:p>
    <w:p>
      <w:pPr>
        <w:sectPr>
          <w:pgSz w:w="11900" w:h="16838" w:orient="portrait"/>
          <w:cols w:equalWidth="0" w:num="1">
            <w:col w:w="9960"/>
          </w:cols>
          <w:pgMar w:left="1440" w:top="272" w:right="499" w:bottom="1440" w:gutter="0" w:footer="0" w:header="0"/>
        </w:sectPr>
      </w:pPr>
    </w:p>
    <w:bookmarkStart w:id="316" w:name="page317"/>
    <w:bookmarkEnd w:id="316"/>
    <w:p>
      <w:pPr>
        <w:ind w:left="1220"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85" w:lineRule="exact"/>
        <w:rPr>
          <w:sz w:val="20"/>
          <w:szCs w:val="20"/>
          <w:color w:val="auto"/>
        </w:rPr>
      </w:pPr>
    </w:p>
    <w:p>
      <w:pPr>
        <w:ind w:left="1220" w:right="40" w:hanging="761"/>
        <w:spacing w:after="0" w:line="259" w:lineRule="auto"/>
        <w:tabs>
          <w:tab w:leader="none" w:pos="1200" w:val="left"/>
        </w:tabs>
        <w:rPr>
          <w:sz w:val="20"/>
          <w:szCs w:val="20"/>
          <w:color w:val="auto"/>
        </w:rPr>
      </w:pPr>
      <w:r>
        <w:rPr>
          <w:rFonts w:ascii="Arial" w:cs="Arial" w:eastAsia="Arial" w:hAnsi="Arial"/>
          <w:sz w:val="18"/>
          <w:szCs w:val="18"/>
          <w:color w:val="auto"/>
        </w:rPr>
        <w:t>1.12.5.</w:t>
        <w:tab/>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92" w:lineRule="exact"/>
        <w:rPr>
          <w:sz w:val="20"/>
          <w:szCs w:val="20"/>
          <w:color w:val="auto"/>
        </w:rPr>
      </w:pPr>
    </w:p>
    <w:p>
      <w:pPr>
        <w:ind w:left="1220" w:right="480" w:hanging="761"/>
        <w:spacing w:after="0" w:line="271" w:lineRule="auto"/>
        <w:tabs>
          <w:tab w:leader="none" w:pos="1200" w:val="left"/>
        </w:tabs>
        <w:rPr>
          <w:sz w:val="20"/>
          <w:szCs w:val="20"/>
          <w:color w:val="auto"/>
        </w:rPr>
      </w:pPr>
      <w:r>
        <w:rPr>
          <w:rFonts w:ascii="Arial" w:cs="Arial" w:eastAsia="Arial" w:hAnsi="Arial"/>
          <w:sz w:val="18"/>
          <w:szCs w:val="18"/>
          <w:color w:val="auto"/>
        </w:rPr>
        <w:t>1.12.6.</w:t>
        <w:tab/>
        <w:t xml:space="preserve">The obligations of the Company and Holders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survive the completion of any offering of Registrable Securities in a registration statement under this </w:t>
      </w:r>
      <w:r>
        <w:rPr>
          <w:rFonts w:ascii="Arial" w:cs="Arial" w:eastAsia="Arial" w:hAnsi="Arial"/>
          <w:sz w:val="18"/>
          <w:szCs w:val="18"/>
          <w:u w:val="single" w:color="auto"/>
          <w:color w:val="auto"/>
        </w:rPr>
        <w:t>Section 1</w:t>
      </w:r>
      <w:r>
        <w:rPr>
          <w:rFonts w:ascii="Arial" w:cs="Arial" w:eastAsia="Arial" w:hAnsi="Arial"/>
          <w:sz w:val="18"/>
          <w:szCs w:val="18"/>
          <w:color w:val="auto"/>
        </w:rPr>
        <w:t>, and otherwise.</w:t>
      </w:r>
    </w:p>
    <w:p>
      <w:pPr>
        <w:spacing w:after="0" w:line="81" w:lineRule="exact"/>
        <w:rPr>
          <w:sz w:val="20"/>
          <w:szCs w:val="20"/>
          <w:color w:val="auto"/>
        </w:rPr>
      </w:pPr>
    </w:p>
    <w:p>
      <w:pPr>
        <w:ind w:left="460" w:right="140" w:hanging="641"/>
        <w:spacing w:after="0" w:line="255" w:lineRule="auto"/>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Reports Under Securities Exchange Act of 1934</w:t>
      </w:r>
      <w:r>
        <w:rPr>
          <w:rFonts w:ascii="Arial" w:cs="Arial" w:eastAsia="Arial" w:hAnsi="Arial"/>
          <w:sz w:val="18"/>
          <w:szCs w:val="18"/>
          <w:color w:val="auto"/>
        </w:rPr>
        <w:t>. With a view to making available to the Holders the benefits of Rule 144</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promulgated under the Act and any other rule or regulation of the SEC that may at any time permit a Holder to sell securities of the Company to the public without registration or pursuant to a registration on Form S-3 or Form F-3 (“SEC Rule 144”), the Company agrees to (at any time after it has become subject to such reporting requirements):</w:t>
      </w:r>
    </w:p>
    <w:p>
      <w:pPr>
        <w:spacing w:after="0" w:line="97" w:lineRule="exact"/>
        <w:rPr>
          <w:sz w:val="20"/>
          <w:szCs w:val="20"/>
          <w:color w:val="auto"/>
        </w:rPr>
      </w:pPr>
    </w:p>
    <w:p>
      <w:pPr>
        <w:ind w:left="1220" w:right="40" w:hanging="761"/>
        <w:spacing w:after="0" w:line="271" w:lineRule="auto"/>
        <w:tabs>
          <w:tab w:leader="none" w:pos="1200" w:val="left"/>
        </w:tabs>
        <w:rPr>
          <w:sz w:val="20"/>
          <w:szCs w:val="20"/>
          <w:color w:val="auto"/>
        </w:rPr>
      </w:pPr>
      <w:r>
        <w:rPr>
          <w:rFonts w:ascii="Arial" w:cs="Arial" w:eastAsia="Arial" w:hAnsi="Arial"/>
          <w:sz w:val="18"/>
          <w:szCs w:val="18"/>
          <w:color w:val="auto"/>
        </w:rPr>
        <w:t>1.13.1.</w:t>
        <w:tab/>
        <w:t>make and keep public information available, as those terms are understood and defined in SEC Rule 144, at all times after the effective date of the Initial Offering;</w:t>
      </w:r>
    </w:p>
    <w:p>
      <w:pPr>
        <w:spacing w:after="0" w:line="81" w:lineRule="exact"/>
        <w:rPr>
          <w:sz w:val="20"/>
          <w:szCs w:val="20"/>
          <w:color w:val="auto"/>
        </w:rPr>
      </w:pPr>
    </w:p>
    <w:p>
      <w:pPr>
        <w:ind w:left="1220" w:right="20" w:hanging="761"/>
        <w:spacing w:after="0" w:line="271" w:lineRule="auto"/>
        <w:tabs>
          <w:tab w:leader="none" w:pos="1200" w:val="left"/>
        </w:tabs>
        <w:rPr>
          <w:sz w:val="20"/>
          <w:szCs w:val="20"/>
          <w:color w:val="auto"/>
        </w:rPr>
      </w:pPr>
      <w:r>
        <w:rPr>
          <w:rFonts w:ascii="Arial" w:cs="Arial" w:eastAsia="Arial" w:hAnsi="Arial"/>
          <w:sz w:val="18"/>
          <w:szCs w:val="18"/>
          <w:color w:val="auto"/>
        </w:rPr>
        <w:t>1.13.2.</w:t>
        <w:tab/>
        <w:t>file with the SEC in a timely manner all reports and other documents required of the Company under the Act and the 1934 Act; and</w:t>
      </w:r>
    </w:p>
    <w:p>
      <w:pPr>
        <w:spacing w:after="0" w:line="81" w:lineRule="exact"/>
        <w:rPr>
          <w:sz w:val="20"/>
          <w:szCs w:val="20"/>
          <w:color w:val="auto"/>
        </w:rPr>
      </w:pPr>
    </w:p>
    <w:p>
      <w:pPr>
        <w:ind w:left="1220" w:right="60" w:hanging="761"/>
        <w:spacing w:after="0" w:line="287" w:lineRule="auto"/>
        <w:tabs>
          <w:tab w:leader="none" w:pos="120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SEC Rule 144 (at any time after ninety</w:t>
      </w:r>
    </w:p>
    <w:p>
      <w:pPr>
        <w:spacing w:after="0" w:line="1" w:lineRule="exact"/>
        <w:rPr>
          <w:sz w:val="20"/>
          <w:szCs w:val="20"/>
          <w:color w:val="auto"/>
        </w:rPr>
      </w:pPr>
    </w:p>
    <w:p>
      <w:pPr>
        <w:ind w:left="1220" w:firstLine="7"/>
        <w:spacing w:after="0" w:line="266" w:lineRule="auto"/>
        <w:tabs>
          <w:tab w:leader="none" w:pos="1562" w:val="left"/>
        </w:tabs>
        <w:numPr>
          <w:ilvl w:val="0"/>
          <w:numId w:val="272"/>
        </w:numPr>
        <w:rPr>
          <w:rFonts w:ascii="Arial" w:cs="Arial" w:eastAsia="Arial" w:hAnsi="Arial"/>
          <w:sz w:val="17"/>
          <w:szCs w:val="17"/>
          <w:color w:val="auto"/>
        </w:rPr>
      </w:pPr>
      <w:r>
        <w:rPr>
          <w:rFonts w:ascii="Arial" w:cs="Arial" w:eastAsia="Arial" w:hAnsi="Arial"/>
          <w:sz w:val="17"/>
          <w:szCs w:val="17"/>
          <w:color w:val="auto"/>
        </w:rPr>
        <w:t>days after the effective date of the first registration statement filed by the Company), the Act and the 1934 Act (at any time after it has become subject to such reporting requirements), or that it qualifies as a registrant whose securities may be resold pursuant to Form S-3 or Form F-3 (at any time after it so qualifies), (ii) a legal opinion from the Company’s counsel to the transfer agent that the Holder’s Registrable Securities are eligible to be sold pursuant to SEC Rule 144 (subject to receiving customary confirmation thereof from such Holder), and (iii) such other information as may be reasonably requested in availing any Holder of any rule or regulation of the SEC that permits the selling of any such securities without registration or pursuant to such form.</w:t>
      </w:r>
    </w:p>
    <w:p>
      <w:pPr>
        <w:spacing w:after="0" w:line="89" w:lineRule="exact"/>
        <w:rPr>
          <w:sz w:val="20"/>
          <w:szCs w:val="20"/>
          <w:color w:val="auto"/>
        </w:rPr>
      </w:pPr>
    </w:p>
    <w:p>
      <w:pPr>
        <w:ind w:left="460" w:right="140" w:hanging="641"/>
        <w:spacing w:after="0" w:line="286"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Without derogating the provisions of</w:t>
      </w:r>
      <w:r>
        <w:rPr>
          <w:rFonts w:ascii="Arial" w:cs="Arial" w:eastAsia="Arial" w:hAnsi="Arial"/>
          <w:sz w:val="16"/>
          <w:szCs w:val="16"/>
          <w:u w:val="single" w:color="auto"/>
          <w:color w:val="auto"/>
        </w:rPr>
        <w:t xml:space="preserve"> Section 3.14 </w:t>
      </w:r>
      <w:r>
        <w:rPr>
          <w:rFonts w:ascii="Arial" w:cs="Arial" w:eastAsia="Arial" w:hAnsi="Arial"/>
          <w:sz w:val="16"/>
          <w:szCs w:val="16"/>
          <w:color w:val="auto"/>
        </w:rPr>
        <w:t>below, the rights to cause the Company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register Registrable Securities pursuant to this Agreement may be assigned (but only with all related obligations) by a Holder, to a transferee or assignee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transfer or assignment is made pursuant to the provisions of the Articles and any provisions and agreements relating to transfer of securities,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the Company is, within a reasonable time after such transfer, furnished with written notice of the name and address of such transferee or assignee and the Registrable Securities with respect to which such registration rights are being assigned; (b) such transferee or assignee agrees in writing to be bound by and subject to the terms and conditions of this Agreement, including the provisions of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below; and (c) such assignment shall be effective only if immediately following such transfer the further disposition of such Registrable Securities by the transferee or assignee is restricted under the Act.</w:t>
      </w:r>
    </w:p>
    <w:p>
      <w:pPr>
        <w:spacing w:after="0" w:line="73" w:lineRule="exact"/>
        <w:rPr>
          <w:sz w:val="20"/>
          <w:szCs w:val="20"/>
          <w:color w:val="auto"/>
        </w:rPr>
      </w:pPr>
    </w:p>
    <w:p>
      <w:pPr>
        <w:ind w:left="460" w:right="20" w:hanging="641"/>
        <w:spacing w:after="0" w:line="259" w:lineRule="auto"/>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and subject to</w:t>
      </w:r>
      <w:r>
        <w:rPr>
          <w:rFonts w:ascii="Arial" w:cs="Arial" w:eastAsia="Arial" w:hAnsi="Arial"/>
          <w:sz w:val="18"/>
          <w:szCs w:val="18"/>
          <w:u w:val="single" w:color="auto"/>
          <w:color w:val="auto"/>
        </w:rPr>
        <w:t xml:space="preserve"> Section 3.10</w:t>
      </w:r>
      <w:r>
        <w:rPr>
          <w:rFonts w:ascii="Arial" w:cs="Arial" w:eastAsia="Arial" w:hAnsi="Arial"/>
          <w:sz w:val="18"/>
          <w:szCs w:val="18"/>
          <w:color w:val="auto"/>
        </w:rPr>
        <w:t>,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not, without the prior written consent of the Holders of at least the majority of the Registrable Securities, enter into any agreement with any holder</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11 of 26</w:t>
      </w:r>
    </w:p>
    <w:p>
      <w:pPr>
        <w:sectPr>
          <w:pgSz w:w="11900" w:h="16838" w:orient="portrait"/>
          <w:cols w:equalWidth="0" w:num="1">
            <w:col w:w="9960"/>
          </w:cols>
          <w:pgMar w:left="1440" w:top="272" w:right="499" w:bottom="1440" w:gutter="0" w:footer="0" w:header="0"/>
        </w:sectPr>
      </w:pPr>
    </w:p>
    <w:bookmarkStart w:id="317" w:name="page318"/>
    <w:bookmarkEnd w:id="317"/>
    <w:p>
      <w:pPr>
        <w:ind w:left="460"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or prospective holder of any securities of the Company that would allow such holder or prospective holder (a) to include such securities in any registration filed under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spacing w:after="0" w:line="66" w:lineRule="exact"/>
        <w:rPr>
          <w:sz w:val="20"/>
          <w:szCs w:val="20"/>
          <w:color w:val="auto"/>
        </w:rPr>
      </w:pPr>
    </w:p>
    <w:p>
      <w:pPr>
        <w:ind w:left="460" w:hanging="641"/>
        <w:spacing w:after="0" w:line="265" w:lineRule="auto"/>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hereby agrees that it will not, without the prior written consent of the managing underwriter, during the period commencing on the date of the final prospectus relating to any offering of the Company and ending on the date specified by the Company and the managing underwriter (such period not to exceed one hundred eighty (l80) days in the case of an Initial Offering or ninety (90) days in any subsequent offering) (i) lend, offer, pledge, sell, contract to sell, sell any option or contract to purchase, purchase any option or contract to sell, grant any option, right or warrant to purchase, or otherwise transfer or dispose of, directly or indirectly, any shares of Ordinary Shares or any securities convertible into or exercisable or exchangeable for Ordinary Shares (whether such shares or any such securities are then owned by the Holder or are thereafter acquired (other than in the open-market)), or (ii) enter into any swap or other arrangement that transfers to another, in whole or in part, any of the economic consequences of ownership of the shares of Ordinary Shares, whether any such transaction described in clause (i) or (ii) above is to be settled by delivery of shares of Ordinary Shares or such other securities, in cash or otherwise. The foregoing provisions of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only be applicable to the Holders if all officers and directors and greater than one percent (1%) shareholders of the Company enter into similar agreements. The underwriters in connection with the Company’s initial public offering are intended third party beneficiaries of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and shall have the right, power and authority to enforce the provisions hereof as though they were a party hereto. Without limitation of the previous sentence, each Holder agrees to execute and deliver such other agreements as may be reasonably requested by the Company or the underwriters which are not inconsistent with the foregoing or which are necessary to give further effect thereto and which, if entered into, will supersede the restrictions under this Section 1.15.</w:t>
      </w:r>
    </w:p>
    <w:p>
      <w:pPr>
        <w:spacing w:after="0" w:line="7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92" w:lineRule="exact"/>
        <w:rPr>
          <w:sz w:val="20"/>
          <w:szCs w:val="20"/>
          <w:color w:val="auto"/>
        </w:rPr>
      </w:pPr>
    </w:p>
    <w:p>
      <w:pPr>
        <w:ind w:left="460" w:right="740" w:hanging="641"/>
        <w:spacing w:after="0" w:line="271" w:lineRule="auto"/>
        <w:tabs>
          <w:tab w:leader="none" w:pos="4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Foreign Offerings</w:t>
      </w:r>
      <w:r>
        <w:rPr>
          <w:rFonts w:ascii="Arial" w:cs="Arial" w:eastAsia="Arial" w:hAnsi="Arial"/>
          <w:sz w:val="18"/>
          <w:szCs w:val="18"/>
          <w:color w:val="auto"/>
        </w:rPr>
        <w:t>. The provisions of this</w:t>
      </w:r>
      <w:r>
        <w:rPr>
          <w:rFonts w:ascii="Arial" w:cs="Arial" w:eastAsia="Arial" w:hAnsi="Arial"/>
          <w:sz w:val="18"/>
          <w:szCs w:val="18"/>
          <w:u w:val="single" w:color="auto"/>
          <w:color w:val="auto"/>
        </w:rPr>
        <w:t xml:space="preserve"> Section 1 </w:t>
      </w:r>
      <w:r>
        <w:rPr>
          <w:rFonts w:ascii="Arial" w:cs="Arial" w:eastAsia="Arial" w:hAnsi="Arial"/>
          <w:sz w:val="18"/>
          <w:szCs w:val="18"/>
          <w:color w:val="auto"/>
        </w:rPr>
        <w:t>shall apply,</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to any registration of the securities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outside of the United States.</w:t>
      </w:r>
    </w:p>
    <w:p>
      <w:pPr>
        <w:spacing w:after="0" w:line="81" w:lineRule="exact"/>
        <w:rPr>
          <w:sz w:val="20"/>
          <w:szCs w:val="20"/>
          <w:color w:val="auto"/>
        </w:rPr>
      </w:pPr>
    </w:p>
    <w:p>
      <w:pPr>
        <w:ind w:left="460" w:right="40" w:hanging="641"/>
        <w:spacing w:after="0" w:line="255" w:lineRule="auto"/>
        <w:tabs>
          <w:tab w:leader="none" w:pos="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Notwithstanding anything to the contrary herein, the Company’s obligations under this</w:t>
      </w:r>
      <w:r>
        <w:rPr>
          <w:rFonts w:ascii="Arial" w:cs="Arial" w:eastAsia="Arial" w:hAnsi="Arial"/>
          <w:sz w:val="18"/>
          <w:szCs w:val="18"/>
          <w:u w:val="single" w:color="auto"/>
          <w:color w:val="auto"/>
        </w:rPr>
        <w:t xml:space="preserve"> Section 1 </w:t>
      </w:r>
      <w:r>
        <w:rPr>
          <w:rFonts w:ascii="Arial" w:cs="Arial" w:eastAsia="Arial" w:hAnsi="Arial"/>
          <w:sz w:val="18"/>
          <w:szCs w:val="18"/>
          <w:color w:val="auto"/>
        </w:rPr>
        <w:t>shall terminate and shall be of no further force or effect upon the earlier of (i) the fifth (5</w:t>
      </w:r>
      <w:r>
        <w:rPr>
          <w:rFonts w:ascii="Arial" w:cs="Arial" w:eastAsia="Arial" w:hAnsi="Arial"/>
          <w:sz w:val="15"/>
          <w:szCs w:val="15"/>
          <w:color w:val="auto"/>
        </w:rPr>
        <w:t>th</w:t>
      </w:r>
      <w:r>
        <w:rPr>
          <w:rFonts w:ascii="Arial" w:cs="Arial" w:eastAsia="Arial" w:hAnsi="Arial"/>
          <w:sz w:val="18"/>
          <w:szCs w:val="18"/>
          <w:color w:val="auto"/>
        </w:rPr>
        <w:t>) anniversary of the consummation of the IPO, (ii) upon a Deemed Liquidation (as defined in the Company’s Articles), or (iii) such date on which there shall be no Registrable Securities outstanding.</w:t>
      </w:r>
    </w:p>
    <w:p>
      <w:pPr>
        <w:spacing w:after="0" w:line="97" w:lineRule="exact"/>
        <w:rPr>
          <w:sz w:val="20"/>
          <w:szCs w:val="20"/>
          <w:color w:val="auto"/>
        </w:rPr>
      </w:pPr>
    </w:p>
    <w:p>
      <w:pPr>
        <w:ind w:left="460" w:right="40" w:hanging="641"/>
        <w:spacing w:after="0" w:line="271" w:lineRule="auto"/>
        <w:tabs>
          <w:tab w:leader="none" w:pos="4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All certificates representing any shares of the Company shall have endorsed thereon a legend to substantially the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w:t>
      </w:r>
    </w:p>
    <w:p>
      <w:pPr>
        <w:spacing w:after="0" w:line="68" w:lineRule="exact"/>
        <w:rPr>
          <w:sz w:val="20"/>
          <w:szCs w:val="20"/>
          <w:color w:val="auto"/>
        </w:rPr>
      </w:pPr>
    </w:p>
    <w:p>
      <w:pPr>
        <w:ind w:left="1020" w:right="120"/>
        <w:spacing w:after="0" w:line="275" w:lineRule="auto"/>
        <w:rPr>
          <w:sz w:val="20"/>
          <w:szCs w:val="20"/>
          <w:color w:val="auto"/>
        </w:rPr>
      </w:pPr>
      <w:r>
        <w:rPr>
          <w:rFonts w:ascii="Arial" w:cs="Arial" w:eastAsia="Arial" w:hAnsi="Arial"/>
          <w:sz w:val="17"/>
          <w:szCs w:val="17"/>
          <w:color w:val="auto"/>
        </w:rPr>
        <w:t>“THE SALE OR TRANSFER OF THE SECURITIES REPRESENTED BY THIS CERTIFICATE IS SUBJECT TO THE TERMS AND CONDITIONS OF THE COMPANY’S ARTICLES OF ASSOCIATION, AS AMENDED FROM TIME TO TIME AND ANY AGREEMENT BY AND AMONG THE HOLDER HEREOF AND THE COMPANY. A COPY OF SUCH AGREEMENTS IS ON FILE AT THE COMPANY’S PRINCIPAL PLACE OF BUSINESS.”</w:t>
      </w:r>
    </w:p>
    <w:p>
      <w:pPr>
        <w:spacing w:after="0" w:line="10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12 of 26</w:t>
      </w:r>
    </w:p>
    <w:p>
      <w:pPr>
        <w:sectPr>
          <w:pgSz w:w="11900" w:h="16838" w:orient="portrait"/>
          <w:cols w:equalWidth="0" w:num="1">
            <w:col w:w="9960"/>
          </w:cols>
          <w:pgMar w:left="1440" w:top="272" w:right="499" w:bottom="1440" w:gutter="0" w:footer="0" w:header="0"/>
        </w:sectPr>
      </w:pPr>
    </w:p>
    <w:bookmarkStart w:id="318" w:name="page319"/>
    <w:bookmarkEnd w:id="318"/>
    <w:p>
      <w:pPr>
        <w:ind w:left="753" w:hanging="753"/>
        <w:spacing w:after="0"/>
        <w:tabs>
          <w:tab w:leader="none" w:pos="753"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Affirmative Covenants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413" w:right="20" w:hanging="642"/>
        <w:spacing w:after="0" w:line="259"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Delivery of Financial Information</w:t>
      </w:r>
      <w:r>
        <w:rPr>
          <w:rFonts w:ascii="Arial" w:cs="Arial" w:eastAsia="Arial" w:hAnsi="Arial"/>
          <w:sz w:val="18"/>
          <w:szCs w:val="18"/>
          <w:color w:val="auto"/>
        </w:rPr>
        <w:t>. Until the earlier of: (i) an IPO, or (ii) a Merger and Acquisition (as such term is defined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Articles), the Company will furnish the following reports to each Investor holding at least two percent (2%) of the Company’s issued and outstanding share capital (each, a “</w:t>
      </w:r>
      <w:r>
        <w:rPr>
          <w:rFonts w:ascii="Arial" w:cs="Arial" w:eastAsia="Arial" w:hAnsi="Arial"/>
          <w:sz w:val="18"/>
          <w:szCs w:val="18"/>
          <w:b w:val="1"/>
          <w:bCs w:val="1"/>
          <w:color w:val="auto"/>
        </w:rPr>
        <w:t>Major Holder</w:t>
      </w:r>
      <w:r>
        <w:rPr>
          <w:rFonts w:ascii="Arial" w:cs="Arial" w:eastAsia="Arial" w:hAnsi="Arial"/>
          <w:sz w:val="18"/>
          <w:szCs w:val="18"/>
          <w:color w:val="auto"/>
        </w:rPr>
        <w:t>”):</w:t>
      </w:r>
    </w:p>
    <w:p>
      <w:pPr>
        <w:spacing w:after="0" w:line="92" w:lineRule="exact"/>
        <w:rPr>
          <w:sz w:val="20"/>
          <w:szCs w:val="20"/>
          <w:color w:val="auto"/>
        </w:rPr>
      </w:pPr>
    </w:p>
    <w:p>
      <w:pPr>
        <w:ind w:left="2173" w:right="120" w:hanging="761"/>
        <w:spacing w:after="0" w:line="266" w:lineRule="auto"/>
        <w:tabs>
          <w:tab w:leader="none" w:pos="21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As soon as practicable after the end of each fiscal year and in any event within ninety (90) days thereafter, the audited consolidated balance sheet and statement of shareholder equity of the Company as of the end of such fiscal year, and the consolidated statements of income and cash flow for the fiscal year then ended, all in reasonable detail, stating in each case in comparative form the figures of the preceding fiscal year, United States dollar denominated, audited and certified by an independent public accounting firm which is one of (or is affiliated with one of) the “Big Four” US accounting firms, in each case in English and accompanied by an opinion in English of such firm which opinion shall state that such balance sheet and statements of shareholder equity, income and cash flow have been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basis consistent with that of the preceding fiscal year, and present fairly and accurately the financial position of the Company as of their date, and that the audit by such accountants in connection with such financial statements has been made in accordance with United States generally accepted auditing standards.</w:t>
      </w:r>
    </w:p>
    <w:p>
      <w:pPr>
        <w:spacing w:after="0" w:line="91" w:lineRule="exact"/>
        <w:rPr>
          <w:sz w:val="20"/>
          <w:szCs w:val="20"/>
          <w:color w:val="auto"/>
        </w:rPr>
      </w:pPr>
    </w:p>
    <w:p>
      <w:pPr>
        <w:ind w:left="2173" w:right="40" w:hanging="761"/>
        <w:spacing w:after="0" w:line="267" w:lineRule="auto"/>
        <w:tabs>
          <w:tab w:leader="none" w:pos="215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As soon as practicable, and in any event within sixty (60) days after the end of each of the first, second and third quarters of each fiscal year of the Company, un-audited reviewed consolidated balance sheets of the Company as of the end of such quarter and consolidated statements of income and cash flow of the Company for such quarter and for the portion of the fiscal year ending with such period, in each case in English and in reasonable detail, stating in each case in comparative form the figures for the corresponding period of the preceding fiscal year and United States dollar denominated, together with an instrument executed by the Chief Financial Officer or President or Chief Executive Officer of the Company certifying that such financials were prepared in accordance with GAAP consistently applied with prior practice for earlier periods (with the exception of footnotes that may be required by GAAP) and fairly present the financial condition of the Company and its results of operation for the period specified, subject to year-end audit adjustment.</w:t>
      </w:r>
    </w:p>
    <w:p>
      <w:pPr>
        <w:spacing w:after="0" w:line="86" w:lineRule="exact"/>
        <w:rPr>
          <w:sz w:val="20"/>
          <w:szCs w:val="20"/>
          <w:color w:val="auto"/>
        </w:rPr>
      </w:pPr>
    </w:p>
    <w:p>
      <w:pPr>
        <w:ind w:left="2173" w:right="300" w:hanging="761"/>
        <w:spacing w:after="0" w:line="271" w:lineRule="auto"/>
        <w:tabs>
          <w:tab w:leader="none" w:pos="215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As soon as practicable, and in any event within thirty (30) days after the end of each month, monthly reports in a form agreed by the Board.</w:t>
      </w:r>
    </w:p>
    <w:p>
      <w:pPr>
        <w:spacing w:after="0" w:line="81" w:lineRule="exact"/>
        <w:rPr>
          <w:sz w:val="20"/>
          <w:szCs w:val="20"/>
          <w:color w:val="auto"/>
        </w:rPr>
      </w:pPr>
    </w:p>
    <w:p>
      <w:pPr>
        <w:ind w:left="2173" w:right="300" w:hanging="761"/>
        <w:spacing w:after="0" w:line="259" w:lineRule="auto"/>
        <w:tabs>
          <w:tab w:leader="none" w:pos="215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Such other information relating to the financial conditions, business, prospects, litigation, M&amp;A opportunities or corporate affairs of the Company as DHL, AMI or Vitruvian may from time to time reasonably request, provided such information is readily available to the Company.</w:t>
      </w:r>
    </w:p>
    <w:p>
      <w:pPr>
        <w:spacing w:after="0" w:line="92" w:lineRule="exact"/>
        <w:rPr>
          <w:sz w:val="20"/>
          <w:szCs w:val="20"/>
          <w:color w:val="auto"/>
        </w:rPr>
      </w:pPr>
    </w:p>
    <w:p>
      <w:pPr>
        <w:ind w:left="1413"/>
        <w:spacing w:after="0"/>
        <w:tabs>
          <w:tab w:leader="none" w:pos="215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As soon as practicable, upon a request of a Major Holder, a current detailed capitalization table of the Company.</w:t>
      </w:r>
    </w:p>
    <w:p>
      <w:pPr>
        <w:spacing w:after="0" w:line="127" w:lineRule="exact"/>
        <w:rPr>
          <w:sz w:val="20"/>
          <w:szCs w:val="20"/>
          <w:color w:val="auto"/>
        </w:rPr>
      </w:pPr>
    </w:p>
    <w:p>
      <w:pPr>
        <w:ind w:left="2173" w:right="780" w:hanging="761"/>
        <w:spacing w:after="0" w:line="271" w:lineRule="auto"/>
        <w:tabs>
          <w:tab w:leader="none" w:pos="2152"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Such other information DHL, AMI, or Vitruvian would need in order to comply with applicable law, regulatory requirements and internal reporting policies.</w:t>
      </w:r>
    </w:p>
    <w:p>
      <w:pPr>
        <w:spacing w:after="0" w:line="81" w:lineRule="exact"/>
        <w:rPr>
          <w:sz w:val="20"/>
          <w:szCs w:val="20"/>
          <w:color w:val="auto"/>
        </w:rPr>
      </w:pPr>
    </w:p>
    <w:p>
      <w:pPr>
        <w:ind w:left="1413" w:right="40" w:hanging="641"/>
        <w:spacing w:after="0" w:line="307" w:lineRule="auto"/>
        <w:tabs>
          <w:tab w:leader="none" w:pos="139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Annual Plan</w:t>
      </w:r>
      <w:r>
        <w:rPr>
          <w:rFonts w:ascii="Arial" w:cs="Arial" w:eastAsia="Arial" w:hAnsi="Arial"/>
          <w:sz w:val="16"/>
          <w:szCs w:val="16"/>
          <w:color w:val="auto"/>
        </w:rPr>
        <w:t>. The Company shall deliver to each Major Holder, until the consummation of the earlier of: (i) an IPO or (ii) a Merger</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Acquisition, no later than thirty (30) days prior to the beginning of each calendar year, an annual operating plan and budget for such upcoming year, and any update (if any) thereof shall be submitted by the Company’s management to the Board for its approval.</w:t>
      </w:r>
    </w:p>
    <w:p>
      <w:pPr>
        <w:spacing w:after="0" w:line="56" w:lineRule="exact"/>
        <w:rPr>
          <w:sz w:val="20"/>
          <w:szCs w:val="20"/>
          <w:color w:val="auto"/>
        </w:rPr>
      </w:pPr>
    </w:p>
    <w:p>
      <w:pPr>
        <w:ind w:left="1413" w:hanging="641"/>
        <w:spacing w:after="0" w:line="267" w:lineRule="auto"/>
        <w:tabs>
          <w:tab w:leader="none" w:pos="13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Inspection and Visitation</w:t>
      </w:r>
      <w:r>
        <w:rPr>
          <w:rFonts w:ascii="Arial" w:cs="Arial" w:eastAsia="Arial" w:hAnsi="Arial"/>
          <w:sz w:val="17"/>
          <w:szCs w:val="17"/>
          <w:color w:val="auto"/>
        </w:rPr>
        <w:t>. Until the consummation of an IPO, the Company will permit each shareholder holding at least four percent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(4%) of the Company’s share capital on a fully diluted as converted basis and its representatives, at such shareholder’s expense, access, during normal business hours and upon reasonable prior written notice, to visit and inspect any of the properties of the Company, to examine its books and records and to discuss its affairs, finances and accounts with the management of the Company, all, at reasonable intervals, and at such reasonable times and upon reasonable written prior notice; except that the Company shall not be obligated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to provide access to any information that it reasonably considers to be a trade secret or confidential unless a customary confidentiality undertaking is signed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disclose such information if the chairman of the Board reasonably determines that such shareholder has a conflict of interest with the Company in connection with such withheld information), or the disclosure of which would adversely affect the attorney-client privilege between the Company and its counsel.</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Page 13 of 26</w:t>
      </w:r>
    </w:p>
    <w:p>
      <w:pPr>
        <w:sectPr>
          <w:pgSz w:w="11900" w:h="16838" w:orient="portrait"/>
          <w:cols w:equalWidth="0" w:num="1">
            <w:col w:w="10913"/>
          </w:cols>
          <w:pgMar w:left="487" w:top="268" w:right="499" w:bottom="1440" w:gutter="0" w:footer="0" w:header="0"/>
        </w:sectPr>
      </w:pPr>
    </w:p>
    <w:bookmarkStart w:id="319" w:name="page320"/>
    <w:bookmarkEnd w:id="319"/>
    <w:p>
      <w:pPr>
        <w:ind w:left="460" w:right="40" w:hanging="641"/>
        <w:spacing w:after="0" w:line="27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2.4.</w:t>
      </w:r>
      <w:r>
        <w:rPr>
          <w:sz w:val="20"/>
          <w:szCs w:val="20"/>
          <w:color w:val="auto"/>
        </w:rPr>
        <w:tab/>
      </w:r>
      <w:r>
        <w:rPr>
          <w:rFonts w:ascii="Arial" w:cs="Arial" w:eastAsia="Arial" w:hAnsi="Arial"/>
          <w:sz w:val="18"/>
          <w:szCs w:val="18"/>
          <w:u w:val="single" w:color="auto"/>
          <w:color w:val="auto"/>
        </w:rPr>
        <w:t xml:space="preserve">Sections 2.1 </w:t>
      </w:r>
      <w:r>
        <w:rPr>
          <w:rFonts w:ascii="Arial" w:cs="Arial" w:eastAsia="Arial" w:hAnsi="Arial"/>
          <w:sz w:val="18"/>
          <w:szCs w:val="18"/>
          <w:color w:val="auto"/>
        </w:rPr>
        <w:t>through</w:t>
      </w:r>
      <w:r>
        <w:rPr>
          <w:rFonts w:ascii="Arial" w:cs="Arial" w:eastAsia="Arial" w:hAnsi="Arial"/>
          <w:sz w:val="18"/>
          <w:szCs w:val="18"/>
          <w:u w:val="single" w:color="auto"/>
          <w:color w:val="auto"/>
        </w:rPr>
        <w:t xml:space="preserve"> 2.3 </w:t>
      </w:r>
      <w:r>
        <w:rPr>
          <w:rFonts w:ascii="Arial" w:cs="Arial" w:eastAsia="Arial" w:hAnsi="Arial"/>
          <w:sz w:val="18"/>
          <w:szCs w:val="18"/>
          <w:color w:val="auto"/>
        </w:rPr>
        <w:t>shall not limit any rights that the shareholders or any directors or observers designated by such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may have under any applicable law and/or any other applicable agreement.</w:t>
      </w:r>
    </w:p>
    <w:p>
      <w:pPr>
        <w:spacing w:after="0" w:line="81" w:lineRule="exact"/>
        <w:rPr>
          <w:sz w:val="20"/>
          <w:szCs w:val="20"/>
          <w:color w:val="auto"/>
        </w:rPr>
      </w:pPr>
    </w:p>
    <w:p>
      <w:pPr>
        <w:ind w:left="460" w:right="20" w:hanging="641"/>
        <w:spacing w:after="0" w:line="280"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Each Investor agrees that any information provided to it under this Agreement will not be disclosed (other than to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officers and its legal, financial and technical advisors), without the prior written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Investor may disclose confidential information (i) to its or its Affiliates’ attorneys, accountants, consultants, and other professionals, in each case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(iii) in connection with periodic reports to its shareholders, partners, limited partners, affiliates, or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are advised that such information is confidential or are bound by customary confidentiality obligations; or (iv) as may otherwise be required by any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sub-clause (iv), that the Investor promptly notifies the Company of such disclosure and takes reasonable steps to minimize the extent of any such required disclosure. For the avoidance of doubt, the foregoing obligations shall not apply with respect to information which: (1) was in the public domain prior to the time of disclosure by the Company; (2) enters the public domain after disclosure by the Company to the Investor through no action or inaction of such Investor; (3) is already in the possession of the Investor free of any obligation of confidentiality at the time of disclosure by the Company; (4) is required by law to be disclosed by the Investor; or (5) is or has been independently developed or conceived by such Investor without use of the Company’s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sub-clause</w:t>
      </w:r>
    </w:p>
    <w:p>
      <w:pPr>
        <w:spacing w:after="0" w:line="4" w:lineRule="exact"/>
        <w:rPr>
          <w:sz w:val="20"/>
          <w:szCs w:val="20"/>
          <w:color w:val="auto"/>
        </w:rPr>
      </w:pPr>
    </w:p>
    <w:p>
      <w:pPr>
        <w:jc w:val="both"/>
        <w:ind w:left="460" w:right="20"/>
        <w:spacing w:after="0" w:line="252" w:lineRule="auto"/>
        <w:rPr>
          <w:sz w:val="20"/>
          <w:szCs w:val="20"/>
          <w:color w:val="auto"/>
        </w:rPr>
      </w:pPr>
      <w:r>
        <w:rPr>
          <w:rFonts w:ascii="Arial" w:cs="Arial" w:eastAsia="Arial" w:hAnsi="Arial"/>
          <w:sz w:val="18"/>
          <w:szCs w:val="18"/>
          <w:color w:val="auto"/>
        </w:rPr>
        <w:t>(4), that such Investor shall (A) use all commercially reasonable efforts to maintain the confidentiality of such disclosed information, and (B) promptly as practicable notify the Company of such disclosure and take reasonable steps to minimize the extent of any such required disclosure.</w:t>
      </w:r>
    </w:p>
    <w:p>
      <w:pPr>
        <w:spacing w:after="0" w:line="97" w:lineRule="exact"/>
        <w:rPr>
          <w:sz w:val="20"/>
          <w:szCs w:val="20"/>
          <w:color w:val="auto"/>
        </w:rPr>
      </w:pPr>
    </w:p>
    <w:p>
      <w:pPr>
        <w:ind w:left="460" w:right="140" w:hanging="641"/>
        <w:spacing w:after="0" w:line="259" w:lineRule="auto"/>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Accounting</w:t>
      </w:r>
      <w:r>
        <w:rPr>
          <w:rFonts w:ascii="Arial" w:cs="Arial" w:eastAsia="Arial" w:hAnsi="Arial"/>
          <w:sz w:val="18"/>
          <w:szCs w:val="18"/>
          <w:color w:val="auto"/>
        </w:rPr>
        <w:t>. The Company will maintain and cause each of its subsidiaries to maintain a system of accounting established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administered in accordance with GAAP consistently applied, and will set aside on its books and cause each of its subsidiaries to set aside on its books all such proper reserves as shall be required by GAAP.</w:t>
      </w:r>
    </w:p>
    <w:p>
      <w:pPr>
        <w:spacing w:after="0" w:line="92" w:lineRule="exact"/>
        <w:rPr>
          <w:sz w:val="20"/>
          <w:szCs w:val="20"/>
          <w:color w:val="auto"/>
        </w:rPr>
      </w:pPr>
    </w:p>
    <w:p>
      <w:pPr>
        <w:ind w:left="460" w:right="120" w:hanging="641"/>
        <w:spacing w:after="0" w:line="297" w:lineRule="auto"/>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Proprietary Information and Non-Competition Agreements</w:t>
      </w:r>
      <w:r>
        <w:rPr>
          <w:rFonts w:ascii="Arial" w:cs="Arial" w:eastAsia="Arial" w:hAnsi="Arial"/>
          <w:sz w:val="16"/>
          <w:szCs w:val="16"/>
          <w:color w:val="auto"/>
        </w:rPr>
        <w:t>. The Company will not employ, or continue to employ, any employee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consultant who will have, or had at any time, access to confidential information with respect to the Company and its operations, Company trade secrets or who is otherwise involved in the development of the Company’s intellectual property unless such person has executed and delivered a Proprietary Information and Non-Competition Agreement in the form approved by the Board.</w:t>
      </w:r>
    </w:p>
    <w:p>
      <w:pPr>
        <w:spacing w:after="0" w:line="62" w:lineRule="exact"/>
        <w:rPr>
          <w:sz w:val="20"/>
          <w:szCs w:val="20"/>
          <w:color w:val="auto"/>
        </w:rPr>
      </w:pPr>
    </w:p>
    <w:p>
      <w:pPr>
        <w:ind w:left="460" w:hanging="641"/>
        <w:spacing w:after="0" w:line="268" w:lineRule="auto"/>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Pursuance of Qualified IPO</w:t>
      </w:r>
      <w:r>
        <w:rPr>
          <w:rFonts w:ascii="Arial" w:cs="Arial" w:eastAsia="Arial" w:hAnsi="Arial"/>
          <w:sz w:val="17"/>
          <w:szCs w:val="17"/>
          <w:color w:val="auto"/>
        </w:rPr>
        <w:t>. Subject to the approval of the holders of majority of the Company’s Preferred Shares (the “</w:t>
      </w:r>
      <w:r>
        <w:rPr>
          <w:rFonts w:ascii="Arial" w:cs="Arial" w:eastAsia="Arial" w:hAnsi="Arial"/>
          <w:sz w:val="17"/>
          <w:szCs w:val="17"/>
          <w:b w:val="1"/>
          <w:bCs w:val="1"/>
          <w:color w:val="auto"/>
        </w:rPr>
        <w:t>Preferred</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Majority</w:t>
      </w:r>
      <w:r>
        <w:rPr>
          <w:rFonts w:ascii="Arial" w:cs="Arial" w:eastAsia="Arial" w:hAnsi="Arial"/>
          <w:sz w:val="17"/>
          <w:szCs w:val="17"/>
          <w:color w:val="auto"/>
        </w:rPr>
        <w:t>”), after the third (3</w:t>
      </w:r>
      <w:r>
        <w:rPr>
          <w:rFonts w:ascii="Arial" w:cs="Arial" w:eastAsia="Arial" w:hAnsi="Arial"/>
          <w:sz w:val="14"/>
          <w:szCs w:val="14"/>
          <w:color w:val="auto"/>
        </w:rPr>
        <w:t>rd</w:t>
      </w:r>
      <w:r>
        <w:rPr>
          <w:rFonts w:ascii="Arial" w:cs="Arial" w:eastAsia="Arial" w:hAnsi="Arial"/>
          <w:sz w:val="17"/>
          <w:szCs w:val="17"/>
          <w:color w:val="auto"/>
        </w:rPr>
        <w:t>) anniversary of the Closing, such Preferred Majority may require the Board to elect an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 (with the identity of such investment bank to be determined by the Board, at its sole discretion) to be formally appointed to investigate and pursue a “Qualified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interpreted or construed as derogating from the Board’s right and authority to appoint an investment bank for pursuing any IPO at its election at any time, whether prior to or after the third anniversary of the Closing. A “</w:t>
      </w:r>
      <w:r>
        <w:rPr>
          <w:rFonts w:ascii="Arial" w:cs="Arial" w:eastAsia="Arial" w:hAnsi="Arial"/>
          <w:sz w:val="17"/>
          <w:szCs w:val="17"/>
          <w:b w:val="1"/>
          <w:bCs w:val="1"/>
          <w:color w:val="auto"/>
        </w:rPr>
        <w:t>Qualified IPO</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mean, the sale of the Company’s Ordinary Shares in a public offering on a regulated market or exchange with adequate liquidity, which results in aggregate cash proceeds to the Company of at least US$150,000,000 (net of any underwriting discounts and commissions) and where the valuation of the Company equals to at least US$750,000,000 prior to such Qualified IPO.</w:t>
      </w:r>
    </w:p>
    <w:p>
      <w:pPr>
        <w:spacing w:after="0" w:line="86" w:lineRule="exact"/>
        <w:rPr>
          <w:sz w:val="20"/>
          <w:szCs w:val="20"/>
          <w:color w:val="auto"/>
        </w:rPr>
      </w:pPr>
    </w:p>
    <w:p>
      <w:pPr>
        <w:ind w:left="460" w:right="80" w:hanging="641"/>
        <w:spacing w:after="0" w:line="281" w:lineRule="auto"/>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u w:val="single" w:color="auto"/>
          <w:color w:val="auto"/>
        </w:rPr>
        <w:t>Pursuance of Merger and Acquisition</w:t>
      </w:r>
      <w:r>
        <w:rPr>
          <w:rFonts w:ascii="Arial" w:cs="Arial" w:eastAsia="Arial" w:hAnsi="Arial"/>
          <w:sz w:val="17"/>
          <w:szCs w:val="17"/>
          <w:color w:val="auto"/>
        </w:rPr>
        <w:t>. Subject to the approval of the Preferred Majority, after the fifth (5</w:t>
      </w:r>
      <w:r>
        <w:rPr>
          <w:rFonts w:ascii="Arial" w:cs="Arial" w:eastAsia="Arial" w:hAnsi="Arial"/>
          <w:sz w:val="14"/>
          <w:szCs w:val="14"/>
          <w:color w:val="auto"/>
        </w:rPr>
        <w:t>th</w:t>
      </w:r>
      <w:r>
        <w:rPr>
          <w:rFonts w:ascii="Arial" w:cs="Arial" w:eastAsia="Arial" w:hAnsi="Arial"/>
          <w:sz w:val="17"/>
          <w:szCs w:val="17"/>
          <w:color w:val="auto"/>
        </w:rPr>
        <w:t>) anniversary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Closing, such Preferred Majority may require the Board to elect an investment bank (with the identity of such investment bank to be determined by the Board, at its sole discretion)to be formally appointed to investigate and pursue a Merger and</w:t>
      </w:r>
    </w:p>
    <w:p>
      <w:pPr>
        <w:spacing w:after="0" w:line="10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14 of 26</w:t>
      </w:r>
    </w:p>
    <w:p>
      <w:pPr>
        <w:sectPr>
          <w:pgSz w:w="11900" w:h="16838" w:orient="portrait"/>
          <w:cols w:equalWidth="0" w:num="1">
            <w:col w:w="9960"/>
          </w:cols>
          <w:pgMar w:left="1440" w:top="272" w:right="499" w:bottom="1440" w:gutter="0" w:footer="0" w:header="0"/>
        </w:sectPr>
      </w:pPr>
    </w:p>
    <w:bookmarkStart w:id="320" w:name="page321"/>
    <w:bookmarkEnd w:id="320"/>
    <w:p>
      <w:pPr>
        <w:jc w:val="both"/>
        <w:ind w:left="660"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be interpreted or construed as derogating from the Board’s right and authority to appoint an investment bank for pursuing any Merger and Acquisition at its election at any time, whether prior to or after the fifth anniversary of the Closing.</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 xml:space="preserve">Insurance. </w:t>
      </w:r>
      <w:r>
        <w:rPr>
          <w:rFonts w:ascii="Arial" w:cs="Arial" w:eastAsia="Arial" w:hAnsi="Arial"/>
          <w:sz w:val="16"/>
          <w:szCs w:val="16"/>
          <w:color w:val="auto"/>
        </w:rPr>
        <w:t>The Company shall maintain, from financially sound and reputable insurers, Directors and Officers liability insurance.</w:t>
      </w:r>
    </w:p>
    <w:p>
      <w:pPr>
        <w:spacing w:after="0" w:line="1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4"/>
          <w:szCs w:val="14"/>
          <w:u w:val="single" w:color="auto"/>
          <w:color w:val="auto"/>
        </w:rPr>
        <w:t>CFC Representations and Covenants</w:t>
      </w:r>
      <w:r>
        <w:rPr>
          <w:rFonts w:ascii="Arial" w:cs="Arial" w:eastAsia="Arial" w:hAnsi="Arial"/>
          <w:sz w:val="14"/>
          <w:szCs w:val="14"/>
          <w:color w:val="auto"/>
        </w:rPr>
        <w:t>.</w:t>
      </w:r>
    </w:p>
    <w:p>
      <w:pPr>
        <w:spacing w:after="0" w:line="127" w:lineRule="exact"/>
        <w:rPr>
          <w:sz w:val="20"/>
          <w:szCs w:val="20"/>
          <w:color w:val="auto"/>
        </w:rPr>
      </w:pPr>
    </w:p>
    <w:p>
      <w:pPr>
        <w:ind w:left="1420" w:right="60" w:hanging="761"/>
        <w:spacing w:after="0" w:line="281" w:lineRule="auto"/>
        <w:tabs>
          <w:tab w:leader="none" w:pos="140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Following the Closing, the Company shall: (a) provide any information reasonably available to the Company and its Affiliates which is requested by AMI or Vitruvian in order for AMI or Vitruvian, as applicable, to (i) prepare accurately all tax returns required to be filed by AMI or Vitruvian, as applicable, (ii) comply with any tax reporting requirement imposed as a result of the investment of AMI or Vitruvian, as applicable, in the Company, and (iii) determine whether the Company is a “Controlled Foreign Corporation” (“</w:t>
      </w:r>
      <w:r>
        <w:rPr>
          <w:rFonts w:ascii="Arial" w:cs="Arial" w:eastAsia="Arial" w:hAnsi="Arial"/>
          <w:sz w:val="16"/>
          <w:szCs w:val="16"/>
          <w:b w:val="1"/>
          <w:bCs w:val="1"/>
          <w:color w:val="auto"/>
        </w:rPr>
        <w:t>CFC</w:t>
      </w:r>
      <w:r>
        <w:rPr>
          <w:rFonts w:ascii="Arial" w:cs="Arial" w:eastAsia="Arial" w:hAnsi="Arial"/>
          <w:sz w:val="16"/>
          <w:szCs w:val="16"/>
          <w:color w:val="auto"/>
        </w:rPr>
        <w:t>”) as defined in the U.S. Internal Revenue Code of 1986, as amended (or any successor thereto) (the “</w:t>
      </w:r>
      <w:r>
        <w:rPr>
          <w:rFonts w:ascii="Arial" w:cs="Arial" w:eastAsia="Arial" w:hAnsi="Arial"/>
          <w:sz w:val="16"/>
          <w:szCs w:val="16"/>
          <w:b w:val="1"/>
          <w:bCs w:val="1"/>
          <w:color w:val="auto"/>
        </w:rPr>
        <w:t>Code</w:t>
      </w:r>
      <w:r>
        <w:rPr>
          <w:rFonts w:ascii="Arial" w:cs="Arial" w:eastAsia="Arial" w:hAnsi="Arial"/>
          <w:sz w:val="16"/>
          <w:szCs w:val="16"/>
          <w:color w:val="auto"/>
        </w:rPr>
        <w:t>”) with respect to the shares held by AMI or Vitruvian, as applicable; and</w:t>
      </w:r>
    </w:p>
    <w:p>
      <w:pPr>
        <w:spacing w:after="0" w:line="4" w:lineRule="exact"/>
        <w:rPr>
          <w:sz w:val="20"/>
          <w:szCs w:val="20"/>
          <w:color w:val="auto"/>
        </w:rPr>
      </w:pPr>
    </w:p>
    <w:p>
      <w:pPr>
        <w:jc w:val="both"/>
        <w:ind w:left="1420" w:right="240" w:firstLine="7"/>
        <w:spacing w:after="0" w:line="274" w:lineRule="auto"/>
        <w:tabs>
          <w:tab w:leader="none" w:pos="1672" w:val="left"/>
        </w:tabs>
        <w:numPr>
          <w:ilvl w:val="0"/>
          <w:numId w:val="274"/>
        </w:numPr>
        <w:rPr>
          <w:rFonts w:ascii="Arial" w:cs="Arial" w:eastAsia="Arial" w:hAnsi="Arial"/>
          <w:sz w:val="17"/>
          <w:szCs w:val="17"/>
          <w:color w:val="auto"/>
        </w:rPr>
      </w:pPr>
      <w:r>
        <w:rPr>
          <w:rFonts w:ascii="Arial" w:cs="Arial" w:eastAsia="Arial" w:hAnsi="Arial"/>
          <w:sz w:val="17"/>
          <w:szCs w:val="17"/>
          <w:color w:val="auto"/>
        </w:rPr>
        <w:t>monitor its status and the status of any other entity in which the Company owns equity interests as a CFC, and shall promptly notify each of AMI and Vitruvian in writing if at any time the Company is or may be treated as a CFC or if at any time any entity in which the Company owns equity interests is or may be treated as a CFC.</w:t>
      </w:r>
    </w:p>
    <w:p>
      <w:pPr>
        <w:spacing w:after="0" w:line="80" w:lineRule="exact"/>
        <w:rPr>
          <w:sz w:val="20"/>
          <w:szCs w:val="20"/>
          <w:color w:val="auto"/>
        </w:rPr>
      </w:pPr>
    </w:p>
    <w:p>
      <w:pPr>
        <w:ind w:left="1420" w:hanging="761"/>
        <w:spacing w:after="0" w:line="282" w:lineRule="auto"/>
        <w:tabs>
          <w:tab w:leader="none" w:pos="140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No later than forty-five (45) days following the end of each of the Company’s taxable year, and at any time that there is a change in either the Company’s, or a subsidiary of the Company’s, ownership structure, the Company shall supply each of AMI and Vitruvian with all information that it has in its possession that may be necessary for each of AMI and Vitruvian to determine, (A) whether AMI or Vitruvian, as applicable, or one of its direct or indirect owners, is a “United States Shareholder” (as described in Section 951(b) of the Code) with respect to the Company or any subsidiary of the Company,</w:t>
      </w:r>
    </w:p>
    <w:p>
      <w:pPr>
        <w:spacing w:after="0" w:line="2" w:lineRule="exact"/>
        <w:rPr>
          <w:sz w:val="20"/>
          <w:szCs w:val="20"/>
          <w:color w:val="auto"/>
        </w:rPr>
      </w:pPr>
    </w:p>
    <w:p>
      <w:pPr>
        <w:ind w:left="1420" w:firstLine="7"/>
        <w:spacing w:after="0" w:line="250" w:lineRule="auto"/>
        <w:tabs>
          <w:tab w:leader="none" w:pos="170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whether the Company, or any subsidiary of the Company, is a CFC, and (C) in the event the Company or one of its subsidiaries is determined to be a CFC, the amount of income that AMI or Vitruvian, as applicable, or a direct or indirect owner thereof may have to include in its gross income under Section 951(a) of the Code with respect to its interest in the Company or a subsidiary of the Company (including, but not limited to, its share of any subpart F income of the Company or any subsidiary of the Company).</w:t>
      </w:r>
    </w:p>
    <w:p>
      <w:pPr>
        <w:spacing w:after="0" w:line="99" w:lineRule="exact"/>
        <w:rPr>
          <w:sz w:val="20"/>
          <w:szCs w:val="20"/>
          <w:color w:val="auto"/>
        </w:rPr>
      </w:pPr>
    </w:p>
    <w:p>
      <w:pPr>
        <w:ind w:left="1420" w:right="40" w:hanging="761"/>
        <w:spacing w:after="0" w:line="287" w:lineRule="auto"/>
        <w:tabs>
          <w:tab w:leader="none" w:pos="140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In the event that the Company is determined, by counsel or accountants for AMI or Vitruvian, to be a CFC with respect to the shares held by AMI or Vitruvian, as applicable, the Company agrees to use commercially reasonable efforts to avoid</w:t>
      </w:r>
    </w:p>
    <w:p>
      <w:pPr>
        <w:spacing w:after="0" w:line="1" w:lineRule="exact"/>
        <w:rPr>
          <w:sz w:val="20"/>
          <w:szCs w:val="20"/>
          <w:color w:val="auto"/>
        </w:rPr>
      </w:pPr>
    </w:p>
    <w:p>
      <w:pPr>
        <w:ind w:left="1420" w:right="300" w:firstLine="7"/>
        <w:spacing w:after="0" w:line="252" w:lineRule="auto"/>
        <w:tabs>
          <w:tab w:leader="none" w:pos="164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generating “subpart F income” as such term is defined in Section 952 of the Code and the Treasury Regulations promulgated thereunder, and (II) investing in “United States property” as such term is defined in Section 956(c) of the Code and the Treasury Regulations promulgated thereunder.</w:t>
      </w:r>
    </w:p>
    <w:p>
      <w:pPr>
        <w:spacing w:after="0" w:line="97" w:lineRule="exact"/>
        <w:rPr>
          <w:sz w:val="20"/>
          <w:szCs w:val="20"/>
          <w:color w:val="auto"/>
        </w:rPr>
      </w:pPr>
    </w:p>
    <w:p>
      <w:pPr>
        <w:ind w:left="1420" w:right="60" w:hanging="761"/>
        <w:spacing w:after="0" w:line="269" w:lineRule="auto"/>
        <w:tabs>
          <w:tab w:leader="none" w:pos="140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7"/>
          <w:szCs w:val="17"/>
          <w:color w:val="auto"/>
        </w:rPr>
        <w:t>In connection with any gain recognized by AMI or Vitruvian with respect to the Company or a subsidiary of the Company, to the extent relevant to the tax reporting of AMI or Vitruvian, as applicable, or its direct or indirect owners, the Company shall, upon the request of AMI or Vitruvian, as applicable, timely provide AMI or Vitruvian, as applicable, with any information reasonably available to the Company and its Affiliates in order for AMI or Vitruvian, as applicable, to calculate the Company’s and/or its subsidiary’s respective earnings and profits and AMI’s or Vitruvian’s, as applicable, share thereof as determined for U.S. federal income tax purposes for purposes of Section 1248 of the Code and the Treasury Regulations promulgated thereunder.</w:t>
      </w:r>
    </w:p>
    <w:p>
      <w:pPr>
        <w:spacing w:after="0" w:line="1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15 of 26</w:t>
      </w:r>
    </w:p>
    <w:p>
      <w:pPr>
        <w:sectPr>
          <w:pgSz w:w="11900" w:h="16838" w:orient="portrait"/>
          <w:cols w:equalWidth="0" w:num="1">
            <w:col w:w="10160"/>
          </w:cols>
          <w:pgMar w:left="1240" w:top="272" w:right="499" w:bottom="1440" w:gutter="0" w:footer="0" w:header="0"/>
        </w:sectPr>
      </w:pPr>
    </w:p>
    <w:bookmarkStart w:id="321" w:name="page322"/>
    <w:bookmarkEnd w:id="321"/>
    <w:p>
      <w:pPr>
        <w:ind w:left="460" w:right="160" w:hanging="641"/>
        <w:spacing w:after="0" w:line="28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2.12.</w:t>
      </w:r>
      <w:r>
        <w:rPr>
          <w:sz w:val="20"/>
          <w:szCs w:val="20"/>
          <w:color w:val="auto"/>
        </w:rPr>
        <w:tab/>
      </w:r>
      <w:r>
        <w:rPr>
          <w:rFonts w:ascii="Arial" w:cs="Arial" w:eastAsia="Arial" w:hAnsi="Arial"/>
          <w:sz w:val="17"/>
          <w:szCs w:val="17"/>
          <w:u w:val="single" w:color="auto"/>
          <w:color w:val="auto"/>
        </w:rPr>
        <w:t>PFIC Representations and Covenants</w:t>
      </w:r>
      <w:r>
        <w:rPr>
          <w:rFonts w:ascii="Arial" w:cs="Arial" w:eastAsia="Arial" w:hAnsi="Arial"/>
          <w:sz w:val="17"/>
          <w:szCs w:val="17"/>
          <w:color w:val="auto"/>
        </w:rPr>
        <w:t>. The Company, which is, immediately prior to the effective date of this Agreement, not a</w:t>
      </w:r>
      <w:r>
        <w:rPr>
          <w:rFonts w:ascii="Arial" w:cs="Arial" w:eastAsia="Arial" w:hAnsi="Arial"/>
          <w:sz w:val="17"/>
          <w:szCs w:val="17"/>
          <w:u w:val="single" w:color="auto"/>
          <w:color w:val="auto"/>
        </w:rPr>
        <w:t xml:space="preserve"> </w:t>
      </w:r>
      <w:r>
        <w:rPr>
          <w:rFonts w:ascii="Arial" w:cs="Arial" w:eastAsia="Arial" w:hAnsi="Arial"/>
          <w:sz w:val="17"/>
          <w:szCs w:val="17"/>
          <w:color w:val="auto"/>
        </w:rPr>
        <w:t>“United States Person” as defined in Section 7701(a)(30) of the U.S. Tax Code, represents, warrants and covenants to each of AMI and Vitruvian (and acknowledges that each of AMI and Vitruvian is relying thereon) the following:</w:t>
      </w:r>
    </w:p>
    <w:p>
      <w:pPr>
        <w:spacing w:after="0" w:line="76" w:lineRule="exact"/>
        <w:rPr>
          <w:sz w:val="20"/>
          <w:szCs w:val="20"/>
          <w:color w:val="auto"/>
        </w:rPr>
      </w:pPr>
    </w:p>
    <w:p>
      <w:pPr>
        <w:ind w:left="1220" w:hanging="761"/>
        <w:spacing w:after="0" w:line="268" w:lineRule="auto"/>
        <w:tabs>
          <w:tab w:leader="none" w:pos="120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7"/>
          <w:szCs w:val="17"/>
          <w:color w:val="auto"/>
        </w:rPr>
        <w:t>The Company shall provide any information reasonably available to the Company and its affiliates which is requested by AMI or Vitruvian in order for AMI or Vitruvian, as applicable, to determine whether the Company is a “Passive Foreign Investment Company” as defined in Section 1297 of the U.S. Tax Code (a “</w:t>
      </w:r>
      <w:r>
        <w:rPr>
          <w:rFonts w:ascii="Arial" w:cs="Arial" w:eastAsia="Arial" w:hAnsi="Arial"/>
          <w:sz w:val="17"/>
          <w:szCs w:val="17"/>
          <w:b w:val="1"/>
          <w:bCs w:val="1"/>
          <w:color w:val="auto"/>
        </w:rPr>
        <w:t>PFIC</w:t>
      </w:r>
      <w:r>
        <w:rPr>
          <w:rFonts w:ascii="Arial" w:cs="Arial" w:eastAsia="Arial" w:hAnsi="Arial"/>
          <w:sz w:val="17"/>
          <w:szCs w:val="17"/>
          <w:color w:val="auto"/>
        </w:rPr>
        <w:t>”). The Company shall monitor the status of it and any other entity in which the Company owns equity interests as a PFIC, shall make due inquiry with its tax advisors on at least an annual basis regarding its status as a PFIC, and if the Company is informed by its tax advisors that it has become a PFIC, or that there is a likelihood of the Company being classified as a PFIC for any taxable year, then the Company will provide prompt written notice to each of AMI and Vitruvian if at any time the Company determines that it is a PFIC or is at such risk, as the case may be.</w:t>
      </w:r>
    </w:p>
    <w:p>
      <w:pPr>
        <w:spacing w:after="0" w:line="86" w:lineRule="exact"/>
        <w:rPr>
          <w:sz w:val="20"/>
          <w:szCs w:val="20"/>
          <w:color w:val="auto"/>
        </w:rPr>
      </w:pPr>
    </w:p>
    <w:p>
      <w:pPr>
        <w:jc w:val="both"/>
        <w:ind w:left="1220" w:right="20" w:hanging="761"/>
        <w:spacing w:after="0" w:line="259" w:lineRule="auto"/>
        <w:tabs>
          <w:tab w:leader="none" w:pos="1200" w:val="left"/>
        </w:tabs>
        <w:rPr>
          <w:sz w:val="20"/>
          <w:szCs w:val="20"/>
          <w:color w:val="auto"/>
        </w:rPr>
      </w:pPr>
      <w:r>
        <w:rPr>
          <w:rFonts w:ascii="Arial" w:cs="Arial" w:eastAsia="Arial" w:hAnsi="Arial"/>
          <w:sz w:val="18"/>
          <w:szCs w:val="18"/>
          <w:color w:val="auto"/>
        </w:rPr>
        <w:t>2.12.2.</w:t>
        <w:tab/>
        <w:t>The Company shall provide any information reasonably available to the Company and its Affiliates which is requested by AMI or Vitruvian in order for AMI or Vitruvian, as applicable, to make required filings with applicable taxing authorities including U.S. Internal Revenue Service filings on Form 8621.</w:t>
      </w:r>
    </w:p>
    <w:p>
      <w:pPr>
        <w:spacing w:after="0" w:line="92" w:lineRule="exact"/>
        <w:rPr>
          <w:sz w:val="20"/>
          <w:szCs w:val="20"/>
          <w:color w:val="auto"/>
        </w:rPr>
      </w:pPr>
    </w:p>
    <w:p>
      <w:pPr>
        <w:ind w:left="1220" w:right="20" w:hanging="761"/>
        <w:spacing w:after="0" w:line="275" w:lineRule="auto"/>
        <w:tabs>
          <w:tab w:leader="none" w:pos="120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7"/>
          <w:szCs w:val="17"/>
          <w:color w:val="auto"/>
        </w:rPr>
        <w:t>Upon request of AMI or Vitruvian, the Company shall promptly, but in no event later than 60 days after the end of each U.S. taxable year of the Company, provide AMI or Vitruvian, as applicable, with a “PFIC Annual Information Statement” (within the meaning of U.S. Treasury Regulations Section 1.1295-1(g)), which shall be signed by the Company or an authorized representative of the Company and which shall set forth the following information:</w:t>
      </w:r>
    </w:p>
    <w:p>
      <w:pPr>
        <w:spacing w:after="0" w:line="80" w:lineRule="exact"/>
        <w:rPr>
          <w:sz w:val="20"/>
          <w:szCs w:val="20"/>
          <w:color w:val="auto"/>
        </w:rPr>
      </w:pPr>
    </w:p>
    <w:p>
      <w:pPr>
        <w:ind w:left="1980" w:right="340" w:hanging="761"/>
        <w:spacing w:after="0" w:line="335" w:lineRule="auto"/>
        <w:tabs>
          <w:tab w:leader="none" w:pos="1960" w:val="left"/>
        </w:tabs>
        <w:rPr>
          <w:sz w:val="20"/>
          <w:szCs w:val="20"/>
          <w:color w:val="auto"/>
        </w:rPr>
      </w:pPr>
      <w:r>
        <w:rPr>
          <w:rFonts w:ascii="Arial" w:cs="Arial" w:eastAsia="Arial" w:hAnsi="Arial"/>
          <w:sz w:val="18"/>
          <w:szCs w:val="18"/>
          <w:color w:val="auto"/>
        </w:rPr>
        <w:t>2.12.3.1.</w:t>
      </w:r>
      <w:r>
        <w:rPr>
          <w:sz w:val="20"/>
          <w:szCs w:val="20"/>
          <w:color w:val="auto"/>
        </w:rPr>
        <w:tab/>
      </w:r>
      <w:r>
        <w:rPr>
          <w:rFonts w:ascii="Arial" w:cs="Arial" w:eastAsia="Arial" w:hAnsi="Arial"/>
          <w:sz w:val="16"/>
          <w:szCs w:val="16"/>
          <w:color w:val="auto"/>
        </w:rPr>
        <w:t>The pro rata share of AMI or Vitruvian, as applicable, of the “ordinary earnings” and “net capital gain” (as defined in U.S. Treasury Regulations Section 1.1293-1(a)(2)) of the Company for such taxable year;</w:t>
      </w:r>
    </w:p>
    <w:p>
      <w:pPr>
        <w:spacing w:after="0" w:line="35" w:lineRule="exact"/>
        <w:rPr>
          <w:sz w:val="20"/>
          <w:szCs w:val="20"/>
          <w:color w:val="auto"/>
        </w:rPr>
      </w:pPr>
    </w:p>
    <w:p>
      <w:pPr>
        <w:ind w:left="1980" w:right="280" w:hanging="761"/>
        <w:spacing w:after="0" w:line="271" w:lineRule="auto"/>
        <w:tabs>
          <w:tab w:leader="none" w:pos="1960" w:val="left"/>
        </w:tabs>
        <w:rPr>
          <w:sz w:val="20"/>
          <w:szCs w:val="20"/>
          <w:color w:val="auto"/>
        </w:rPr>
      </w:pPr>
      <w:r>
        <w:rPr>
          <w:rFonts w:ascii="Arial" w:cs="Arial" w:eastAsia="Arial" w:hAnsi="Arial"/>
          <w:sz w:val="18"/>
          <w:szCs w:val="18"/>
          <w:color w:val="auto"/>
        </w:rPr>
        <w:t>2.12.3.2.</w:t>
        <w:tab/>
        <w:t>The amount of cash and the fair market value of other property distributed or deemed distributed to AMI or Vitruvian, as applicable, by the Company during such taxable year; and</w:t>
      </w:r>
    </w:p>
    <w:p>
      <w:pPr>
        <w:spacing w:after="0" w:line="81" w:lineRule="exact"/>
        <w:rPr>
          <w:sz w:val="20"/>
          <w:szCs w:val="20"/>
          <w:color w:val="auto"/>
        </w:rPr>
      </w:pPr>
    </w:p>
    <w:p>
      <w:pPr>
        <w:ind w:left="1980" w:right="40" w:hanging="761"/>
        <w:spacing w:after="0" w:line="253" w:lineRule="auto"/>
        <w:tabs>
          <w:tab w:leader="none" w:pos="1960" w:val="left"/>
        </w:tabs>
        <w:rPr>
          <w:sz w:val="20"/>
          <w:szCs w:val="20"/>
          <w:color w:val="auto"/>
        </w:rPr>
      </w:pPr>
      <w:r>
        <w:rPr>
          <w:rFonts w:ascii="Arial" w:cs="Arial" w:eastAsia="Arial" w:hAnsi="Arial"/>
          <w:sz w:val="18"/>
          <w:szCs w:val="18"/>
          <w:color w:val="auto"/>
        </w:rPr>
        <w:t>2.12.3.3.</w:t>
        <w:tab/>
        <w:t>A statement that the Company will permit AMI or Vitruvian, as applicable, to inspect and copy the Company’s permanent books of account, records, and such other documents as may be maintained by the Company to establish that the Company’s “ordinary earnings” and “net capital gain” are computed in accordance with U.S. federal income tax principles, and to verify these amounts and the pro rata share of AMI or Vitruvian, as applicable, thereof.</w:t>
      </w:r>
    </w:p>
    <w:p>
      <w:pPr>
        <w:spacing w:after="0" w:line="99" w:lineRule="exact"/>
        <w:rPr>
          <w:sz w:val="20"/>
          <w:szCs w:val="20"/>
          <w:color w:val="auto"/>
        </w:rPr>
      </w:pPr>
    </w:p>
    <w:p>
      <w:pPr>
        <w:ind w:left="460" w:right="320" w:hanging="641"/>
        <w:spacing w:after="0" w:line="259" w:lineRule="auto"/>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Entity Classification Representation</w:t>
      </w:r>
      <w:r>
        <w:rPr>
          <w:rFonts w:ascii="Arial" w:cs="Arial" w:eastAsia="Arial" w:hAnsi="Arial"/>
          <w:sz w:val="18"/>
          <w:szCs w:val="18"/>
          <w:color w:val="auto"/>
        </w:rPr>
        <w:t>. The Company shall take such actions, including making an election to be treated as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corporation or refraining from making an election to be treated as a partnership, as may be required to ensure that at all times the Company is treated as a corporation for United States federal income tax purposes.</w:t>
      </w:r>
    </w:p>
    <w:p>
      <w:pPr>
        <w:spacing w:after="0" w:line="92" w:lineRule="exact"/>
        <w:rPr>
          <w:sz w:val="20"/>
          <w:szCs w:val="20"/>
          <w:color w:val="auto"/>
        </w:rPr>
      </w:pPr>
    </w:p>
    <w:p>
      <w:pPr>
        <w:ind w:left="460" w:right="40" w:hanging="641"/>
        <w:spacing w:after="0" w:line="287" w:lineRule="auto"/>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Miscellaneous Information Reporting Representation</w:t>
      </w:r>
      <w:r>
        <w:rPr>
          <w:rFonts w:ascii="Arial" w:cs="Arial" w:eastAsia="Arial" w:hAnsi="Arial"/>
          <w:sz w:val="16"/>
          <w:szCs w:val="16"/>
          <w:color w:val="auto"/>
        </w:rPr>
        <w:t>. The Company shall cooperate with the tax advisors of AMI or Vitruvian,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case may be, with respect to any inquiry, on at least an annual basis, regarding whether AMI or Vitruvian, as applicable, or any direct or indirect owner thereof is subject to the reporting requirements of either or both of Sections 6038 and 6038B of the Code with respect to their direct or indirect interest in the Company or a subsidiary of the Company, and in the event that AMI or Vitruvian, as applicable, or any direct or indirect owner thereof is determined by the tax advisors of AMI or Vitruvian, as applicable, to be subject to the reporting requirements of either or both of Sections 6038 and 6038B, the Company agrees, upon a request from AMI or Vitruvian, as applicable, to provide such information as may be necessary to fulfill the obligations of AMI or Vitruvian, as applicable, or the direct or indirect owner thereof under such reporting requirements.</w:t>
      </w:r>
    </w:p>
    <w:p>
      <w:pPr>
        <w:spacing w:after="0" w:line="9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16 of 26</w:t>
      </w:r>
    </w:p>
    <w:p>
      <w:pPr>
        <w:sectPr>
          <w:pgSz w:w="11900" w:h="16838" w:orient="portrait"/>
          <w:cols w:equalWidth="0" w:num="1">
            <w:col w:w="9940"/>
          </w:cols>
          <w:pgMar w:left="1440" w:top="272" w:right="519" w:bottom="1440" w:gutter="0" w:footer="0" w:header="0"/>
        </w:sectPr>
      </w:pPr>
    </w:p>
    <w:bookmarkStart w:id="322" w:name="page323"/>
    <w:bookmarkEnd w:id="322"/>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2.15.</w:t>
      </w:r>
      <w:r>
        <w:rPr>
          <w:sz w:val="20"/>
          <w:szCs w:val="20"/>
          <w:color w:val="auto"/>
        </w:rPr>
        <w:tab/>
      </w:r>
      <w:r>
        <w:rPr>
          <w:rFonts w:ascii="Arial" w:cs="Arial" w:eastAsia="Arial" w:hAnsi="Arial"/>
          <w:sz w:val="14"/>
          <w:szCs w:val="14"/>
          <w:u w:val="single" w:color="auto"/>
          <w:color w:val="auto"/>
        </w:rPr>
        <w:t>FCPA</w:t>
      </w:r>
      <w:r>
        <w:rPr>
          <w:rFonts w:ascii="Arial" w:cs="Arial" w:eastAsia="Arial" w:hAnsi="Arial"/>
          <w:sz w:val="14"/>
          <w:szCs w:val="14"/>
          <w:color w:val="auto"/>
        </w:rPr>
        <w:t>. The Company hereby represents, warrants and covenants that:</w:t>
      </w:r>
    </w:p>
    <w:p>
      <w:pPr>
        <w:spacing w:after="0" w:line="127" w:lineRule="exact"/>
        <w:rPr>
          <w:sz w:val="20"/>
          <w:szCs w:val="20"/>
          <w:color w:val="auto"/>
        </w:rPr>
      </w:pPr>
    </w:p>
    <w:p>
      <w:pPr>
        <w:ind w:left="1420" w:right="80" w:hanging="761"/>
        <w:spacing w:after="0" w:line="285" w:lineRule="auto"/>
        <w:tabs>
          <w:tab w:leader="none" w:pos="1400" w:val="left"/>
        </w:tabs>
        <w:rPr>
          <w:sz w:val="20"/>
          <w:szCs w:val="20"/>
          <w:color w:val="auto"/>
        </w:rPr>
      </w:pPr>
      <w:r>
        <w:rPr>
          <w:rFonts w:ascii="Arial" w:cs="Arial" w:eastAsia="Arial" w:hAnsi="Arial"/>
          <w:sz w:val="18"/>
          <w:szCs w:val="18"/>
          <w:color w:val="auto"/>
        </w:rPr>
        <w:t>2.15.1.</w:t>
      </w:r>
      <w:r>
        <w:rPr>
          <w:sz w:val="20"/>
          <w:szCs w:val="20"/>
          <w:color w:val="auto"/>
        </w:rPr>
        <w:tab/>
      </w:r>
      <w:r>
        <w:rPr>
          <w:rFonts w:ascii="Arial" w:cs="Arial" w:eastAsia="Arial" w:hAnsi="Arial"/>
          <w:sz w:val="16"/>
          <w:szCs w:val="16"/>
          <w:color w:val="auto"/>
        </w:rPr>
        <w:t>at the time of this Agreement, neither it nor, to the Company’s Knowledge (as defined in the Share Purchase Agreement), any of its directors, officers, employees, owners, agents, representatives, nor, to its knowledge, any person acting on behalf of the Company or any subsidiary, is currently a government official, officer, agent or employee of a non-U.S. government or government-owned enterprise (wholly or partially owned) or any agency, department or instrumentality thereof or political party or public international organization or a candidate for non-U.S. government or political office or is an agent, officer, or employee of any entity owned by a non-U.S. government (“</w:t>
      </w:r>
      <w:r>
        <w:rPr>
          <w:rFonts w:ascii="Arial" w:cs="Arial" w:eastAsia="Arial" w:hAnsi="Arial"/>
          <w:sz w:val="16"/>
          <w:szCs w:val="16"/>
          <w:b w:val="1"/>
          <w:bCs w:val="1"/>
          <w:color w:val="auto"/>
        </w:rPr>
        <w:t>Non-U.S. Official</w:t>
      </w:r>
      <w:r>
        <w:rPr>
          <w:rFonts w:ascii="Arial" w:cs="Arial" w:eastAsia="Arial" w:hAnsi="Arial"/>
          <w:sz w:val="16"/>
          <w:szCs w:val="16"/>
          <w:color w:val="auto"/>
        </w:rPr>
        <w:t>”). Company further represents and warrants that as of the date of execution of this Agreement, no Non-U.S. Official or any agency, department, political party, public international organization, or instrumentality thereof is associated with, or presently owns an interest, whether direct or indirect, in the Company or has any legal or beneficial interest in the Company or the payments to be made by any Investor to the Company or any subsidiary hereunder.</w:t>
      </w:r>
    </w:p>
    <w:p>
      <w:pPr>
        <w:spacing w:after="0" w:line="75" w:lineRule="exact"/>
        <w:rPr>
          <w:sz w:val="20"/>
          <w:szCs w:val="20"/>
          <w:color w:val="auto"/>
        </w:rPr>
      </w:pPr>
    </w:p>
    <w:p>
      <w:pPr>
        <w:ind w:left="1420" w:right="60" w:hanging="761"/>
        <w:spacing w:after="0" w:line="268" w:lineRule="auto"/>
        <w:tabs>
          <w:tab w:leader="none" w:pos="1400" w:val="left"/>
        </w:tabs>
        <w:rPr>
          <w:sz w:val="20"/>
          <w:szCs w:val="20"/>
          <w:color w:val="auto"/>
        </w:rPr>
      </w:pPr>
      <w:r>
        <w:rPr>
          <w:rFonts w:ascii="Arial" w:cs="Arial" w:eastAsia="Arial" w:hAnsi="Arial"/>
          <w:sz w:val="18"/>
          <w:szCs w:val="18"/>
          <w:color w:val="auto"/>
        </w:rPr>
        <w:t>2.15.2.</w:t>
      </w:r>
      <w:r>
        <w:rPr>
          <w:sz w:val="20"/>
          <w:szCs w:val="20"/>
          <w:color w:val="auto"/>
        </w:rPr>
        <w:tab/>
      </w:r>
      <w:r>
        <w:rPr>
          <w:rFonts w:ascii="Arial" w:cs="Arial" w:eastAsia="Arial" w:hAnsi="Arial"/>
          <w:sz w:val="17"/>
          <w:szCs w:val="17"/>
          <w:color w:val="auto"/>
        </w:rPr>
        <w:t>neither it nor, any of its directors, officers, employees, owners, agents, representatives, nor any person acting on behalf of the Company or any subsidiary, has made a promise to make, will make a promise to make, or will cause to be made anything of value (“</w:t>
      </w:r>
      <w:r>
        <w:rPr>
          <w:rFonts w:ascii="Arial" w:cs="Arial" w:eastAsia="Arial" w:hAnsi="Arial"/>
          <w:sz w:val="17"/>
          <w:szCs w:val="17"/>
          <w:b w:val="1"/>
          <w:bCs w:val="1"/>
          <w:color w:val="auto"/>
        </w:rPr>
        <w:t>Payment</w:t>
      </w:r>
      <w:r>
        <w:rPr>
          <w:rFonts w:ascii="Arial" w:cs="Arial" w:eastAsia="Arial" w:hAnsi="Arial"/>
          <w:sz w:val="17"/>
          <w:szCs w:val="17"/>
          <w:color w:val="auto"/>
        </w:rPr>
        <w:t>”): (i) to or for the use or benefit of any Non-U.S. Official; (ii) to any other person either for an advance or reimbursement, if it knows or has reason to know that any part of such Payment will be directly or indirectly given or paid by such other person, or will reimburse such other person for Payments previously made, to any Non-U.S. Official; or (iii) to any other person or entity, the payment of which would violate, or implicate the Company in the violation of the Foreign Corrupt Practices Act of 1977 (“</w:t>
      </w:r>
      <w:r>
        <w:rPr>
          <w:rFonts w:ascii="Arial" w:cs="Arial" w:eastAsia="Arial" w:hAnsi="Arial"/>
          <w:sz w:val="17"/>
          <w:szCs w:val="17"/>
          <w:b w:val="1"/>
          <w:bCs w:val="1"/>
          <w:color w:val="auto"/>
        </w:rPr>
        <w:t>FCPA</w:t>
      </w:r>
      <w:r>
        <w:rPr>
          <w:rFonts w:ascii="Arial" w:cs="Arial" w:eastAsia="Arial" w:hAnsi="Arial"/>
          <w:sz w:val="17"/>
          <w:szCs w:val="17"/>
          <w:color w:val="auto"/>
        </w:rPr>
        <w:t>”), the UK Bribery Act 2010 or any other applicable anti-bribery or anti-corruption law.</w:t>
      </w:r>
    </w:p>
    <w:p>
      <w:pPr>
        <w:spacing w:after="0" w:line="86" w:lineRule="exact"/>
        <w:rPr>
          <w:sz w:val="20"/>
          <w:szCs w:val="20"/>
          <w:color w:val="auto"/>
        </w:rPr>
      </w:pPr>
    </w:p>
    <w:p>
      <w:pPr>
        <w:ind w:left="1420" w:right="40" w:hanging="761"/>
        <w:spacing w:after="0" w:line="297" w:lineRule="auto"/>
        <w:tabs>
          <w:tab w:leader="none" w:pos="1400" w:val="left"/>
        </w:tabs>
        <w:rPr>
          <w:sz w:val="20"/>
          <w:szCs w:val="20"/>
          <w:color w:val="auto"/>
        </w:rPr>
      </w:pPr>
      <w:r>
        <w:rPr>
          <w:rFonts w:ascii="Arial" w:cs="Arial" w:eastAsia="Arial" w:hAnsi="Arial"/>
          <w:sz w:val="18"/>
          <w:szCs w:val="18"/>
          <w:color w:val="auto"/>
        </w:rPr>
        <w:t>2.15.3.</w:t>
      </w:r>
      <w:r>
        <w:rPr>
          <w:sz w:val="20"/>
          <w:szCs w:val="20"/>
          <w:color w:val="auto"/>
        </w:rPr>
        <w:tab/>
      </w:r>
      <w:r>
        <w:rPr>
          <w:rFonts w:ascii="Arial" w:cs="Arial" w:eastAsia="Arial" w:hAnsi="Arial"/>
          <w:sz w:val="16"/>
          <w:szCs w:val="16"/>
          <w:color w:val="auto"/>
        </w:rPr>
        <w:t>The Company further represents that it has maintained, and has caused each of its subsidiaries and Affiliates to maintain, systems of internal controls (including, but not limited to, accounting systems, purchasing systems and billing systems) to ensure compliance with the FCPA or any other applicable anti-bribery or anti-corruption law, and that is sufficient to provide reasonable assurances that violations of such laws will be prevented, detected and deterred.</w:t>
      </w:r>
    </w:p>
    <w:p>
      <w:pPr>
        <w:spacing w:after="0" w:line="66" w:lineRule="exact"/>
        <w:rPr>
          <w:sz w:val="20"/>
          <w:szCs w:val="20"/>
          <w:color w:val="auto"/>
        </w:rPr>
      </w:pPr>
    </w:p>
    <w:p>
      <w:pPr>
        <w:ind w:left="660" w:right="20" w:hanging="641"/>
        <w:spacing w:after="0" w:line="272"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u w:val="single" w:color="auto"/>
          <w:color w:val="auto"/>
        </w:rPr>
        <w:t>USRPHC Representation</w:t>
      </w:r>
      <w:r>
        <w:rPr>
          <w:rFonts w:ascii="Arial" w:cs="Arial" w:eastAsia="Arial" w:hAnsi="Arial"/>
          <w:sz w:val="17"/>
          <w:szCs w:val="17"/>
          <w:color w:val="auto"/>
        </w:rPr>
        <w:t>. The Company is not a “United States real property holding corporation” as defined in Section 897(c)(2)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Code (a “</w:t>
      </w:r>
      <w:r>
        <w:rPr>
          <w:rFonts w:ascii="Arial" w:cs="Arial" w:eastAsia="Arial" w:hAnsi="Arial"/>
          <w:sz w:val="17"/>
          <w:szCs w:val="17"/>
          <w:b w:val="1"/>
          <w:bCs w:val="1"/>
          <w:color w:val="auto"/>
        </w:rPr>
        <w:t>USRPHC</w:t>
      </w:r>
      <w:r>
        <w:rPr>
          <w:rFonts w:ascii="Arial" w:cs="Arial" w:eastAsia="Arial" w:hAnsi="Arial"/>
          <w:sz w:val="17"/>
          <w:szCs w:val="17"/>
          <w:color w:val="auto"/>
        </w:rPr>
        <w:t>”) and has not been a USRPHC during the five-year period ending on the date hereof. If at any time the Company determines that it is a USRPHC, it shall promptly inform each of AMI and Vitruvian in writing of such determination. In addition, upon the request of AMI or Vitruvian, the Company shall promptly determine whether or not it is a USRPHC and shall promptly inform each of AMI and Vitruvian in writing of such determination.</w:t>
      </w:r>
    </w:p>
    <w:p>
      <w:pPr>
        <w:spacing w:after="0" w:line="83" w:lineRule="exact"/>
        <w:rPr>
          <w:sz w:val="20"/>
          <w:szCs w:val="20"/>
          <w:color w:val="auto"/>
        </w:rPr>
      </w:pPr>
    </w:p>
    <w:p>
      <w:pPr>
        <w:ind w:left="660" w:hanging="641"/>
        <w:spacing w:after="0" w:line="265" w:lineRule="auto"/>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u w:val="single" w:color="auto"/>
          <w:color w:val="auto"/>
        </w:rPr>
        <w:t xml:space="preserve">Anti-Bribery; Export. </w:t>
      </w:r>
      <w:r>
        <w:rPr>
          <w:rFonts w:ascii="Arial" w:cs="Arial" w:eastAsia="Arial" w:hAnsi="Arial"/>
          <w:sz w:val="17"/>
          <w:szCs w:val="17"/>
          <w:color w:val="auto"/>
        </w:rPr>
        <w:t>None of the Company or any director or officer of the Company will take any action in furtherance of an offer,</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and the Company will conduct its business in compliance with applicable anti-corruption laws, including Part 12 of the United States Anti-Terrorism, Crime and Security Act of 2001; the United States Money Laundering Control Act of 1986; the United States International Money Laundering Abatement and Anti-Terrorist Financing Act of 2001; the United States Foreign Corrupt Practices Act, as amended; or laws applicable in the United Kingdom and Israel that prohibit bribery, corrupt practices or money laundering, including, for the avoidance of doubt, the Bribery Act 2010, and will institute and maintain, policies and procedures designed to promote and achieve compliance with such laws and with the representation and warranty contained herein. The Company hereby represents, warrants and covenants that it does and will not engage in activities prohibited to persons subject to the</w:t>
      </w:r>
    </w:p>
    <w:p>
      <w:pPr>
        <w:spacing w:after="0" w:line="1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17 of 26</w:t>
      </w:r>
    </w:p>
    <w:p>
      <w:pPr>
        <w:sectPr>
          <w:pgSz w:w="11900" w:h="16838" w:orient="portrait"/>
          <w:cols w:equalWidth="0" w:num="1">
            <w:col w:w="10160"/>
          </w:cols>
          <w:pgMar w:left="1240" w:top="272" w:right="499" w:bottom="1440" w:gutter="0" w:footer="0" w:header="0"/>
        </w:sectPr>
      </w:pPr>
    </w:p>
    <w:bookmarkStart w:id="323" w:name="page324"/>
    <w:bookmarkEnd w:id="323"/>
    <w:p>
      <w:pPr>
        <w:ind w:left="1413"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jurisdiction of the United States by the United States Trading with the Enemy Act of 1917, as amended, or the United States International Emergency Economic Powers Act of 1977, as amended, the regulations promulgated under either such Act, or under any other applicable export control law. The Company does not have its principal place of business in either Myanmar or Sudan, and that it does not generate more than 50% of its revenue from either of these countries. Finally, the Company does not and will not do, directly or indirectly, any material business in or with Iran, Syria, Cuba, Lebanon or North Korea; the Company agrees to provide each of AMI and Vitruvian with prior written notice on the commencement of such activity in either country.</w:t>
      </w:r>
    </w:p>
    <w:p>
      <w:pPr>
        <w:spacing w:after="0" w:line="70" w:lineRule="exact"/>
        <w:rPr>
          <w:sz w:val="20"/>
          <w:szCs w:val="20"/>
          <w:color w:val="auto"/>
        </w:rPr>
      </w:pPr>
    </w:p>
    <w:p>
      <w:pPr>
        <w:ind w:left="753"/>
        <w:spacing w:after="0"/>
        <w:tabs>
          <w:tab w:leader="none" w:pos="1392"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Sections 2.11 through 2.16 shall terminate and have no effect upon consummation of the IPO.</w:t>
      </w:r>
    </w:p>
    <w:p>
      <w:pPr>
        <w:spacing w:after="0" w:line="244" w:lineRule="exact"/>
        <w:rPr>
          <w:sz w:val="20"/>
          <w:szCs w:val="20"/>
          <w:color w:val="auto"/>
        </w:rPr>
      </w:pPr>
    </w:p>
    <w:p>
      <w:pPr>
        <w:ind w:left="753" w:hanging="753"/>
        <w:spacing w:after="0"/>
        <w:tabs>
          <w:tab w:leader="none" w:pos="753" w:val="left"/>
        </w:tabs>
        <w:numPr>
          <w:ilvl w:val="0"/>
          <w:numId w:val="27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413" w:right="80" w:hanging="642"/>
        <w:spacing w:after="0" w:line="284"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are inserted for convenience only and shall not affect in any way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meaning or interpretation of this Agreement. Unless the context requires otherwise, all references herein to “Sections” shall be deemed references to sections of this Agreement. The words “include,” “includes”, “including” and words of similar import, when used in this Agreement, shall be deemed to be followed by the words “without limitation”. The words “hereof”, “herein” and “hereunder” and words of similar import, when used in this Agreement, shall refer to this Agreement as a whole and not to any particular provision of this Agreement. The terms contained in this Agreement are applicable to the singular as well as to the plural forms of such terms and to the masculine as well as the feminine and neuter genders of such terms. “Writing”, or any term of like import, shall include words typewritten, printed, photographed or represented or reproduced by any mode of reproducing words in a visible form, including email, facsimile, text message, or other form of writing produced by electronic communication. The term “person” shall mean any individual, corporation, partnership, trust, limited liability company, association or other entity; and any reference to a “person” shall also refer to that such person’s legal representatives, successors and/or assigns. Any agreement or law defined or referred to herein shall means such agreement or law as from time to time may be amended, modified or supplemented.</w:t>
      </w:r>
    </w:p>
    <w:p>
      <w:pPr>
        <w:spacing w:after="0" w:line="75" w:lineRule="exact"/>
        <w:rPr>
          <w:rFonts w:ascii="Arial" w:cs="Arial" w:eastAsia="Arial" w:hAnsi="Arial"/>
          <w:sz w:val="18"/>
          <w:szCs w:val="18"/>
          <w:color w:val="auto"/>
        </w:rPr>
      </w:pPr>
    </w:p>
    <w:p>
      <w:pPr>
        <w:ind w:left="1413" w:right="160" w:hanging="642"/>
        <w:spacing w:after="0" w:line="253" w:lineRule="auto"/>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terms and conditions of this Agreement shall inure to the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and be binding upon the respective successors and assigns of the parties (including transferees of any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99" w:lineRule="exact"/>
        <w:rPr>
          <w:rFonts w:ascii="Arial" w:cs="Arial" w:eastAsia="Arial" w:hAnsi="Arial"/>
          <w:sz w:val="18"/>
          <w:szCs w:val="18"/>
          <w:color w:val="auto"/>
        </w:rPr>
      </w:pPr>
    </w:p>
    <w:p>
      <w:pPr>
        <w:ind w:left="1413" w:right="40" w:hanging="642"/>
        <w:spacing w:after="0" w:line="253" w:lineRule="auto"/>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Effect of Change in Company’s Capital Structure</w:t>
      </w:r>
      <w:r>
        <w:rPr>
          <w:rFonts w:ascii="Arial" w:cs="Arial" w:eastAsia="Arial" w:hAnsi="Arial"/>
          <w:sz w:val="18"/>
          <w:szCs w:val="18"/>
          <w:color w:val="auto"/>
        </w:rPr>
        <w:t>. If, from time to time, there is any share dividend, share split or other change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character or amount of any of the outstanding shares of the Company, then in such event any and all new, substituted or additional securities to which a shareholder is entitled by reason of the shareholder’s ownership of the shares of the Company shall be immediately subject to the rights and obligations set forth in this Agreement, with the same force and effect as the shares subject to such rights immediately before such event.</w:t>
      </w:r>
    </w:p>
    <w:p>
      <w:pPr>
        <w:spacing w:after="0" w:line="99" w:lineRule="exact"/>
        <w:rPr>
          <w:rFonts w:ascii="Arial" w:cs="Arial" w:eastAsia="Arial" w:hAnsi="Arial"/>
          <w:sz w:val="18"/>
          <w:szCs w:val="18"/>
          <w:color w:val="auto"/>
        </w:rPr>
      </w:pPr>
    </w:p>
    <w:p>
      <w:pPr>
        <w:ind w:left="1413" w:hanging="642"/>
        <w:spacing w:after="0" w:line="267" w:lineRule="auto"/>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7"/>
          <w:szCs w:val="17"/>
          <w:u w:val="single" w:color="auto"/>
          <w:color w:val="auto"/>
        </w:rPr>
        <w:t>Arbitration</w:t>
      </w:r>
      <w:r>
        <w:rPr>
          <w:rFonts w:ascii="Arial" w:cs="Arial" w:eastAsia="Arial" w:hAnsi="Arial"/>
          <w:sz w:val="17"/>
          <w:szCs w:val="17"/>
          <w:color w:val="auto"/>
        </w:rPr>
        <w:t>. Any dispute arising out of or in connection with this Agreement or its subject matter or formation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non-contractual disputes or claims) will be resolved as follows: Any party will notify the other parties of the dispute, and provide a detailed description of the basis for the dispute as well as any relevant supporting documents. Each party in dispute will then attempt to resolve the dispute. If the parties in dispute do not resolve the dispute within forty-five (45) days of the initial dispute notice, any party in dispute may provide notice of its demand for formal dispute resolution through arbitration in accordance with this section. In the event that the matter is not submitted to arbitration within the foregoing forty-five (45) days period, then the parties shall be deemed to have waived in full such matter. In the event the matter is timely and duly submitted to arbitration, it shall be settled by arbitration to be conducted by a sole arbitrator (the “</w:t>
      </w:r>
      <w:r>
        <w:rPr>
          <w:rFonts w:ascii="Arial" w:cs="Arial" w:eastAsia="Arial" w:hAnsi="Arial"/>
          <w:sz w:val="17"/>
          <w:szCs w:val="17"/>
          <w:b w:val="1"/>
          <w:bCs w:val="1"/>
          <w:color w:val="auto"/>
        </w:rPr>
        <w:t>Arbitrator</w:t>
      </w:r>
      <w:r>
        <w:rPr>
          <w:rFonts w:ascii="Arial" w:cs="Arial" w:eastAsia="Arial" w:hAnsi="Arial"/>
          <w:sz w:val="17"/>
          <w:szCs w:val="17"/>
          <w:color w:val="auto"/>
        </w:rPr>
        <w:t>”) and in accordance with the rules provisions of the Israel Arbitration Law, 1968 (the “</w:t>
      </w:r>
      <w:r>
        <w:rPr>
          <w:rFonts w:ascii="Arial" w:cs="Arial" w:eastAsia="Arial" w:hAnsi="Arial"/>
          <w:sz w:val="17"/>
          <w:szCs w:val="17"/>
          <w:b w:val="1"/>
          <w:bCs w:val="1"/>
          <w:color w:val="auto"/>
        </w:rPr>
        <w:t>Arbitration Law</w:t>
      </w:r>
      <w:r>
        <w:rPr>
          <w:rFonts w:ascii="Arial" w:cs="Arial" w:eastAsia="Arial" w:hAnsi="Arial"/>
          <w:sz w:val="17"/>
          <w:szCs w:val="17"/>
          <w:color w:val="auto"/>
        </w:rPr>
        <w:t>”), except as otherwise provided herein. The arbitration shall be conducted in Tel Aviv, Israel or such other place mutually acceptable to the</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Page 18 of 26</w:t>
      </w:r>
    </w:p>
    <w:p>
      <w:pPr>
        <w:sectPr>
          <w:pgSz w:w="11900" w:h="16838" w:orient="portrait"/>
          <w:cols w:equalWidth="0" w:num="1">
            <w:col w:w="10913"/>
          </w:cols>
          <w:pgMar w:left="487" w:top="272" w:right="499" w:bottom="1440" w:gutter="0" w:footer="0" w:header="0"/>
        </w:sectPr>
      </w:pPr>
    </w:p>
    <w:bookmarkStart w:id="324" w:name="page325"/>
    <w:bookmarkEnd w:id="324"/>
    <w:p>
      <w:pPr>
        <w:ind w:left="46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parties. The Arbitrator shall be mutually appointed by the parties, and if no agreement is reached on the identity of the Arbitrator within ten (10) days following request for the submission of such dispute to arbitration, the identity of the Arbitrator will be determined by the President of the Israeli Bar Association. The award of the Arbitrator as to any particular item or items or amount or amounts shall be in writing, state the reasons upon which it is based, and, absent manifest error, shall be final and binding upon the parties. Any ruling or decision of the Arbitrator may be enforced in any court of competent jurisdiction. This section constitutes an arbitration agreement in accordance with the Arbitration Law. In the event of any contradiction between the provisions hereof and the Arbitration Law, the provisions of this Agreement shall prevail. Each Party irrevocably consents to service of process in the manner provided by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or as otherwise provided by applicable law.</w:t>
      </w:r>
    </w:p>
    <w:p>
      <w:pPr>
        <w:spacing w:after="0" w:line="86" w:lineRule="exact"/>
        <w:rPr>
          <w:sz w:val="20"/>
          <w:szCs w:val="20"/>
          <w:color w:val="auto"/>
        </w:rPr>
      </w:pPr>
    </w:p>
    <w:p>
      <w:pPr>
        <w:ind w:left="460" w:right="20" w:hanging="641"/>
        <w:spacing w:after="0" w:line="259" w:lineRule="auto"/>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exclusively under the laws of the State of Israel, without regard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the conflict of law provisions thereof.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the competent courts in Tel Aviv, Israel shall have sole jurisdiction over this Agreement.</w:t>
      </w:r>
    </w:p>
    <w:p>
      <w:pPr>
        <w:spacing w:after="0" w:line="92" w:lineRule="exact"/>
        <w:rPr>
          <w:sz w:val="20"/>
          <w:szCs w:val="20"/>
          <w:color w:val="auto"/>
        </w:rPr>
      </w:pPr>
    </w:p>
    <w:p>
      <w:pPr>
        <w:ind w:left="460" w:right="260" w:hanging="641"/>
        <w:spacing w:after="0" w:line="271" w:lineRule="auto"/>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together shall constitute one and the same instrument.</w:t>
      </w:r>
    </w:p>
    <w:p>
      <w:pPr>
        <w:spacing w:after="0" w:line="81" w:lineRule="exact"/>
        <w:rPr>
          <w:sz w:val="20"/>
          <w:szCs w:val="20"/>
          <w:color w:val="auto"/>
        </w:rPr>
      </w:pPr>
    </w:p>
    <w:p>
      <w:pPr>
        <w:ind w:left="460" w:right="340" w:hanging="641"/>
        <w:spacing w:after="0" w:line="271" w:lineRule="auto"/>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construing or interpreting this Agreement.</w:t>
      </w:r>
    </w:p>
    <w:p>
      <w:pPr>
        <w:spacing w:after="0" w:line="81" w:lineRule="exact"/>
        <w:rPr>
          <w:sz w:val="20"/>
          <w:szCs w:val="20"/>
          <w:color w:val="auto"/>
        </w:rPr>
      </w:pPr>
    </w:p>
    <w:p>
      <w:pPr>
        <w:ind w:left="460" w:right="20" w:hanging="641"/>
        <w:spacing w:after="0" w:line="267" w:lineRule="auto"/>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to a party pursuant to the provisions of this Agreement will be in writing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will be effective and deemed given to such party under this Agreement on the earliest of the following: (a) the date of personal delivery; (b) one (1) Business Day after transmission by facsimile or email, addressed to the other party at its facsimile number or email address, with confirmation of transmission; (c) one (1) Business Day after deposit with a return receipt express courier for deliveries within Israel, or three (3) Business Days after such deposit for deliveries outside of Israel; or (d) three (3) Business Days after deposit in the mail by registered or certified mail (return receipt requested) for deliveries within Israel. All notices not delivered personally or by facsimile or Email will be sent with postage and/or other charges prepaid and properly addressed to the party to be notified at the address set forth below such party’s signature on this Agreement or on </w:t>
      </w:r>
      <w:r>
        <w:rPr>
          <w:rFonts w:ascii="Arial" w:cs="Arial" w:eastAsia="Arial" w:hAnsi="Arial"/>
          <w:sz w:val="17"/>
          <w:szCs w:val="17"/>
          <w:b w:val="1"/>
          <w:bCs w:val="1"/>
          <w:u w:val="single" w:color="auto"/>
          <w:color w:val="auto"/>
        </w:rPr>
        <w:t>Schedules A</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hereto, or if to the Company to the following address:</w:t>
      </w:r>
    </w:p>
    <w:p>
      <w:pPr>
        <w:spacing w:after="0" w:line="7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Global-e Online Ltd.</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Address: 25 Basel St., Petach Tikva, 4951038</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Attention: Amir Schlachet</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with copies of all notices (which copies shall not constitute notice) to:</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Meitar | Law Offices</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16 Abba Hillel Silver Road</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Ramat-Gan 52506, Israel</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Attn: Mike Rimon, Advocate</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Tel: 9723 610-3100</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Fax: 9723 610-3111</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mrimon@meitar.com</w:t>
      </w:r>
    </w:p>
    <w:p>
      <w:pPr>
        <w:spacing w:after="0" w:line="115"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or at such other address as such other party may designate by ten (10) days advance written notice to the other parties hereto. All notices for delivery outside Israel will be sent by facsimile, email or by express courier. Any notice given hereunder to more than one person will be deemed to have been given, for purposes of counting time periods hereunder, on the date effectively given to the last party required to be given such notice.</w:t>
      </w:r>
    </w:p>
    <w:p>
      <w:pPr>
        <w:spacing w:after="0" w:line="97" w:lineRule="exact"/>
        <w:rPr>
          <w:sz w:val="20"/>
          <w:szCs w:val="20"/>
          <w:color w:val="auto"/>
        </w:rPr>
      </w:pPr>
    </w:p>
    <w:p>
      <w:pPr>
        <w:ind w:left="460" w:right="100" w:hanging="641"/>
        <w:spacing w:after="0" w:line="259" w:lineRule="auto"/>
        <w:tabs>
          <w:tab w:leader="none" w:pos="4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If any action at law or in equity is necessary to enforce or interpret the terms of this Agreement, the prevailing party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entitled to reasonable attorneys’ fees, costs and necessary disbursements in addition to any other relief to which such party may be entitled.</w:t>
      </w:r>
    </w:p>
    <w:p>
      <w:pPr>
        <w:spacing w:after="0" w:line="92" w:lineRule="exact"/>
        <w:rPr>
          <w:sz w:val="20"/>
          <w:szCs w:val="20"/>
          <w:color w:val="auto"/>
        </w:rPr>
      </w:pPr>
    </w:p>
    <w:p>
      <w:pPr>
        <w:ind w:left="460" w:hanging="641"/>
        <w:spacing w:after="0" w:line="281" w:lineRule="auto"/>
        <w:tabs>
          <w:tab w:leader="none" w:pos="4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Agreement (including the Schedules hereto, if any), constitutes the full and entire</w:t>
      </w:r>
      <w:r>
        <w:rPr>
          <w:rFonts w:ascii="Arial" w:cs="Arial" w:eastAsia="Arial" w:hAnsi="Arial"/>
          <w:sz w:val="17"/>
          <w:szCs w:val="17"/>
          <w:u w:val="single" w:color="auto"/>
          <w:color w:val="auto"/>
        </w:rPr>
        <w:t xml:space="preserve"> </w:t>
      </w:r>
      <w:r>
        <w:rPr>
          <w:rFonts w:ascii="Arial" w:cs="Arial" w:eastAsia="Arial" w:hAnsi="Arial"/>
          <w:sz w:val="17"/>
          <w:szCs w:val="17"/>
          <w:color w:val="auto"/>
        </w:rPr>
        <w:t>understanding and agreement among the parties with regard to the subjects hereof and thereof and amends and restates and supersedes and replaces in its entirety the Prior Agreement which shall be of no further force or effect.</w:t>
      </w:r>
    </w:p>
    <w:p>
      <w:pPr>
        <w:spacing w:after="0" w:line="10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19 of 26</w:t>
      </w:r>
    </w:p>
    <w:p>
      <w:pPr>
        <w:sectPr>
          <w:pgSz w:w="11900" w:h="16838" w:orient="portrait"/>
          <w:cols w:equalWidth="0" w:num="1">
            <w:col w:w="9960"/>
          </w:cols>
          <w:pgMar w:left="1440" w:top="272" w:right="499" w:bottom="1440" w:gutter="0" w:footer="0" w:header="0"/>
        </w:sectPr>
      </w:pPr>
    </w:p>
    <w:bookmarkStart w:id="325" w:name="page326"/>
    <w:bookmarkEnd w:id="325"/>
    <w:p>
      <w:pPr>
        <w:ind w:left="660"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Any term of this Agreement may be amended and the observance of any term of this Agreement may be waived (either generally or in a particular instance and either retroactively or prospectively), only with the written consent of: (a) the Company, and (b) the holders of a majority of the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any amendment or waiver adversely affects the specific obligations and/or rights of a certain shareholder or group of shareholders or certain class or series of shares, such amendment or waiver shall also require the written consent of such shareholder or majority of such group, class or series, as the case maybe. Any amendment or waiver effected in accordance with this paragraph shall be binding upon each party hereto and the Company. The Company shall give prompt notice of any amendment hereof or waiver hereunder to any Major Holder that did not consent in writing to such amendment or waiver. Any provision of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to the contrary notwithstanding, no named right granted specifically to AMI or Vitruvian hereunder may be altered in any way (other than the proportionate dilution of such rights by virtue of adding additional Investors as parties to this Agreement) without the prior written consent of AMI or Vitruvian, respectively.</w:t>
      </w:r>
    </w:p>
    <w:p>
      <w:pPr>
        <w:spacing w:after="0" w:line="91" w:lineRule="exact"/>
        <w:rPr>
          <w:sz w:val="20"/>
          <w:szCs w:val="20"/>
          <w:color w:val="auto"/>
        </w:rPr>
      </w:pPr>
    </w:p>
    <w:p>
      <w:pPr>
        <w:jc w:val="both"/>
        <w:ind w:left="660" w:right="80" w:hanging="641"/>
        <w:spacing w:after="0" w:line="272"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one or more provisions of this Agreement are held to be unenforceable under applicable law, such provision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excluded from this Agreement and the balance of the Agreement shall be interpreted as if such provision were so excluded and shall be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83" w:lineRule="exact"/>
        <w:rPr>
          <w:sz w:val="20"/>
          <w:szCs w:val="20"/>
          <w:color w:val="auto"/>
        </w:rPr>
      </w:pPr>
    </w:p>
    <w:p>
      <w:pPr>
        <w:ind w:left="660" w:right="60" w:hanging="641"/>
        <w:spacing w:after="0" w:line="253"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w:t>
      </w:r>
    </w:p>
    <w:p>
      <w:pPr>
        <w:spacing w:after="0" w:line="99" w:lineRule="exact"/>
        <w:rPr>
          <w:sz w:val="20"/>
          <w:szCs w:val="20"/>
          <w:color w:val="auto"/>
        </w:rPr>
      </w:pPr>
    </w:p>
    <w:p>
      <w:pPr>
        <w:jc w:val="both"/>
        <w:ind w:left="660" w:right="80" w:hanging="641"/>
        <w:spacing w:after="0" w:line="259"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the Company held or acquired by a shareholder and its Permitted Transferees (as defined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Articles) shall be aggregated together for the purpose of determining the availability of any rights under this Agreement and for the calculation of the pro rata shares of such shareholder and its Permitted Transferees.</w:t>
      </w:r>
    </w:p>
    <w:p>
      <w:pPr>
        <w:spacing w:after="0" w:line="92" w:lineRule="exact"/>
        <w:rPr>
          <w:sz w:val="20"/>
          <w:szCs w:val="20"/>
          <w:color w:val="auto"/>
        </w:rPr>
      </w:pPr>
    </w:p>
    <w:p>
      <w:pPr>
        <w:ind w:left="660" w:hanging="641"/>
        <w:spacing w:after="0" w:line="252"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auto"/>
        </w:rPr>
        <w:t>Additional Parties</w:t>
      </w:r>
      <w:r>
        <w:rPr>
          <w:rFonts w:ascii="Arial" w:cs="Arial" w:eastAsia="Arial" w:hAnsi="Arial"/>
          <w:sz w:val="18"/>
          <w:szCs w:val="18"/>
          <w:color w:val="auto"/>
        </w:rPr>
        <w:t>. The parties hereto agree that additional parties may be added as parties to this Agreement as “Investor”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respect to the Company’s Preferred A Shares, Preferred A-1 Shares, Preferred B-1 Shares, Preferred B-2 Shares, Preferred C Shares, Preferred D-1 Shares and Preferred E Shares, purchased by them after the date hereof, and shall thereupon be deemed for all purposes as an “Investor” hereunder. Any such additional party shall execute a counterpart of this Agreement, and upon execution by such additional party and by the Company, shall be added to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and shall be considered an Investor for purposes of this Agreement.</w:t>
      </w:r>
    </w:p>
    <w:p>
      <w:pPr>
        <w:spacing w:after="0" w:line="100" w:lineRule="exact"/>
        <w:rPr>
          <w:sz w:val="20"/>
          <w:szCs w:val="20"/>
          <w:color w:val="auto"/>
        </w:rPr>
      </w:pPr>
    </w:p>
    <w:p>
      <w:pPr>
        <w:ind w:left="660" w:right="160" w:hanging="641"/>
        <w:spacing w:after="0" w:line="335"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Holder Assignees</w:t>
      </w:r>
      <w:r>
        <w:rPr>
          <w:rFonts w:ascii="Arial" w:cs="Arial" w:eastAsia="Arial" w:hAnsi="Arial"/>
          <w:sz w:val="16"/>
          <w:szCs w:val="16"/>
          <w:color w:val="auto"/>
        </w:rPr>
        <w:t>. Any reference to, or rights conferred upon each holder of Preferred Shares or Registrable Securities or any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may be transferred or assigned, free of any restriction (other than those set forth herein), to their Permitted Transferees.</w:t>
      </w:r>
    </w:p>
    <w:p>
      <w:pPr>
        <w:spacing w:after="0" w:line="128" w:lineRule="exact"/>
        <w:rPr>
          <w:sz w:val="20"/>
          <w:szCs w:val="20"/>
          <w:color w:val="auto"/>
        </w:rPr>
      </w:pPr>
    </w:p>
    <w:p>
      <w:pPr>
        <w:jc w:val="center"/>
        <w:ind w:right="760"/>
        <w:spacing w:after="0"/>
        <w:rPr>
          <w:sz w:val="20"/>
          <w:szCs w:val="20"/>
          <w:color w:val="auto"/>
        </w:rPr>
      </w:pPr>
      <w:r>
        <w:rPr>
          <w:rFonts w:ascii="Arial" w:cs="Arial" w:eastAsia="Arial" w:hAnsi="Arial"/>
          <w:sz w:val="18"/>
          <w:szCs w:val="18"/>
          <w:i w:val="1"/>
          <w:iCs w:val="1"/>
          <w:color w:val="auto"/>
        </w:rPr>
        <w:t>[Signature Pages Immediately Follow]</w:t>
      </w:r>
    </w:p>
    <w:p>
      <w:pPr>
        <w:spacing w:after="0" w:line="154"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Page 20 of 26</w:t>
      </w:r>
    </w:p>
    <w:p>
      <w:pPr>
        <w:sectPr>
          <w:pgSz w:w="11900" w:h="16838" w:orient="portrait"/>
          <w:cols w:equalWidth="0" w:num="1">
            <w:col w:w="10160"/>
          </w:cols>
          <w:pgMar w:left="1240" w:top="272" w:right="499" w:bottom="1440" w:gutter="0" w:footer="0" w:header="0"/>
        </w:sectPr>
      </w:pPr>
    </w:p>
    <w:bookmarkStart w:id="326" w:name="page327"/>
    <w:bookmarkEnd w:id="326"/>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GLOBAL-E ONLINE LTD.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86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Amir Schlachet</w:t>
      </w:r>
    </w:p>
    <w:p>
      <w:pPr>
        <w:spacing w:after="0" w:line="2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86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AMIR SCHLACHET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Nir Debbi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86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NIR DEBBI</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Shahar Tamari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686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SHAHAR TAMARI</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THIRD AMENDED AND RESTATED INVESTORS’ RIGHTS AGREEMENT]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21 of 26</w:t>
      </w:r>
    </w:p>
    <w:p>
      <w:pPr>
        <w:sectPr>
          <w:pgSz w:w="11900" w:h="16838" w:orient="portrait"/>
          <w:cols w:equalWidth="0" w:num="1">
            <w:col w:w="10820"/>
          </w:cols>
          <w:pgMar w:left="480" w:top="268" w:right="599" w:bottom="1440" w:gutter="0" w:footer="0" w:header="0"/>
        </w:sectPr>
      </w:pPr>
    </w:p>
    <w:bookmarkStart w:id="327" w:name="page328"/>
    <w:bookmarkEnd w:id="327"/>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38" w:orient="portrait"/>
          <w:cols w:equalWidth="0" w:num="1">
            <w:col w:w="10820"/>
          </w:cols>
          <w:pgMar w:left="480" w:top="268" w:right="59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Udi Dagan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989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TSUNAMI 5 LTD.</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Udi Dagan</w:t>
      </w:r>
    </w:p>
    <w:p>
      <w:pPr>
        <w:spacing w:after="0" w:line="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Owner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Dan Geva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9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GEVA, LAW FIRM</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Dan Geva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Igal Weinstein Investments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9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IGAL WEINSTEIN INVESTMENTS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Beth Langsam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9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 ASSOCIATES LLC</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Beth Langsam</w:t>
      </w:r>
    </w:p>
    <w:p>
      <w:pPr>
        <w:spacing w:after="0" w:line="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/s/ David Shlachet</w:t>
      </w:r>
      <w:r>
        <w:rPr>
          <w:sz w:val="20"/>
          <w:szCs w:val="20"/>
          <w:color w:val="auto"/>
        </w:rPr>
        <w:tab/>
      </w:r>
      <w:r>
        <w:rPr>
          <w:rFonts w:ascii="Arial" w:cs="Arial" w:eastAsia="Arial" w:hAnsi="Arial"/>
          <w:sz w:val="16"/>
          <w:szCs w:val="16"/>
          <w:color w:val="auto"/>
        </w:rPr>
        <w:t>/s/ Shlachet Management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9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SCHLACHET MANAGEMENT LTD.</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David Shlachet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Shay 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9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GOOR HOLDCO LTD.</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Shay Aba</w:t>
      </w:r>
    </w:p>
    <w:p>
      <w:pPr>
        <w:spacing w:after="0" w:line="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Signatory Right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Dr. Israel Leshem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0403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ISRAEL LESHEM ADV COMPANY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Dr. Israel Leshem</w:t>
      </w:r>
    </w:p>
    <w:p>
      <w:pPr>
        <w:spacing w:after="0" w:line="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Rotter Gabriel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403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ROTER HOLDINGS LTD.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Rotter Gabriel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Itshak Shaked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403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ITSHAK SHAKED ASSETS LTD.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Itshak Shaked</w:t>
      </w:r>
    </w:p>
    <w:p>
      <w:pPr>
        <w:spacing w:after="0" w:line="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CEO</w:t>
      </w:r>
    </w:p>
    <w:p>
      <w:pPr>
        <w:spacing w:after="0" w:line="2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 Yoram Oron</w:t>
      </w:r>
      <w:r>
        <w:rPr>
          <w:sz w:val="20"/>
          <w:szCs w:val="20"/>
          <w:color w:val="auto"/>
        </w:rPr>
        <w:tab/>
      </w:r>
      <w:r>
        <w:rPr>
          <w:rFonts w:ascii="Arial" w:cs="Arial" w:eastAsia="Arial" w:hAnsi="Arial"/>
          <w:sz w:val="14"/>
          <w:szCs w:val="14"/>
          <w:color w:val="auto"/>
        </w:rPr>
        <w:t>/s/ Yaniv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403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DOT CAPITAL PARTNERS, L.P.</w:t>
      </w:r>
    </w:p>
    <w:p>
      <w:pPr>
        <w:spacing w:after="0" w:line="225" w:lineRule="exact"/>
        <w:rPr>
          <w:sz w:val="20"/>
          <w:szCs w:val="20"/>
          <w:color w:val="auto"/>
        </w:rPr>
      </w:pPr>
    </w:p>
    <w:p>
      <w:pPr>
        <w:spacing w:after="0"/>
        <w:tabs>
          <w:tab w:leader="none" w:pos="620" w:val="left"/>
          <w:tab w:leader="none" w:pos="1720" w:val="left"/>
        </w:tabs>
        <w:rPr>
          <w:sz w:val="20"/>
          <w:szCs w:val="20"/>
          <w:color w:val="auto"/>
        </w:rPr>
      </w:pPr>
      <w:r>
        <w:rPr>
          <w:rFonts w:ascii="Arial" w:cs="Arial" w:eastAsia="Arial" w:hAnsi="Arial"/>
          <w:sz w:val="18"/>
          <w:szCs w:val="18"/>
          <w:color w:val="auto"/>
        </w:rPr>
        <w:t>Name:</w:t>
        <w:tab/>
        <w:t>Yoram Oron</w:t>
      </w:r>
      <w:r>
        <w:rPr>
          <w:sz w:val="20"/>
          <w:szCs w:val="20"/>
          <w:color w:val="auto"/>
        </w:rPr>
        <w:tab/>
      </w:r>
      <w:r>
        <w:rPr>
          <w:rFonts w:ascii="Arial" w:cs="Arial" w:eastAsia="Arial" w:hAnsi="Arial"/>
          <w:sz w:val="16"/>
          <w:szCs w:val="16"/>
          <w:color w:val="auto"/>
        </w:rPr>
        <w:t>Yaniv Stern</w:t>
      </w:r>
    </w:p>
    <w:p>
      <w:pPr>
        <w:spacing w:after="0" w:line="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Partners</w:t>
      </w:r>
    </w:p>
    <w:p>
      <w:pPr>
        <w:spacing w:after="0" w:line="20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 Oliver Steffan</w:t>
      </w:r>
      <w:r>
        <w:rPr>
          <w:sz w:val="20"/>
          <w:szCs w:val="20"/>
          <w:color w:val="auto"/>
        </w:rPr>
        <w:tab/>
      </w:r>
      <w:r>
        <w:rPr>
          <w:rFonts w:ascii="Arial" w:cs="Arial" w:eastAsia="Arial" w:hAnsi="Arial"/>
          <w:sz w:val="16"/>
          <w:szCs w:val="16"/>
          <w:color w:val="auto"/>
        </w:rPr>
        <w:t>/s/ Christoph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403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POST BETEILIGUNGEN HOLDING GMBH</w:t>
      </w:r>
    </w:p>
    <w:p>
      <w:pPr>
        <w:spacing w:after="0" w:line="225" w:lineRule="exact"/>
        <w:rPr>
          <w:sz w:val="20"/>
          <w:szCs w:val="20"/>
          <w:color w:val="auto"/>
        </w:rPr>
      </w:pPr>
    </w:p>
    <w:p>
      <w:pPr>
        <w:spacing w:after="0"/>
        <w:tabs>
          <w:tab w:leader="none" w:pos="620" w:val="left"/>
          <w:tab w:leader="none" w:pos="1840" w:val="left"/>
        </w:tabs>
        <w:rPr>
          <w:sz w:val="20"/>
          <w:szCs w:val="20"/>
          <w:color w:val="auto"/>
        </w:rPr>
      </w:pPr>
      <w:r>
        <w:rPr>
          <w:rFonts w:ascii="Arial" w:cs="Arial" w:eastAsia="Arial" w:hAnsi="Arial"/>
          <w:sz w:val="18"/>
          <w:szCs w:val="18"/>
          <w:color w:val="auto"/>
        </w:rPr>
        <w:t>Name:</w:t>
        <w:tab/>
        <w:t>Oliver Steffan</w:t>
      </w:r>
      <w:r>
        <w:rPr>
          <w:sz w:val="20"/>
          <w:szCs w:val="20"/>
          <w:color w:val="auto"/>
        </w:rPr>
        <w:tab/>
      </w:r>
      <w:r>
        <w:rPr>
          <w:rFonts w:ascii="Arial" w:cs="Arial" w:eastAsia="Arial" w:hAnsi="Arial"/>
          <w:sz w:val="16"/>
          <w:szCs w:val="16"/>
          <w:color w:val="auto"/>
        </w:rPr>
        <w:t>Christoph Tepper</w:t>
      </w:r>
    </w:p>
    <w:p>
      <w:pPr>
        <w:spacing w:after="0" w:line="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Authorized Signatories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Gael Seuvy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0403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SHIP S.À R.L.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Gael Seuvy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420" w:space="720"/>
            <w:col w:w="4680"/>
          </w:cols>
          <w:pgMar w:left="480" w:top="268" w:right="599" w:bottom="1440" w:gutter="0" w:footer="0" w:header="0"/>
          <w:type w:val="continuous"/>
        </w:sectPr>
      </w:pP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THIRD AMENDED AND RESTATED INVESTORS’ RIGHTS AGREEMENT]</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22 of 26</w:t>
      </w:r>
    </w:p>
    <w:p>
      <w:pPr>
        <w:sectPr>
          <w:pgSz w:w="11900" w:h="16838" w:orient="portrait"/>
          <w:cols w:equalWidth="0" w:num="1">
            <w:col w:w="10820"/>
          </w:cols>
          <w:pgMar w:left="480" w:top="268" w:right="599" w:bottom="1440" w:gutter="0" w:footer="0" w:header="0"/>
          <w:type w:val="continuous"/>
        </w:sectPr>
      </w:pPr>
    </w:p>
    <w:bookmarkStart w:id="328" w:name="page329"/>
    <w:bookmarkEnd w:id="328"/>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38" w:orient="portrait"/>
          <w:cols w:equalWidth="0" w:num="1">
            <w:col w:w="10820"/>
          </w:cols>
          <w:pgMar w:left="480" w:top="268" w:right="59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Michal Giladi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980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MICHAL GILADI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Moti Szuszan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MOTI SZUSZAN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Ran 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 OZ</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Danny Koller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DANNY KOLLER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Chertok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CHERTOK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Sacha Bielawski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SACHA BIELAWSKI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Lior Shklarsh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LIOR SHKLARSH</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Ephraim Greenfield /s/ Rachel Greenfield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9806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EPHRAIM &amp; RACHEL GREENFIELD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Maya Liquornik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9806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MAYA LIQUORNIK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David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7686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SCHLACHET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Ish Shalom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ISH SHALOM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Lilach Asher Topilsky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LILACH ASHER-TOPILSKY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Gigig Levy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GIGI LEVY WEISS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Jean-Evrard Domince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JEAN-EVRARD DOMINICÉ</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Clifford Felig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CLIFF FEILG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Abraham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ABRAHAM BROWN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Natan Schalachet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686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NATAN SCHALACHET</w:t>
      </w:r>
    </w:p>
    <w:p>
      <w:pPr>
        <w:spacing w:after="0" w:line="895" w:lineRule="exact"/>
        <w:rPr>
          <w:sz w:val="20"/>
          <w:szCs w:val="20"/>
          <w:color w:val="auto"/>
        </w:rPr>
      </w:pPr>
    </w:p>
    <w:p>
      <w:pPr>
        <w:sectPr>
          <w:pgSz w:w="11900" w:h="16838" w:orient="portrait"/>
          <w:cols w:equalWidth="0" w:num="2">
            <w:col w:w="5840" w:space="720"/>
            <w:col w:w="4260"/>
          </w:cols>
          <w:pgMar w:left="480" w:top="268" w:right="599" w:bottom="1440" w:gutter="0" w:footer="0" w:header="0"/>
          <w:type w:val="continuous"/>
        </w:sectPr>
      </w:pP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THIRD AMENDED AND RESTATED INVESTORS’ RIGHTS AGREEMENT]</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23 of 26</w:t>
      </w:r>
    </w:p>
    <w:p>
      <w:pPr>
        <w:sectPr>
          <w:pgSz w:w="11900" w:h="16838" w:orient="portrait"/>
          <w:cols w:equalWidth="0" w:num="1">
            <w:col w:w="10820"/>
          </w:cols>
          <w:pgMar w:left="480" w:top="268" w:right="599" w:bottom="1440" w:gutter="0" w:footer="0" w:header="0"/>
          <w:type w:val="continuous"/>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INVESTORS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26</w:t>
      </w:r>
    </w:p>
    <w:p>
      <w:pPr>
        <w:sectPr>
          <w:pgSz w:w="11900" w:h="16838" w:orient="portrait"/>
          <w:cols w:equalWidth="0" w:num="1">
            <w:col w:w="9019"/>
          </w:cols>
          <w:pgMar w:left="1440" w:top="268" w:right="1440" w:bottom="1440" w:gutter="0" w:footer="0" w:header="0"/>
        </w:sectPr>
      </w:pPr>
    </w:p>
    <w:bookmarkStart w:id="330" w:name="page331"/>
    <w:bookmarkEnd w:id="330"/>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Page 25 of 26</w:t>
      </w:r>
    </w:p>
    <w:p>
      <w:pPr>
        <w:sectPr>
          <w:pgSz w:w="11900" w:h="16838" w:orient="portrait"/>
          <w:cols w:equalWidth="0" w:num="1">
            <w:col w:w="9019"/>
          </w:cols>
          <w:pgMar w:left="1440" w:top="419" w:right="1440"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FOUNDERS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26</w:t>
      </w:r>
    </w:p>
    <w:p>
      <w:pPr>
        <w:sectPr>
          <w:pgSz w:w="11900" w:h="16838" w:orient="portrait"/>
          <w:cols w:equalWidth="0" w:num="1">
            <w:col w:w="9019"/>
          </w:cols>
          <w:pgMar w:left="1440" w:top="268"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168910</wp:posOffset>
            </wp:positionV>
            <wp:extent cx="5001895" cy="823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0018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25 Basel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Petah Tikva 4951038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0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Global-E Online Ltd</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7"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We have acted as Israeli counsel for Global-E Online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underwritten public offering and sale by the certain selling shareholders named in the Registration Statement (as defined below) (the “</w:t>
      </w:r>
      <w:r>
        <w:rPr>
          <w:rFonts w:ascii="Arial" w:cs="Arial" w:eastAsia="Arial" w:hAnsi="Arial"/>
          <w:sz w:val="18"/>
          <w:szCs w:val="18"/>
          <w:b w:val="1"/>
          <w:bCs w:val="1"/>
          <w:color w:val="auto"/>
        </w:rPr>
        <w:t>Selling Shareholders</w:t>
      </w:r>
      <w:r>
        <w:rPr>
          <w:rFonts w:ascii="Arial" w:cs="Arial" w:eastAsia="Arial" w:hAnsi="Arial"/>
          <w:sz w:val="18"/>
          <w:szCs w:val="18"/>
          <w:color w:val="auto"/>
        </w:rPr>
        <w:t>”) (i) of an aggregate of 12,000,000 ordinary shares, no par value (“</w:t>
      </w:r>
      <w:r>
        <w:rPr>
          <w:rFonts w:ascii="Arial" w:cs="Arial" w:eastAsia="Arial" w:hAnsi="Arial"/>
          <w:sz w:val="18"/>
          <w:szCs w:val="18"/>
          <w:b w:val="1"/>
          <w:bCs w:val="1"/>
          <w:color w:val="auto"/>
        </w:rPr>
        <w:t>Ordinary Shares</w:t>
      </w:r>
      <w:r>
        <w:rPr>
          <w:rFonts w:ascii="Arial" w:cs="Arial" w:eastAsia="Arial" w:hAnsi="Arial"/>
          <w:sz w:val="18"/>
          <w:szCs w:val="18"/>
          <w:color w:val="auto"/>
        </w:rPr>
        <w:t>”) of the Company (the “</w:t>
      </w:r>
      <w:r>
        <w:rPr>
          <w:rFonts w:ascii="Arial" w:cs="Arial" w:eastAsia="Arial" w:hAnsi="Arial"/>
          <w:sz w:val="18"/>
          <w:szCs w:val="18"/>
          <w:b w:val="1"/>
          <w:bCs w:val="1"/>
          <w:color w:val="auto"/>
        </w:rPr>
        <w:t>Firm Shares</w:t>
      </w:r>
      <w:r>
        <w:rPr>
          <w:rFonts w:ascii="Arial" w:cs="Arial" w:eastAsia="Arial" w:hAnsi="Arial"/>
          <w:sz w:val="18"/>
          <w:szCs w:val="18"/>
          <w:color w:val="auto"/>
        </w:rPr>
        <w:t>”) and (ii) the potential sale by the Selling Shareholders of up to an additional 1,800,000 Ordinary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and, collectively with the Firm Shares, the “</w:t>
      </w:r>
      <w:r>
        <w:rPr>
          <w:rFonts w:ascii="Arial" w:cs="Arial" w:eastAsia="Arial" w:hAnsi="Arial"/>
          <w:sz w:val="18"/>
          <w:szCs w:val="18"/>
          <w:b w:val="1"/>
          <w:bCs w:val="1"/>
          <w:color w:val="auto"/>
        </w:rPr>
        <w:t>Shares</w:t>
      </w:r>
      <w:r>
        <w:rPr>
          <w:rFonts w:ascii="Arial" w:cs="Arial" w:eastAsia="Arial" w:hAnsi="Arial"/>
          <w:sz w:val="18"/>
          <w:szCs w:val="18"/>
          <w:color w:val="auto"/>
        </w:rPr>
        <w:t>”), that are subject to an option to purchase such additional shares proposed to be granted by the Selling Shareholders to the underwriters in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This opinion letter is rendered pursuant to Item 8(a) of Form F-1 promulgated by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Items 601(b)(5) and (b)(23) of the SEC’s Regulation S-K promulgated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herewith, we have examined the originals, or photocopies or copies, certified or otherwise identified to our satisfaction, of: (i) the</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form of the registration statement on Form F-1 (File No. ) filed by the Company with the SEC under the Securities Act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to which this opinion is attached as an exhibit; (ii) a copy of the Amended and Restated Articles of Association of the Company, as currently in effect; (iii) resolutions of the board of directors of the Company and of the audit committees thereof, in each case, which relate to the Registration Statement and other actions to be taken in connection with the Offering; and (iv)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inquiries of such officers as we have deemed relevant and necessary as a basis for the opinions hereafter set forth.</w:t>
      </w:r>
    </w:p>
    <w:p>
      <w:pPr>
        <w:spacing w:after="0" w:line="182" w:lineRule="exact"/>
        <w:rPr>
          <w:sz w:val="20"/>
          <w:szCs w:val="20"/>
          <w:color w:val="auto"/>
        </w:rPr>
      </w:pPr>
    </w:p>
    <w:p>
      <w:pPr>
        <w:jc w:val="both"/>
        <w:ind w:right="20" w:firstLine="436"/>
        <w:spacing w:after="0" w:line="275"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validly issued and are fully paid and non-assessable.</w:t>
      </w:r>
    </w:p>
    <w:p>
      <w:pPr>
        <w:spacing w:after="0" w:line="175" w:lineRule="exact"/>
        <w:rPr>
          <w:sz w:val="20"/>
          <w:szCs w:val="20"/>
          <w:color w:val="auto"/>
        </w:rPr>
      </w:pPr>
    </w:p>
    <w:p>
      <w:pPr>
        <w:ind w:right="80" w:firstLine="436"/>
        <w:spacing w:after="0" w:line="301"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ectPr>
          <w:pgSz w:w="11900" w:h="16838" w:orient="portrait"/>
          <w:cols w:equalWidth="0" w:num="1">
            <w:col w:w="10920"/>
          </w:cols>
          <w:pgMar w:left="480" w:top="121" w:right="499" w:bottom="1440" w:gutter="0" w:footer="0" w:header="0"/>
        </w:sectPr>
      </w:pPr>
    </w:p>
    <w:bookmarkStart w:id="333" w:name="page334"/>
    <w:bookmarkEnd w:id="333"/>
    <w:p>
      <w:pPr>
        <w:ind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74" w:lineRule="exact"/>
        <w:rPr>
          <w:sz w:val="20"/>
          <w:szCs w:val="20"/>
          <w:color w:val="auto"/>
        </w:rPr>
      </w:pPr>
    </w:p>
    <w:p>
      <w:pPr>
        <w:jc w:val="both"/>
        <w:ind w:right="80" w:firstLine="436"/>
        <w:spacing w:after="0" w:line="335"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5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/s/ Meitar |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Meitar | Law Offices</w:t>
      </w:r>
    </w:p>
    <w:p>
      <w:pPr>
        <w:sectPr>
          <w:pgSz w:w="11900" w:h="16838" w:orient="portrait"/>
          <w:cols w:equalWidth="0" w:num="1">
            <w:col w:w="10880"/>
          </w:cols>
          <w:pgMar w:left="480" w:top="272" w:right="5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31"/>
        </w:trPr>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tcPr>
          <w:p>
            <w:pPr>
              <w:ind w:left="3080"/>
              <w:spacing w:after="0"/>
              <w:rPr>
                <w:sz w:val="20"/>
                <w:szCs w:val="20"/>
                <w:color w:val="auto"/>
              </w:rPr>
            </w:pPr>
            <w:r>
              <w:rPr>
                <w:rFonts w:ascii="Arial" w:cs="Arial" w:eastAsia="Arial" w:hAnsi="Arial"/>
                <w:sz w:val="18"/>
                <w:szCs w:val="18"/>
                <w:b w:val="1"/>
                <w:bCs w:val="1"/>
                <w:color w:val="auto"/>
                <w:w w:val="89"/>
              </w:rPr>
              <w:t>Exhibit 10.1</w:t>
            </w:r>
          </w:p>
        </w:tc>
      </w:tr>
      <w:tr>
        <w:trPr>
          <w:trHeight w:val="389"/>
        </w:trPr>
        <w:tc>
          <w:tcPr>
            <w:tcW w:w="4020" w:type="dxa"/>
            <w:vAlign w:val="bottom"/>
          </w:tcPr>
          <w:p>
            <w:pPr>
              <w:spacing w:after="0"/>
              <w:rPr>
                <w:sz w:val="24"/>
                <w:szCs w:val="24"/>
                <w:color w:val="auto"/>
              </w:rPr>
            </w:pPr>
          </w:p>
        </w:tc>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INDEMNIFICATION AGREEMENT</w:t>
            </w:r>
          </w:p>
        </w:tc>
        <w:tc>
          <w:tcPr>
            <w:tcW w:w="4000" w:type="dxa"/>
            <w:vAlign w:val="bottom"/>
          </w:tcPr>
          <w:p>
            <w:pPr>
              <w:spacing w:after="0"/>
              <w:rPr>
                <w:sz w:val="24"/>
                <w:szCs w:val="24"/>
                <w:color w:val="auto"/>
              </w:rPr>
            </w:pPr>
          </w:p>
        </w:tc>
      </w:tr>
      <w:tr>
        <w:trPr>
          <w:trHeight w:val="301"/>
        </w:trPr>
        <w:tc>
          <w:tcPr>
            <w:tcW w:w="5500" w:type="dxa"/>
            <w:vAlign w:val="bottom"/>
            <w:gridSpan w:val="2"/>
          </w:tcPr>
          <w:p>
            <w:pPr>
              <w:spacing w:after="0"/>
              <w:rPr>
                <w:sz w:val="20"/>
                <w:szCs w:val="20"/>
                <w:color w:val="auto"/>
              </w:rPr>
            </w:pPr>
            <w:r>
              <w:rPr>
                <w:rFonts w:ascii="Arial" w:cs="Arial" w:eastAsia="Arial" w:hAnsi="Arial"/>
                <w:sz w:val="18"/>
                <w:szCs w:val="18"/>
                <w:color w:val="auto"/>
                <w:w w:val="94"/>
              </w:rPr>
              <w:t>THIS INDEMNIFICATION AGREEMENT (the “</w:t>
            </w:r>
            <w:r>
              <w:rPr>
                <w:rFonts w:ascii="Arial" w:cs="Arial" w:eastAsia="Arial" w:hAnsi="Arial"/>
                <w:sz w:val="18"/>
                <w:szCs w:val="18"/>
                <w:b w:val="1"/>
                <w:bCs w:val="1"/>
                <w:color w:val="auto"/>
                <w:w w:val="94"/>
              </w:rPr>
              <w:t>Agreement</w:t>
            </w:r>
            <w:r>
              <w:rPr>
                <w:rFonts w:ascii="Arial" w:cs="Arial" w:eastAsia="Arial" w:hAnsi="Arial"/>
                <w:sz w:val="18"/>
                <w:szCs w:val="18"/>
                <w:color w:val="auto"/>
                <w:w w:val="94"/>
              </w:rPr>
              <w:t>”), dated as of</w:t>
            </w:r>
          </w:p>
        </w:tc>
        <w:tc>
          <w:tcPr>
            <w:tcW w:w="1080" w:type="dxa"/>
            <w:vAlign w:val="bottom"/>
            <w:tcBorders>
              <w:bottom w:val="single" w:sz="8" w:color="auto"/>
            </w:tcBorders>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0"/>
              </w:rPr>
              <w:t>, 2021, is entered into by and between Global-E Online Ltd.,</w:t>
            </w:r>
          </w:p>
        </w:tc>
      </w:tr>
    </w:tbl>
    <w:p>
      <w:pPr>
        <w:spacing w:after="0" w:line="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an Israeli company whose address is 25 Basel Street</w:t>
      </w:r>
      <w:r>
        <w:rPr>
          <w:rFonts w:ascii="Arial" w:cs="Arial" w:eastAsia="Arial" w:hAnsi="Arial"/>
          <w:sz w:val="18"/>
          <w:szCs w:val="18"/>
          <w:i w:val="1"/>
          <w:iCs w:val="1"/>
          <w:color w:val="auto"/>
        </w:rPr>
        <w:t>,</w:t>
      </w:r>
      <w:r>
        <w:rPr>
          <w:rFonts w:ascii="Arial" w:cs="Arial" w:eastAsia="Arial" w:hAnsi="Arial"/>
          <w:sz w:val="18"/>
          <w:szCs w:val="18"/>
          <w:color w:val="auto"/>
        </w:rPr>
        <w:t xml:space="preserve"> Petah Tikva 4951038,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Director or Officer of the Company whose name appears on the signature page hereto officer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301" w:lineRule="exact"/>
        <w:rPr>
          <w:sz w:val="20"/>
          <w:szCs w:val="20"/>
          <w:color w:val="auto"/>
        </w:rPr>
      </w:pPr>
    </w:p>
    <w:p>
      <w:pPr>
        <w:ind w:left="1220" w:right="180" w:hanging="1219"/>
        <w:spacing w:after="0" w:line="275" w:lineRule="auto"/>
        <w:tabs>
          <w:tab w:leader="none" w:pos="120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Indemnitee is an Office Holder (“</w:t>
      </w:r>
      <w:r>
        <w:rPr>
          <w:rFonts w:ascii="Arial" w:cs="Arial" w:eastAsia="Arial" w:hAnsi="Arial"/>
          <w:sz w:val="18"/>
          <w:szCs w:val="18"/>
          <w:i w:val="1"/>
          <w:iCs w:val="1"/>
          <w:color w:val="auto"/>
        </w:rPr>
        <w:t>Nosse Misra</w:t>
      </w:r>
      <w:r>
        <w:rPr>
          <w:rFonts w:ascii="Arial" w:cs="Arial" w:eastAsia="Arial" w:hAnsi="Arial"/>
          <w:sz w:val="18"/>
          <w:szCs w:val="18"/>
          <w:color w:val="auto"/>
        </w:rPr>
        <w:t>”), as such term is defined in the Companies Law, 5759–1999, as amended (the “</w:t>
      </w:r>
      <w:r>
        <w:rPr>
          <w:rFonts w:ascii="Arial" w:cs="Arial" w:eastAsia="Arial" w:hAnsi="Arial"/>
          <w:sz w:val="18"/>
          <w:szCs w:val="18"/>
          <w:b w:val="1"/>
          <w:bCs w:val="1"/>
          <w:color w:val="auto"/>
        </w:rPr>
        <w:t>Office</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and the “</w:t>
      </w:r>
      <w:r>
        <w:rPr>
          <w:rFonts w:ascii="Arial" w:cs="Arial" w:eastAsia="Arial" w:hAnsi="Arial"/>
          <w:sz w:val="18"/>
          <w:szCs w:val="18"/>
          <w:b w:val="1"/>
          <w:bCs w:val="1"/>
          <w:color w:val="auto"/>
        </w:rPr>
        <w:t>Companies Law</w:t>
      </w:r>
      <w:r>
        <w:rPr>
          <w:rFonts w:ascii="Arial" w:cs="Arial" w:eastAsia="Arial" w:hAnsi="Arial"/>
          <w:sz w:val="18"/>
          <w:szCs w:val="18"/>
          <w:color w:val="auto"/>
        </w:rPr>
        <w:t>” respectively), of the Company;</w:t>
      </w:r>
    </w:p>
    <w:p>
      <w:pPr>
        <w:spacing w:after="0" w:line="61" w:lineRule="exact"/>
        <w:rPr>
          <w:sz w:val="20"/>
          <w:szCs w:val="20"/>
          <w:color w:val="auto"/>
        </w:rPr>
      </w:pPr>
    </w:p>
    <w:p>
      <w:pPr>
        <w:ind w:left="1220" w:right="200" w:hanging="1219"/>
        <w:spacing w:after="0" w:line="271" w:lineRule="auto"/>
        <w:tabs>
          <w:tab w:leader="none" w:pos="120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both the Company and Indemnitee recognize the increased risk of litigation and other claims being asserted against Office Holders of companies;</w:t>
      </w:r>
    </w:p>
    <w:p>
      <w:pPr>
        <w:spacing w:after="0" w:line="68" w:lineRule="exact"/>
        <w:rPr>
          <w:sz w:val="20"/>
          <w:szCs w:val="20"/>
          <w:color w:val="auto"/>
        </w:rPr>
      </w:pPr>
    </w:p>
    <w:p>
      <w:pPr>
        <w:ind w:left="1220" w:right="120" w:hanging="1219"/>
        <w:spacing w:after="0" w:line="261" w:lineRule="auto"/>
        <w:tabs>
          <w:tab w:leader="none" w:pos="120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Amended and Restated Articles of Association of the Company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authorize the Company to indemnify and advance expenses to its Office Holders and provide for insurance and exculpation to its Office Holders, in each case, to the fullest extent permitted by applicable law;</w:t>
      </w:r>
    </w:p>
    <w:p>
      <w:pPr>
        <w:spacing w:after="0" w:line="74" w:lineRule="exact"/>
        <w:rPr>
          <w:sz w:val="20"/>
          <w:szCs w:val="20"/>
          <w:color w:val="auto"/>
        </w:rPr>
      </w:pPr>
    </w:p>
    <w:p>
      <w:pPr>
        <w:ind w:left="1220" w:right="20" w:hanging="1219"/>
        <w:spacing w:after="0" w:line="293" w:lineRule="auto"/>
        <w:tabs>
          <w:tab w:leader="none" w:pos="120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has determined that (i) the increased difficulty in attracting and retaining competent persons is detrimental to the best interests of the Company’s shareholders and that the Company should act to assure such persons that there will be increased certainty of such protection in the future, and (ii)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and</w:t>
      </w:r>
    </w:p>
    <w:p>
      <w:pPr>
        <w:spacing w:after="0" w:line="54" w:lineRule="exact"/>
        <w:rPr>
          <w:sz w:val="20"/>
          <w:szCs w:val="20"/>
          <w:color w:val="auto"/>
        </w:rPr>
      </w:pPr>
    </w:p>
    <w:p>
      <w:pPr>
        <w:ind w:left="1220" w:right="20" w:hanging="1219"/>
        <w:spacing w:after="0" w:line="252" w:lineRule="auto"/>
        <w:tabs>
          <w:tab w:leader="none" w:pos="120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 recognition of Indemnitee’s need for substantial protection against personal liability in order to assure Indemnitee’s continued service to the Company in an effective manner and, in part, in order to provide Indemnitee with specific contractual assurance that the indemnification, insurance and exculpation afforded by the Articles of Association will be available to Indemnitee, the Company wishes to undertake in this Agreement for the indemnification of and the advancing of expenses to Indemnitee to the fullest extent permitted by applicable law and as set forth in this Agreement and provide for insurance and exculpation of Indemnitee as set forth in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27" w:lineRule="exact"/>
        <w:rPr>
          <w:sz w:val="20"/>
          <w:szCs w:val="20"/>
          <w:color w:val="auto"/>
        </w:rPr>
      </w:pPr>
    </w:p>
    <w:p>
      <w:pPr>
        <w:ind w:left="440" w:hanging="433"/>
        <w:spacing w:after="0"/>
        <w:tabs>
          <w:tab w:leader="none" w:pos="4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31" w:lineRule="exact"/>
        <w:rPr>
          <w:rFonts w:ascii="Arial" w:cs="Arial" w:eastAsia="Arial" w:hAnsi="Arial"/>
          <w:sz w:val="18"/>
          <w:szCs w:val="18"/>
          <w:b w:val="1"/>
          <w:bCs w:val="1"/>
          <w:color w:val="auto"/>
        </w:rPr>
      </w:pPr>
    </w:p>
    <w:p>
      <w:pPr>
        <w:ind w:left="980" w:right="40" w:hanging="535"/>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1.1. The Company hereby undertakes to indemnify Indemnitee to the fullest extent permitted by applicable law for any liability and expense specified in Sections 1.1.1 through 1.1.4 below, imposed on Indemnitee due to or in connection with an act performed by such Indemnitee, either prior to or after the date hereof, in Indemnitee’s capacity as an Office Holder, including, without limitation, as a director, officer, employee, agent or fiduciary of the Company, any subsidiary thereof or any other corporation, collaboration, partnership, joint venture, trust or other enterprise, in which Indemnitee serves at any time at the request of the Company (the “</w:t>
      </w:r>
      <w:r>
        <w:rPr>
          <w:rFonts w:ascii="Arial" w:cs="Arial" w:eastAsia="Arial" w:hAnsi="Arial"/>
          <w:sz w:val="17"/>
          <w:szCs w:val="17"/>
          <w:b w:val="1"/>
          <w:bCs w:val="1"/>
          <w:color w:val="auto"/>
        </w:rPr>
        <w:t>Corporate Capacity</w:t>
      </w:r>
      <w:r>
        <w:rPr>
          <w:rFonts w:ascii="Arial" w:cs="Arial" w:eastAsia="Arial" w:hAnsi="Arial"/>
          <w:sz w:val="17"/>
          <w:szCs w:val="17"/>
          <w:color w:val="auto"/>
        </w:rPr>
        <w:t>”). The term “act performed in Indemnitee’s capacity as an Office Holder” shall include, without limitation, any act, omission or failure to act and any other circumstances relating to or arising from Indemnitee’s service in a Corporate Capacity. Notwithstanding the foregoing, in the event that the Office Holder is the beneficiary of an indemnification undertaking provided by a subsidiary of the Company or any other entity with respect to his or her Corporate Capacity with such subsidiary or entity, then the indemnification obligations of the Company hereunder with respect to such Corporate Capacity shall only apply to the extent that the indemnification by such subsidiary or other entity does not actually fully cover the indemnifiable liabilities and expenses relating thereto. The following shall be hereinafter referred to as “</w:t>
      </w:r>
      <w:r>
        <w:rPr>
          <w:rFonts w:ascii="Arial" w:cs="Arial" w:eastAsia="Arial" w:hAnsi="Arial"/>
          <w:sz w:val="17"/>
          <w:szCs w:val="17"/>
          <w:b w:val="1"/>
          <w:bCs w:val="1"/>
          <w:color w:val="auto"/>
        </w:rPr>
        <w:t>Indemnifiable Events</w:t>
      </w:r>
      <w:r>
        <w:rPr>
          <w:rFonts w:ascii="Arial" w:cs="Arial" w:eastAsia="Arial" w:hAnsi="Arial"/>
          <w:sz w:val="17"/>
          <w:szCs w:val="17"/>
          <w:color w:val="auto"/>
        </w:rPr>
        <w:t>”:</w:t>
      </w:r>
    </w:p>
    <w:p>
      <w:pPr>
        <w:sectPr>
          <w:pgSz w:w="11900" w:h="16838" w:orient="portrait"/>
          <w:cols w:equalWidth="0" w:num="1">
            <w:col w:w="10920"/>
          </w:cols>
          <w:pgMar w:left="480" w:top="121" w:right="499" w:bottom="1440" w:gutter="0" w:footer="0" w:header="0"/>
        </w:sectPr>
      </w:pPr>
    </w:p>
    <w:bookmarkStart w:id="335" w:name="page336"/>
    <w:bookmarkEnd w:id="335"/>
    <w:p>
      <w:pPr>
        <w:ind w:left="980" w:right="60" w:hanging="427"/>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1.1.1. Financial liability imposed on Indemnitee in favor of any person pursuant to a judgment, including a judgment rendered in the context of a settlement or an arbitrator’s award approved by a court. For purposes of Section 1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include, without limitation, a natural person, firm, partnership, joint venture, trust, company, corporation, limited liability entity, unincorporated organization, estate, government, municipality, or any political, governmental, regulatory or similar agency or body;</w:t>
      </w:r>
    </w:p>
    <w:p>
      <w:pPr>
        <w:spacing w:after="0" w:line="99" w:lineRule="exact"/>
        <w:rPr>
          <w:sz w:val="20"/>
          <w:szCs w:val="20"/>
          <w:color w:val="auto"/>
        </w:rPr>
      </w:pPr>
    </w:p>
    <w:p>
      <w:pPr>
        <w:ind w:left="980" w:right="20" w:hanging="427"/>
        <w:spacing w:after="0" w:line="287" w:lineRule="auto"/>
        <w:rPr>
          <w:sz w:val="20"/>
          <w:szCs w:val="20"/>
          <w:color w:val="auto"/>
        </w:rPr>
      </w:pPr>
      <w:r>
        <w:rPr>
          <w:rFonts w:ascii="Arial" w:cs="Arial" w:eastAsia="Arial" w:hAnsi="Arial"/>
          <w:sz w:val="16"/>
          <w:szCs w:val="16"/>
          <w:color w:val="auto"/>
        </w:rPr>
        <w:t xml:space="preserve">1.1.2. Reasonable Expenses (as defined below) expended by Indemnitee as a result of an investigation or any proceeding instituted against the Indemnitee by an authority that is authorized to conduct such investigation or proceeding, and that was concluded without filing an indictment against the Indemnitee and without imposing on the Indemnitee a financial liability in lieu of a criminal proceeding, or that was concluded without filing an indictment against the Indemnitee but imposing a financial liability in lieu of a criminal proceeding in an offence that does not require proof of </w:t>
      </w:r>
      <w:r>
        <w:rPr>
          <w:rFonts w:ascii="Arial" w:cs="Arial" w:eastAsia="Arial" w:hAnsi="Arial"/>
          <w:sz w:val="16"/>
          <w:szCs w:val="16"/>
          <w:i w:val="1"/>
          <w:iCs w:val="1"/>
          <w:color w:val="auto"/>
        </w:rPr>
        <w:t>mens rea</w:t>
      </w:r>
      <w:r>
        <w:rPr>
          <w:rFonts w:ascii="Arial" w:cs="Arial" w:eastAsia="Arial" w:hAnsi="Arial"/>
          <w:sz w:val="16"/>
          <w:szCs w:val="16"/>
          <w:color w:val="auto"/>
        </w:rPr>
        <w:t>, or in connection with a financial sanction. In this section “conclusion of a proceeding without filing an indictment in a matter in which a criminal investigation has been instigated” and “financial liability in lieu of a criminal proceeding” shall have the meaning assigned to such terms under the Companies Law, and the term “financial sanction” shall mean such term as referred to in Section 260(a)(1a) of the Companies Law;</w:t>
      </w:r>
    </w:p>
    <w:p>
      <w:pPr>
        <w:spacing w:after="0" w:line="72" w:lineRule="exact"/>
        <w:rPr>
          <w:sz w:val="20"/>
          <w:szCs w:val="20"/>
          <w:color w:val="auto"/>
        </w:rPr>
      </w:pPr>
    </w:p>
    <w:p>
      <w:pPr>
        <w:ind w:left="980" w:right="40" w:hanging="427"/>
        <w:spacing w:after="0" w:line="259" w:lineRule="auto"/>
        <w:rPr>
          <w:sz w:val="20"/>
          <w:szCs w:val="20"/>
          <w:color w:val="auto"/>
        </w:rPr>
      </w:pPr>
      <w:r>
        <w:rPr>
          <w:rFonts w:ascii="Arial" w:cs="Arial" w:eastAsia="Arial" w:hAnsi="Arial"/>
          <w:sz w:val="18"/>
          <w:szCs w:val="18"/>
          <w:color w:val="auto"/>
        </w:rPr>
        <w:t xml:space="preserve">1.1.3. Reasonable Expenses expended by or imposed on Indemnitee by a court, in a proceeding instituted against Indemnitee by the Company or on its behalf or by another person, or in a criminal charge from which Indemnitee was acquitted or in which Indemnitee convicted of an offence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and</w:t>
      </w:r>
    </w:p>
    <w:p>
      <w:pPr>
        <w:spacing w:after="0" w:line="92" w:lineRule="exact"/>
        <w:rPr>
          <w:sz w:val="20"/>
          <w:szCs w:val="20"/>
          <w:color w:val="auto"/>
        </w:rPr>
      </w:pPr>
    </w:p>
    <w:p>
      <w:pPr>
        <w:ind w:left="980" w:right="100" w:hanging="427"/>
        <w:spacing w:after="0" w:line="255" w:lineRule="auto"/>
        <w:rPr>
          <w:sz w:val="20"/>
          <w:szCs w:val="20"/>
          <w:color w:val="auto"/>
        </w:rPr>
      </w:pPr>
      <w:r>
        <w:rPr>
          <w:rFonts w:ascii="Arial" w:cs="Arial" w:eastAsia="Arial" w:hAnsi="Arial"/>
          <w:sz w:val="18"/>
          <w:szCs w:val="18"/>
          <w:color w:val="auto"/>
        </w:rPr>
        <w:t>1.1.4. Any other event, occurrence, matter or circumstances under any law with respect to which the Company may, or will be able to, indemnify an Office Holder (including, without limitation, in accordance with Section 56h(b)(1) of the Israeli Securities Law 5728-1968 (the “</w:t>
      </w:r>
      <w:r>
        <w:rPr>
          <w:rFonts w:ascii="Arial" w:cs="Arial" w:eastAsia="Arial" w:hAnsi="Arial"/>
          <w:sz w:val="18"/>
          <w:szCs w:val="18"/>
          <w:b w:val="1"/>
          <w:bCs w:val="1"/>
          <w:color w:val="auto"/>
        </w:rPr>
        <w:t>Israeli Securities Law</w:t>
      </w:r>
      <w:r>
        <w:rPr>
          <w:rFonts w:ascii="Arial" w:cs="Arial" w:eastAsia="Arial" w:hAnsi="Arial"/>
          <w:sz w:val="18"/>
          <w:szCs w:val="18"/>
          <w:color w:val="auto"/>
        </w:rPr>
        <w:t>”), if applicable, and Section 50P(b)(2) of the Israeli Economic Competition Law, 5758-1988 (the “</w:t>
      </w:r>
      <w:r>
        <w:rPr>
          <w:rFonts w:ascii="Arial" w:cs="Arial" w:eastAsia="Arial" w:hAnsi="Arial"/>
          <w:sz w:val="18"/>
          <w:szCs w:val="18"/>
          <w:b w:val="1"/>
          <w:bCs w:val="1"/>
          <w:color w:val="auto"/>
        </w:rPr>
        <w:t>Economic Competition Law</w:t>
      </w:r>
      <w:r>
        <w:rPr>
          <w:rFonts w:ascii="Arial" w:cs="Arial" w:eastAsia="Arial" w:hAnsi="Arial"/>
          <w:sz w:val="18"/>
          <w:szCs w:val="18"/>
          <w:color w:val="auto"/>
        </w:rPr>
        <w:t>”)).</w:t>
      </w:r>
    </w:p>
    <w:p>
      <w:pPr>
        <w:spacing w:after="0" w:line="79"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For the purpose of this Agreement, “</w:t>
      </w:r>
      <w:r>
        <w:rPr>
          <w:rFonts w:ascii="Arial" w:cs="Arial" w:eastAsia="Arial" w:hAnsi="Arial"/>
          <w:sz w:val="16"/>
          <w:szCs w:val="16"/>
          <w:b w:val="1"/>
          <w:bCs w:val="1"/>
          <w:color w:val="auto"/>
        </w:rPr>
        <w:t>Expenses</w:t>
      </w:r>
      <w:r>
        <w:rPr>
          <w:rFonts w:ascii="Arial" w:cs="Arial" w:eastAsia="Arial" w:hAnsi="Arial"/>
          <w:sz w:val="16"/>
          <w:szCs w:val="16"/>
          <w:color w:val="auto"/>
        </w:rPr>
        <w:t>” shall include, without limitation, legal fees and all other costs, expenses and obligations paid or incurred by Indemnitee in connection with investigating, defending, being a witness in or participating in (including on appeal), or preparing to defend, be a witness in or participate in any claim, action, suit, proceeding, alternative dispute resolution mechanism, hearing, inquiry or investigation relating to any matter for which indemnification hereunder may be provided. Expenses shall be considered paid or incurred by Indemnitee at such time as Indemnitee is required to pay or incur such cost or expenses, including upon receipt of an invoice or payment demand. The Company shall pay the Expenses in accordance with the provisions of Section 1.3.</w:t>
      </w:r>
    </w:p>
    <w:p>
      <w:pPr>
        <w:spacing w:after="0" w:line="70" w:lineRule="exact"/>
        <w:rPr>
          <w:sz w:val="20"/>
          <w:szCs w:val="20"/>
          <w:color w:val="auto"/>
        </w:rPr>
      </w:pPr>
    </w:p>
    <w:p>
      <w:pPr>
        <w:ind w:left="540" w:hanging="534"/>
        <w:spacing w:after="0" w:line="253"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Notwithstanding anything herein to the contrary, the Company’s undertaking to indemnify the Indemnitee under Section 1.1.1 shall only be with respect to events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the categories of events listed in Exhibit A are foreseeable in light of the operations of the Company. The maximum amount of indemnification payable by the Company under Section 1.1.1 with respect to the specific events described in Exhibit A during any period of five years, shall be as set forth in Exhibit A hereto (the “</w:t>
      </w:r>
      <w:r>
        <w:rPr>
          <w:rFonts w:ascii="Arial" w:cs="Arial" w:eastAsia="Arial" w:hAnsi="Arial"/>
          <w:sz w:val="18"/>
          <w:szCs w:val="18"/>
          <w:b w:val="1"/>
          <w:bCs w:val="1"/>
          <w:color w:val="auto"/>
        </w:rPr>
        <w:t>Limit</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480"/>
          </w:cols>
          <w:pgMar w:left="920" w:top="271" w:right="499" w:bottom="1440" w:gutter="0" w:footer="0" w:header="0"/>
        </w:sectPr>
      </w:pPr>
    </w:p>
    <w:bookmarkStart w:id="336" w:name="page337"/>
    <w:bookmarkEnd w:id="336"/>
    <w:p>
      <w:pPr>
        <w:ind w:left="540" w:right="2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Amount</w:t>
      </w:r>
      <w:r>
        <w:rPr>
          <w:rFonts w:ascii="Arial" w:cs="Arial" w:eastAsia="Arial" w:hAnsi="Arial"/>
          <w:sz w:val="16"/>
          <w:szCs w:val="16"/>
          <w:color w:val="auto"/>
        </w:rPr>
        <w:t>”). If the Company undertook to indemnify multiple persons under agreements similar to this Agreement (the “</w:t>
      </w:r>
      <w:r>
        <w:rPr>
          <w:rFonts w:ascii="Arial" w:cs="Arial" w:eastAsia="Arial" w:hAnsi="Arial"/>
          <w:sz w:val="16"/>
          <w:szCs w:val="16"/>
          <w:b w:val="1"/>
          <w:bCs w:val="1"/>
          <w:color w:val="auto"/>
        </w:rPr>
        <w:t>Indemnifiable Persons</w:t>
      </w:r>
      <w:r>
        <w:rPr>
          <w:rFonts w:ascii="Arial" w:cs="Arial" w:eastAsia="Arial" w:hAnsi="Arial"/>
          <w:sz w:val="16"/>
          <w:szCs w:val="16"/>
          <w:color w:val="auto"/>
        </w:rPr>
        <w:t>”) the Limit Amount for the five year period commencing on the closing of the first issuance and sale of the Company’s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the public, pursuant to an effective registration statement under the United States Securities Act 1933, as amended, or the securities law of any other jurisdiction, and for every subsequent five year period, shall apply to all Indemnifiable Persons, in the aggregate, and if the Limit Amount is insufficient to cover all the indemnity amounts payable with respect to all Indemnifiable Persons during the relevant five year period, then such amount shall be allocated to such Indemnifiable Persons pro rata according to the percentage of their culpability, as finally determined by a court in the relevant claim, or, absent such determination or in the event such persons are parties to different claims, based on an equal pro rata allocation among such Indemnifiable Persons. The Limit Amount payable by the Company as described in Exhibit A is deemed by the Company to be reasonable in light of the circumstances. The indemnification provided under Section 1.1.1 herein shall not be subject to the limitations imposed by this Section 1.2 and Exhibit A if and to the extent such limits do not or are no longer required by the Companies Law.</w:t>
      </w:r>
    </w:p>
    <w:p>
      <w:pPr>
        <w:spacing w:after="0" w:line="75" w:lineRule="exact"/>
        <w:rPr>
          <w:sz w:val="20"/>
          <w:szCs w:val="20"/>
          <w:color w:val="auto"/>
        </w:rPr>
      </w:pPr>
    </w:p>
    <w:p>
      <w:pPr>
        <w:ind w:left="540" w:right="40" w:hanging="534"/>
        <w:spacing w:after="0" w:line="268"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If so requested by Indemnitee in writing, and subject to the Company’s repayment and reimbursements rights set forth in Sections 3 and 5 below, the Company shall pay amounts to cover Indemnitee’s Expenses with respect to which Indemnitee is entitled to be indemnified under Section 1.1 above, as and when incurred. The payments of such amounts shall be made by the Company directly to the Indemnitee’s legal and other advisors, as soon as practicable, but in any event no later than fifteen (15) days after written demand by such Indemnitee therefor to the Company, and any such payment shall be deemed to constitute indemnification hereunder. As part of the aforementioned undertaking, the Company will make available to Indemnitee any security or guarantee that Indemnitee may be required to post in accordance with an interim decision given by a court, governmental or administrative body, or an arbitrator, including for the purpose of substituting liens imposed on Indemnitee’s assets.</w:t>
      </w:r>
    </w:p>
    <w:p>
      <w:pPr>
        <w:spacing w:after="0" w:line="86" w:lineRule="exact"/>
        <w:rPr>
          <w:sz w:val="20"/>
          <w:szCs w:val="20"/>
          <w:color w:val="auto"/>
        </w:rPr>
      </w:pPr>
    </w:p>
    <w:p>
      <w:pPr>
        <w:ind w:left="540" w:hanging="534"/>
        <w:spacing w:after="0" w:line="275"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The Company’s obligation to indemnify Indemnitee and advance Expenses in accordance with this Agreement shall be for such period (the “</w:t>
      </w:r>
      <w:r>
        <w:rPr>
          <w:rFonts w:ascii="Arial" w:cs="Arial" w:eastAsia="Arial" w:hAnsi="Arial"/>
          <w:sz w:val="17"/>
          <w:szCs w:val="17"/>
          <w:b w:val="1"/>
          <w:bCs w:val="1"/>
          <w:color w:val="auto"/>
        </w:rPr>
        <w:t>Indemnification Period</w:t>
      </w:r>
      <w:r>
        <w:rPr>
          <w:rFonts w:ascii="Arial" w:cs="Arial" w:eastAsia="Arial" w:hAnsi="Arial"/>
          <w:sz w:val="17"/>
          <w:szCs w:val="17"/>
          <w:color w:val="auto"/>
        </w:rPr>
        <w:t>”) as Indemnitee shall be subject to any actual, possible or threatened claim, action, suit, demand or proceeding or any inquiry or investigation, whether civil, criminal or investigative, arising out of the Indemnitee’s service in the Corporate Capacity as described in Section 1.1 above, whether or not Indemnitee is still serving in such position.</w:t>
      </w:r>
    </w:p>
    <w:p>
      <w:pPr>
        <w:spacing w:after="0" w:line="80" w:lineRule="exact"/>
        <w:rPr>
          <w:sz w:val="20"/>
          <w:szCs w:val="20"/>
          <w:color w:val="auto"/>
        </w:rPr>
      </w:pPr>
    </w:p>
    <w:p>
      <w:pPr>
        <w:ind w:left="540" w:right="40" w:hanging="534"/>
        <w:spacing w:after="0" w:line="251"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Company undertakes that, subject to the mandatory limitations under applicable law, as long as it may be obligated to provide indemnification and advance Expenses under this Agreement, the Company will purchase and maintain in effect directors and officers liability insurance, which will include coverage for the benefit of the Indemnitee, providing coverage in amounts as reasonably determined by the Board; provided that, the Company shall have no obligation to obtain or maintain directors and officers insurance policy if the Company determines in good faith that such insurance is not reasonably available, the premium costs for such insurance are disproportionate to the amount of coverage provided, or the coverage provided by such insurance is so limited by exclusions that it provides an insufficient benefit. The Company hereby undertakes to notify the Indemnitee prior to the expiration or termination of the directors and officers liability insurance.</w:t>
      </w:r>
    </w:p>
    <w:p>
      <w:pPr>
        <w:spacing w:after="0" w:line="100" w:lineRule="exact"/>
        <w:rPr>
          <w:sz w:val="20"/>
          <w:szCs w:val="20"/>
          <w:color w:val="auto"/>
        </w:rPr>
      </w:pPr>
    </w:p>
    <w:p>
      <w:pPr>
        <w:ind w:left="540" w:right="200" w:hanging="534"/>
        <w:spacing w:after="0" w:line="255"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Company undertakes to give prompt written notice of the commencement of any claim hereunder to the insurers in accordance with the procedures set forth in each of the policies. The Company shall thereafter diligently take all actions reasonably necessary under the circumstances to cause such insurers to pay, on behalf of Indemnitee, all amounts payable as a result of such action, suit, proceeding, inquiry or investigation in</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460"/>
          </w:cols>
          <w:pgMar w:left="920" w:top="268" w:right="519" w:bottom="1440" w:gutter="0" w:footer="0" w:header="0"/>
        </w:sectPr>
      </w:pPr>
    </w:p>
    <w:bookmarkStart w:id="337" w:name="page338"/>
    <w:bookmarkEnd w:id="337"/>
    <w:p>
      <w:pPr>
        <w:ind w:left="97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accordance with the terms of such policies. The above shall not derogate from Company’s authority to freely negotiate or reach any compromise with the insurer which is reasonable at the Company’s sole discretion provided that the Company shall act in good faith and in a diligent manner.</w:t>
      </w:r>
    </w:p>
    <w:p>
      <w:pPr>
        <w:spacing w:after="0" w:line="209" w:lineRule="exact"/>
        <w:rPr>
          <w:sz w:val="20"/>
          <w:szCs w:val="20"/>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SPECIFIC LIMITATIONS ON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6"/>
          <w:szCs w:val="16"/>
          <w:color w:val="auto"/>
        </w:rPr>
        <w:t>Notwithstanding anything to the contrary in this Agreement, the Company shall not indemnify or advance Expenses to Indemnitee with respect to</w:t>
      </w:r>
    </w:p>
    <w:p>
      <w:pPr>
        <w:spacing w:after="0" w:line="42" w:lineRule="exact"/>
        <w:rPr>
          <w:rFonts w:ascii="Arial" w:cs="Arial" w:eastAsia="Arial" w:hAnsi="Arial"/>
          <w:sz w:val="18"/>
          <w:szCs w:val="18"/>
          <w:color w:val="auto"/>
        </w:rPr>
      </w:pPr>
    </w:p>
    <w:p>
      <w:pPr>
        <w:ind w:left="433" w:right="20" w:firstLine="4"/>
        <w:spacing w:after="0" w:line="256" w:lineRule="auto"/>
        <w:tabs>
          <w:tab w:leader="none" w:pos="64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act, event or circumstance with respect to which it is prohibited to do so under applicable law, or (ii) a counter claim made by the Company or in its name in connection with a claim against the Company filed by the Indemnitee.</w:t>
      </w:r>
    </w:p>
    <w:p>
      <w:pPr>
        <w:spacing w:after="0" w:line="210" w:lineRule="exact"/>
        <w:rPr>
          <w:rFonts w:ascii="Arial" w:cs="Arial" w:eastAsia="Arial" w:hAnsi="Arial"/>
          <w:sz w:val="18"/>
          <w:szCs w:val="18"/>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REPAYMENT OF EXPENSES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right="400" w:hanging="535"/>
        <w:spacing w:after="0" w:line="297" w:lineRule="auto"/>
        <w:rPr>
          <w:rFonts w:ascii="Arial" w:cs="Arial" w:eastAsia="Arial" w:hAnsi="Arial"/>
          <w:sz w:val="18"/>
          <w:szCs w:val="18"/>
          <w:color w:val="auto"/>
        </w:rPr>
      </w:pPr>
      <w:r>
        <w:rPr>
          <w:rFonts w:ascii="Arial" w:cs="Arial" w:eastAsia="Arial" w:hAnsi="Arial"/>
          <w:sz w:val="16"/>
          <w:szCs w:val="16"/>
          <w:color w:val="auto"/>
        </w:rPr>
        <w:t>3.1. In the event that the Company provides or is required to provide indemnification with respect to Expenses hereunder and at any time thereafter the Company determines, based on advice from its legal counsel, that the Indemnitee was not entitled to such payments, the amounts so indemnified by the Company will be promptly repaid by Indemnitee, unless the Indemnitee disputes the Company’s determination, in which case the Indemnitee’s obligation to repay to the Company shall be postponed until such dispute is resolved.</w:t>
      </w:r>
    </w:p>
    <w:p>
      <w:pPr>
        <w:spacing w:after="0" w:line="65" w:lineRule="exact"/>
        <w:rPr>
          <w:rFonts w:ascii="Arial" w:cs="Arial" w:eastAsia="Arial" w:hAnsi="Arial"/>
          <w:sz w:val="18"/>
          <w:szCs w:val="18"/>
          <w:color w:val="auto"/>
        </w:rPr>
      </w:pPr>
    </w:p>
    <w:p>
      <w:pPr>
        <w:ind w:left="973" w:right="120" w:hanging="535"/>
        <w:spacing w:after="0" w:line="259" w:lineRule="auto"/>
        <w:rPr>
          <w:rFonts w:ascii="Arial" w:cs="Arial" w:eastAsia="Arial" w:hAnsi="Arial"/>
          <w:sz w:val="18"/>
          <w:szCs w:val="18"/>
          <w:color w:val="auto"/>
        </w:rPr>
      </w:pPr>
      <w:r>
        <w:rPr>
          <w:rFonts w:ascii="Arial" w:cs="Arial" w:eastAsia="Arial" w:hAnsi="Arial"/>
          <w:sz w:val="18"/>
          <w:szCs w:val="18"/>
          <w:color w:val="auto"/>
        </w:rPr>
        <w:t>3.2. Indemnitee’s obligation to repay to the Company for any Expenses or other sums paid hereunder shall be deemed as a loan given to Indemnitee by the Company subject to the minimum interest rate prescribed by Section 3(9) of the Income Tax Ordinance [New Version], 1961, or any other legislation replacing it, which is not considered a taxable benefit.</w:t>
      </w:r>
    </w:p>
    <w:p>
      <w:pPr>
        <w:spacing w:after="0" w:line="208" w:lineRule="exact"/>
        <w:rPr>
          <w:rFonts w:ascii="Arial" w:cs="Arial" w:eastAsia="Arial" w:hAnsi="Arial"/>
          <w:sz w:val="18"/>
          <w:szCs w:val="18"/>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spacing w:after="0" w:line="259" w:lineRule="auto"/>
        <w:rPr>
          <w:rFonts w:ascii="Arial" w:cs="Arial" w:eastAsia="Arial" w:hAnsi="Arial"/>
          <w:sz w:val="18"/>
          <w:szCs w:val="18"/>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who shall execute all documents required and shall do everything that may be necessary to secure such rights, including the execution of such documents necessary to enable the Company effectively to bring suit to enforce such rights.</w:t>
      </w:r>
    </w:p>
    <w:p>
      <w:pPr>
        <w:spacing w:after="0" w:line="208" w:lineRule="exact"/>
        <w:rPr>
          <w:rFonts w:ascii="Arial" w:cs="Arial" w:eastAsia="Arial" w:hAnsi="Arial"/>
          <w:sz w:val="18"/>
          <w:szCs w:val="18"/>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40"/>
        <w:spacing w:after="0" w:line="253" w:lineRule="auto"/>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in connection with any Indemnifiable Event to the extent Indemnitee has otherwise actually received payment under any insurance policy or otherwise (without any obligation of Indemnitee to repay any such amount) of the amounts otherwise indemnifiable hereunder. Any amounts paid to Indemnitee under such insurance policy or otherwise after the Company has indemnified Indemnitee for such liability or Expense shall be repaid to the Company promptly upon receipt by Indemnitee, in accordance with the terms set forth in Section 3.2.</w:t>
      </w:r>
    </w:p>
    <w:p>
      <w:pPr>
        <w:spacing w:after="0" w:line="215" w:lineRule="exact"/>
        <w:rPr>
          <w:rFonts w:ascii="Arial" w:cs="Arial" w:eastAsia="Arial" w:hAnsi="Arial"/>
          <w:sz w:val="18"/>
          <w:szCs w:val="18"/>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60"/>
        <w:spacing w:after="0" w:line="271" w:lineRule="auto"/>
        <w:rPr>
          <w:rFonts w:ascii="Arial" w:cs="Arial" w:eastAsia="Arial" w:hAnsi="Arial"/>
          <w:sz w:val="18"/>
          <w:szCs w:val="18"/>
          <w:color w:val="auto"/>
        </w:rPr>
      </w:pPr>
      <w:r>
        <w:rPr>
          <w:rFonts w:ascii="Arial" w:cs="Arial" w:eastAsia="Arial" w:hAnsi="Arial"/>
          <w:sz w:val="18"/>
          <w:szCs w:val="18"/>
          <w:color w:val="auto"/>
        </w:rPr>
        <w:t>The Company represents and warrants that this Agreement is valid, binding and enforceable in accordance with its terms and was duly adopted and approved by the Company, and shall be in full force and effect immediately upon its execution.</w:t>
      </w:r>
    </w:p>
    <w:p>
      <w:pPr>
        <w:spacing w:after="0" w:line="197" w:lineRule="exact"/>
        <w:rPr>
          <w:rFonts w:ascii="Arial" w:cs="Arial" w:eastAsia="Arial" w:hAnsi="Arial"/>
          <w:sz w:val="18"/>
          <w:szCs w:val="18"/>
          <w:color w:val="auto"/>
        </w:rPr>
      </w:pPr>
    </w:p>
    <w:p>
      <w:pPr>
        <w:ind w:left="433" w:hanging="433"/>
        <w:spacing w:after="0"/>
        <w:tabs>
          <w:tab w:leader="none" w:pos="433"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NOTIFICATION AND DEFENSE OF CLAIM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60"/>
        <w:spacing w:after="0" w:line="272" w:lineRule="auto"/>
        <w:rPr>
          <w:rFonts w:ascii="Arial" w:cs="Arial" w:eastAsia="Arial" w:hAnsi="Arial"/>
          <w:sz w:val="18"/>
          <w:szCs w:val="18"/>
          <w:color w:val="auto"/>
        </w:rPr>
      </w:pPr>
      <w:r>
        <w:rPr>
          <w:rFonts w:ascii="Arial" w:cs="Arial" w:eastAsia="Arial" w:hAnsi="Arial"/>
          <w:sz w:val="17"/>
          <w:szCs w:val="17"/>
          <w:color w:val="auto"/>
        </w:rPr>
        <w:t>Indemnitee shall notify the Company of the commencement of any action, suit or proceeding, and of the receipt of any notice or threat that any such legal proceeding has been or shall or may be initiated against Indemnitee (including any proceedings by or against the Company and any subsidiary thereof), promptly upon Indemnitee first becoming so aware; but the omission so to notify the Company will not relieve the Company from any liability which it may have to Indemnitee under this Agreement unless and to the extent that such failure to provide notice prejudices the Company’s ability to defend such action. Notice to the Company shall be directed</w:t>
      </w:r>
    </w:p>
    <w:p>
      <w:pPr>
        <w:spacing w:after="0" w:line="109" w:lineRule="exact"/>
        <w:rPr>
          <w:rFonts w:ascii="Arial" w:cs="Arial" w:eastAsia="Arial" w:hAnsi="Arial"/>
          <w:sz w:val="18"/>
          <w:szCs w:val="18"/>
          <w:color w:val="auto"/>
        </w:rPr>
      </w:pPr>
    </w:p>
    <w:p>
      <w:pPr>
        <w:ind w:left="5413" w:hanging="105"/>
        <w:spacing w:after="0"/>
        <w:tabs>
          <w:tab w:leader="none" w:pos="5413" w:val="left"/>
        </w:tabs>
        <w:numPr>
          <w:ilvl w:val="2"/>
          <w:numId w:val="27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3"/>
          </w:cols>
          <w:pgMar w:left="487" w:top="272" w:right="499" w:bottom="1440" w:gutter="0" w:footer="0" w:header="0"/>
        </w:sectPr>
      </w:pPr>
    </w:p>
    <w:bookmarkStart w:id="338" w:name="page339"/>
    <w:bookmarkEnd w:id="338"/>
    <w:p>
      <w:pPr>
        <w:ind w:left="433" w:right="18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the Chief Executive Officer or Chief Financial Officer of the Company at the address shown in the preamble to this Agreement (or such other address as the Company shall designate in writing to Indemnitee). With respect to any such action, suit or proceeding as to which Indemnitee notifies the Company of the commencement thereof and without derogating from Sections 1.1 and 2:</w:t>
      </w:r>
    </w:p>
    <w:p>
      <w:pPr>
        <w:spacing w:after="0" w:line="76"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Company will be entitled to participate therein at its own expense.</w:t>
      </w:r>
    </w:p>
    <w:p>
      <w:pPr>
        <w:spacing w:after="0" w:line="127" w:lineRule="exact"/>
        <w:rPr>
          <w:sz w:val="20"/>
          <w:szCs w:val="20"/>
          <w:color w:val="auto"/>
        </w:rPr>
      </w:pPr>
    </w:p>
    <w:p>
      <w:pPr>
        <w:ind w:left="973" w:right="40" w:hanging="534"/>
        <w:spacing w:after="0" w:line="286" w:lineRule="auto"/>
        <w:tabs>
          <w:tab w:leader="none" w:pos="9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Except as otherwise provided below, the Company, alone or jointly with any other indemnifying party similarly notified, will be entitled to assume the defense thereof, with counsel selected by the Company. Indemnitee shall have the right to employ his or her own counsel in such action, suit or proceeding, but the fees and expenses of such counsel incurred after notice from the Company of its assumption of the defense thereof shall be at the expense of Indemnitee, unless: (i) the employment of counsel by Indemnitee has been authorized in writing by the Company; (ii) the Company, in good faith, reasonably concluded that there may be a conflict of interest between the Company and Indemnitee in the conduct of the defense of such action; or (iii) the Company has not in fact employed counsel to assume the defense of such action within reasonable time, in which cases the reasonable fees and expenses of Indemnitee’s counsel shall be at the expense of the Company. The Company shall not be entitled to assume the defense of any action, suit or proceeding brought by or on behalf of the Company or as to which Indemnitee and the Company shall have reached the conclusion specified in (ii) above.</w:t>
      </w:r>
    </w:p>
    <w:p>
      <w:pPr>
        <w:spacing w:after="0" w:line="73" w:lineRule="exact"/>
        <w:rPr>
          <w:sz w:val="20"/>
          <w:szCs w:val="20"/>
          <w:color w:val="auto"/>
        </w:rPr>
      </w:pPr>
    </w:p>
    <w:p>
      <w:pPr>
        <w:ind w:left="973" w:right="280" w:hanging="534"/>
        <w:spacing w:after="0" w:line="271" w:lineRule="auto"/>
        <w:tabs>
          <w:tab w:leader="none" w:pos="9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Company shall not be liable to indemnify Indemnitee under this Agreement for any amounts or expenses paid in connection with a settlement of any action, claim or otherwise, effected without the Company’s prior written consent.</w:t>
      </w:r>
    </w:p>
    <w:p>
      <w:pPr>
        <w:spacing w:after="0" w:line="81" w:lineRule="exact"/>
        <w:rPr>
          <w:sz w:val="20"/>
          <w:szCs w:val="20"/>
          <w:color w:val="auto"/>
        </w:rPr>
      </w:pPr>
    </w:p>
    <w:p>
      <w:pPr>
        <w:ind w:left="973" w:hanging="534"/>
        <w:spacing w:after="0" w:line="285" w:lineRule="auto"/>
        <w:tabs>
          <w:tab w:leader="none" w:pos="9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The Company shall have the right to conduct the defense as it sees fit in its sole discretion (provided that the Company shall conduct the defense in good faith and in a diligent manner), including the right to settle or compromise any claim or to consent to the entry of any judgment against Indemnitee without the consent of the Indemnitee, provided that, the amount of such settlement, compromise or judgment does not exceed the Limit Amount (if applicable) and is fully indemnifiable pursuant to this Agreement (subject to Section 1.2 of this Agreement) and/or applicable law, and any such settlement, compromise or judgment does not impose any penalty or limitation on Indemnitee without the Indemnitee’s prior written consent. The Indemnitee’s consent shall not be required if the settlement includes a complete release of Indemnitee, does not contain any admission of wrong-doing by Indemnitee, and includes monetary sanctions only as provided above. In the case of criminal proceedings the Company and/or its legal counsel will not have the right to plead guilty or agree to a plea-bargain in the Indemnitee’s name without the Indemnitee’s prior written consent. Neither the Company nor Indemnitee will unreasonably withhold or delay their consent to any proposed settlement.</w:t>
      </w:r>
    </w:p>
    <w:p>
      <w:pPr>
        <w:spacing w:after="0" w:line="75" w:lineRule="exact"/>
        <w:rPr>
          <w:sz w:val="20"/>
          <w:szCs w:val="20"/>
          <w:color w:val="auto"/>
        </w:rPr>
      </w:pPr>
    </w:p>
    <w:p>
      <w:pPr>
        <w:ind w:left="973" w:hanging="534"/>
        <w:spacing w:after="0" w:line="272" w:lineRule="auto"/>
        <w:tabs>
          <w:tab w:leader="none" w:pos="9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Indemnitee shall fully cooperate with the Company and shall give the Company all information and access to documents, files and to his or her advisors and representatives as shall be within Indemnitee’s power, in every reasonable way as may be required by the Company with respect to any claim which is the subject matter of this Agreement and in the defense of other claims asserted against the Company (other than claims asserted by Indemnitee), provided that the Company shall cover all expenses, costs and fees incidental thereto such that the Indemnitee will not be required to pay or bear such expenses, costs and fees.</w:t>
      </w:r>
    </w:p>
    <w:p>
      <w:pPr>
        <w:spacing w:after="0" w:line="199" w:lineRule="exact"/>
        <w:rPr>
          <w:sz w:val="20"/>
          <w:szCs w:val="20"/>
          <w:color w:val="auto"/>
        </w:rPr>
      </w:pPr>
    </w:p>
    <w:p>
      <w:pPr>
        <w:ind w:left="433" w:hanging="433"/>
        <w:spacing w:after="0"/>
        <w:tabs>
          <w:tab w:leader="none" w:pos="433"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EXCULPATION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80"/>
        <w:spacing w:after="0" w:line="255" w:lineRule="auto"/>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hereby releases, in advance, the Office Holder from liability to the Company for any damage that arises from the breach of the Office Holder’s duty of care to the Company (within the meaning of such terms under Sections 252 and 253 of the Companies Law), other than breach of the duty of care towards the Company in a distribution (as such term is defined in the Companies Law).</w:t>
      </w:r>
    </w:p>
    <w:p>
      <w:pPr>
        <w:spacing w:after="0" w:line="123" w:lineRule="exact"/>
        <w:rPr>
          <w:rFonts w:ascii="Arial" w:cs="Arial" w:eastAsia="Arial" w:hAnsi="Arial"/>
          <w:sz w:val="18"/>
          <w:szCs w:val="18"/>
          <w:color w:val="auto"/>
        </w:rPr>
      </w:pPr>
    </w:p>
    <w:p>
      <w:pPr>
        <w:ind w:left="5413" w:hanging="105"/>
        <w:spacing w:after="0"/>
        <w:tabs>
          <w:tab w:leader="none" w:pos="541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893"/>
          </w:cols>
          <w:pgMar w:left="487" w:top="272" w:right="519" w:bottom="1440" w:gutter="0" w:footer="0" w:header="0"/>
        </w:sectPr>
      </w:pPr>
    </w:p>
    <w:bookmarkStart w:id="339" w:name="page340"/>
    <w:bookmarkEnd w:id="339"/>
    <w:p>
      <w:pPr>
        <w:ind w:left="433" w:hanging="433"/>
        <w:spacing w:after="0"/>
        <w:tabs>
          <w:tab w:leader="none" w:pos="433"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NON-EXCLUSIVITY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spacing w:after="0" w:line="297" w:lineRule="auto"/>
        <w:rPr>
          <w:rFonts w:ascii="Arial" w:cs="Arial" w:eastAsia="Arial" w:hAnsi="Arial"/>
          <w:sz w:val="18"/>
          <w:szCs w:val="18"/>
          <w:color w:val="auto"/>
        </w:rPr>
      </w:pPr>
      <w:r>
        <w:rPr>
          <w:rFonts w:ascii="Arial" w:cs="Arial" w:eastAsia="Arial" w:hAnsi="Arial"/>
          <w:sz w:val="16"/>
          <w:szCs w:val="16"/>
          <w:color w:val="auto"/>
        </w:rPr>
        <w:t>The rights of the Indemnitee hereunder shall not be deemed exclusive of any other rights Indemnitee may have under the Articles of Association, applicable law or otherwise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to the extent that during the Indemnification Period the indemnification rights of the then serving directors and officers are more favorable to such directors or officers than the indemnification rights provided under this Agreement to Indemnitee, Indemnitee shall be entitled to the full benefits of such more favorable indemnification rights to the extent permitted by law.</w:t>
      </w:r>
    </w:p>
    <w:p>
      <w:pPr>
        <w:spacing w:after="0" w:line="181" w:lineRule="exact"/>
        <w:rPr>
          <w:rFonts w:ascii="Arial" w:cs="Arial" w:eastAsia="Arial" w:hAnsi="Arial"/>
          <w:sz w:val="18"/>
          <w:szCs w:val="18"/>
          <w:color w:val="auto"/>
        </w:rPr>
      </w:pPr>
    </w:p>
    <w:p>
      <w:pPr>
        <w:ind w:left="433" w:hanging="433"/>
        <w:spacing w:after="0"/>
        <w:tabs>
          <w:tab w:leader="none" w:pos="433"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PARTIAL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40"/>
        <w:spacing w:after="0" w:line="290" w:lineRule="auto"/>
        <w:rPr>
          <w:rFonts w:ascii="Arial" w:cs="Arial" w:eastAsia="Arial" w:hAnsi="Arial"/>
          <w:sz w:val="18"/>
          <w:szCs w:val="18"/>
          <w:color w:val="auto"/>
        </w:rPr>
      </w:pPr>
      <w:r>
        <w:rPr>
          <w:rFonts w:ascii="Arial" w:cs="Arial" w:eastAsia="Arial" w:hAnsi="Arial"/>
          <w:sz w:val="16"/>
          <w:szCs w:val="16"/>
          <w:color w:val="auto"/>
        </w:rPr>
        <w:t>If Indemnitee is entitled under any provision of this Agreement to indemnification by the Company for some or a portion of the expenses, judgments, fines or penalties actually or reasonably incurred by Indemnitee in connection with any proceedings, but not, however, for the total amount thereof, the Company shall nevertheless indemnify Indemnitee for the portion of such expenses, judgments, fines or penalties to which Indemnitee is entitled under any provision of this Agreement. Subject to the provisions of Section 5 above, any amount received by Indemnitee (under any insurance policy or otherwise) shall not reduce the Limit Amount hereunder and shall not derogate from the Company’s obligation to indemnify the Indemnitee in accordance with the provisions of this Agreement up to the Limit Amount, as set forth in Section 1.2.</w:t>
      </w:r>
    </w:p>
    <w:p>
      <w:pPr>
        <w:spacing w:after="0" w:line="186" w:lineRule="exact"/>
        <w:rPr>
          <w:rFonts w:ascii="Arial" w:cs="Arial" w:eastAsia="Arial" w:hAnsi="Arial"/>
          <w:sz w:val="18"/>
          <w:szCs w:val="18"/>
          <w:color w:val="auto"/>
        </w:rPr>
      </w:pPr>
    </w:p>
    <w:p>
      <w:pPr>
        <w:ind w:left="433" w:hanging="433"/>
        <w:spacing w:after="0"/>
        <w:tabs>
          <w:tab w:leader="none" w:pos="433"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288" w:lineRule="auto"/>
        <w:rPr>
          <w:rFonts w:ascii="Arial" w:cs="Arial" w:eastAsia="Arial" w:hAnsi="Arial"/>
          <w:sz w:val="18"/>
          <w:szCs w:val="18"/>
          <w:color w:val="auto"/>
        </w:rPr>
      </w:pPr>
      <w:r>
        <w:rPr>
          <w:rFonts w:ascii="Arial" w:cs="Arial" w:eastAsia="Arial" w:hAnsi="Arial"/>
          <w:sz w:val="16"/>
          <w:szCs w:val="16"/>
          <w:color w:val="auto"/>
        </w:rPr>
        <w:t>This Agreement shall be binding upon and inure to the benefit of and be enforceable by the parties hereto and their respective successors and permitted assigns. In the event of a merger or consolidation of the Company or a transfer or disposition of all or substantially all of the business or assets of the Company, the Indemnitee shall be entitled to the same indemnification and insurance provisions as the most favorable indemnification and insurance provisions afforded to the then-serving Office Holders of the Company. In the event that in connection with such transaction the Company purchases a directors and officers’ “tail” or “run-off” policy for the benefit of its then serving Office Holders, then such policy shall cover Indemnitee and such coverage shall be deemed to be in satisfaction of the insurance requirements under this Agreement. This Agreement shall continue in effect during the Indemnification Period regardless of whether Indemnitee continues to serve in a Corporate Capacity.</w:t>
      </w:r>
    </w:p>
    <w:p>
      <w:pPr>
        <w:spacing w:after="0" w:line="59" w:lineRule="exact"/>
        <w:rPr>
          <w:rFonts w:ascii="Arial" w:cs="Arial" w:eastAsia="Arial" w:hAnsi="Arial"/>
          <w:sz w:val="18"/>
          <w:szCs w:val="18"/>
          <w:color w:val="auto"/>
        </w:rPr>
      </w:pPr>
    </w:p>
    <w:p>
      <w:pPr>
        <w:ind w:left="433" w:right="20"/>
        <w:spacing w:after="0" w:line="255" w:lineRule="auto"/>
        <w:rPr>
          <w:rFonts w:ascii="Arial" w:cs="Arial" w:eastAsia="Arial" w:hAnsi="Arial"/>
          <w:sz w:val="18"/>
          <w:szCs w:val="18"/>
          <w:color w:val="auto"/>
        </w:rPr>
      </w:pPr>
      <w:r>
        <w:rPr>
          <w:rFonts w:ascii="Arial" w:cs="Arial" w:eastAsia="Arial" w:hAnsi="Arial"/>
          <w:sz w:val="18"/>
          <w:szCs w:val="18"/>
          <w:color w:val="auto"/>
        </w:rPr>
        <w:t>Any amendment to the Companies Law, the Israeli Securities Law, the Economic Competition Law or other applicable law adversely affecting the right of the Indemnitee to be indemnified, insured or released pursuant hereto shall be prospective in effect, and shall not affect the Company’s obligation or ability to indemnify or insure the Indemnitee for any act or omission occurring prior to such amendment, unless otherwise provided by applicable law.</w:t>
      </w:r>
    </w:p>
    <w:p>
      <w:pPr>
        <w:spacing w:after="0" w:line="212" w:lineRule="exact"/>
        <w:rPr>
          <w:rFonts w:ascii="Arial" w:cs="Arial" w:eastAsia="Arial" w:hAnsi="Arial"/>
          <w:sz w:val="18"/>
          <w:szCs w:val="18"/>
          <w:color w:val="auto"/>
        </w:rPr>
      </w:pPr>
    </w:p>
    <w:p>
      <w:pPr>
        <w:ind w:left="433" w:hanging="433"/>
        <w:spacing w:after="0"/>
        <w:tabs>
          <w:tab w:leader="none" w:pos="433"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spacing w:after="0" w:line="270" w:lineRule="auto"/>
        <w:rPr>
          <w:rFonts w:ascii="Arial" w:cs="Arial" w:eastAsia="Arial" w:hAnsi="Arial"/>
          <w:sz w:val="18"/>
          <w:szCs w:val="18"/>
          <w:color w:val="auto"/>
        </w:rPr>
      </w:pPr>
      <w:r>
        <w:rPr>
          <w:rFonts w:ascii="Arial" w:cs="Arial" w:eastAsia="Arial" w:hAnsi="Arial"/>
          <w:sz w:val="17"/>
          <w:szCs w:val="17"/>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or circumstances shall not be affected by such invalidity or unenforceability, nor shall such invalidity or unenforceability affect the validity or enforceability of such provision, or the application thereof, in any other jurisdiction.</w:t>
      </w:r>
    </w:p>
    <w:p>
      <w:pPr>
        <w:spacing w:after="0" w:line="111" w:lineRule="exact"/>
        <w:rPr>
          <w:rFonts w:ascii="Arial" w:cs="Arial" w:eastAsia="Arial" w:hAnsi="Arial"/>
          <w:sz w:val="18"/>
          <w:szCs w:val="18"/>
          <w:color w:val="auto"/>
        </w:rPr>
      </w:pPr>
    </w:p>
    <w:p>
      <w:pPr>
        <w:ind w:left="5413" w:hanging="105"/>
        <w:spacing w:after="0"/>
        <w:tabs>
          <w:tab w:leader="none" w:pos="541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893"/>
          </w:cols>
          <w:pgMar w:left="487" w:top="268" w:right="519" w:bottom="1440" w:gutter="0" w:footer="0" w:header="0"/>
        </w:sectPr>
      </w:pPr>
    </w:p>
    <w:bookmarkStart w:id="340" w:name="page341"/>
    <w:bookmarkEnd w:id="340"/>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268" w:lineRule="auto"/>
        <w:rPr>
          <w:rFonts w:ascii="Arial" w:cs="Arial" w:eastAsia="Arial" w:hAnsi="Arial"/>
          <w:sz w:val="18"/>
          <w:szCs w:val="18"/>
          <w:color w:val="auto"/>
        </w:rPr>
      </w:pPr>
      <w:r>
        <w:rPr>
          <w:rFonts w:ascii="Arial" w:cs="Arial" w:eastAsia="Arial" w:hAnsi="Arial"/>
          <w:sz w:val="17"/>
          <w:szCs w:val="17"/>
          <w:color w:val="auto"/>
        </w:rPr>
        <w:t>All notices and other communications pursuant to this Agreement shall be in writing and shall be deemed provided if delivered personally, telecopied, sent by electronic facsimile, email, reputable overnight courier or mailed by registered or certified mail (return receipt requested), postage prepaid, to the parties at the addresses shown in the preamble to this Agreement, or to such other address as the party to whom notice is to be given may have furnished to the other party hereto in writing in accordance herewith. Any such notice or communication shall be deemed to have been delivered and received (i) in the case of personal delivery, on the date of such delivery, (ii) in the case of telecopier or an electronic facsimile or email, one business day after the date of transmission if confirmation of receipt is received, (iii) in the case of a reputable overnight courier, three business days after deposit with such reputable overnight courier service, and (iv) in the case of mailing, on the seventh business day following that on which the mail containing such communication is posted.</w:t>
      </w:r>
    </w:p>
    <w:p>
      <w:pPr>
        <w:spacing w:after="0" w:line="202" w:lineRule="exact"/>
        <w:rPr>
          <w:rFonts w:ascii="Arial" w:cs="Arial" w:eastAsia="Arial" w:hAnsi="Arial"/>
          <w:sz w:val="18"/>
          <w:szCs w:val="18"/>
          <w:color w:val="auto"/>
        </w:rPr>
      </w:pPr>
    </w:p>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307" w:lineRule="auto"/>
        <w:rPr>
          <w:rFonts w:ascii="Arial" w:cs="Arial" w:eastAsia="Arial" w:hAnsi="Arial"/>
          <w:sz w:val="18"/>
          <w:szCs w:val="18"/>
          <w:color w:val="auto"/>
        </w:rPr>
      </w:pPr>
      <w:r>
        <w:rPr>
          <w:rFonts w:ascii="Arial" w:cs="Arial" w:eastAsia="Arial" w:hAnsi="Arial"/>
          <w:sz w:val="16"/>
          <w:szCs w:val="16"/>
          <w:color w:val="auto"/>
        </w:rPr>
        <w:t>This Agreement shall be governed by and construed and enforced in accordance with the laws of the State of Israel, without giving effect to the conflicts of law provisions of those laws. The Company and Indemnitee each hereby irrevocably consent to the exclusive jurisdiction and venue of the courts of Tel Aviv, Israel for all purposes in connection with any action or proceeding which arises out of or relates to this Agreement.</w:t>
      </w:r>
    </w:p>
    <w:p>
      <w:pPr>
        <w:spacing w:after="0" w:line="172" w:lineRule="exact"/>
        <w:rPr>
          <w:rFonts w:ascii="Arial" w:cs="Arial" w:eastAsia="Arial" w:hAnsi="Arial"/>
          <w:sz w:val="18"/>
          <w:szCs w:val="18"/>
          <w:color w:val="auto"/>
        </w:rPr>
      </w:pPr>
    </w:p>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40"/>
        <w:spacing w:after="0" w:line="271" w:lineRule="auto"/>
        <w:rPr>
          <w:rFonts w:ascii="Arial" w:cs="Arial" w:eastAsia="Arial" w:hAnsi="Arial"/>
          <w:sz w:val="18"/>
          <w:szCs w:val="18"/>
          <w:color w:val="auto"/>
        </w:rPr>
      </w:pPr>
      <w:r>
        <w:rPr>
          <w:rFonts w:ascii="Arial" w:cs="Arial" w:eastAsia="Arial" w:hAnsi="Arial"/>
          <w:sz w:val="18"/>
          <w:szCs w:val="18"/>
          <w:color w:val="auto"/>
        </w:rPr>
        <w:t>This Agreement represents the entire agreement between the parties and supersedes any other agreements, contracts or understandings between the parties, whether written or oral, with respect to the subject matter of this Agreement.</w:t>
      </w:r>
    </w:p>
    <w:p>
      <w:pPr>
        <w:spacing w:after="0" w:line="197" w:lineRule="exact"/>
        <w:rPr>
          <w:rFonts w:ascii="Arial" w:cs="Arial" w:eastAsia="Arial" w:hAnsi="Arial"/>
          <w:sz w:val="18"/>
          <w:szCs w:val="18"/>
          <w:color w:val="auto"/>
        </w:rPr>
      </w:pPr>
    </w:p>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NO MODIFICATION AND NO WAIVER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00"/>
        <w:spacing w:after="0" w:line="297" w:lineRule="auto"/>
        <w:rPr>
          <w:rFonts w:ascii="Arial" w:cs="Arial" w:eastAsia="Arial" w:hAnsi="Arial"/>
          <w:sz w:val="18"/>
          <w:szCs w:val="18"/>
          <w:color w:val="auto"/>
        </w:rPr>
      </w:pPr>
      <w:r>
        <w:rPr>
          <w:rFonts w:ascii="Arial" w:cs="Arial" w:eastAsia="Arial" w:hAnsi="Arial"/>
          <w:sz w:val="16"/>
          <w:szCs w:val="16"/>
          <w:color w:val="auto"/>
        </w:rPr>
        <w:t>No supplement, modification or amendment, termination or cancellation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Any waiver shall be in writing. The Company hereby undertakes not to amend its Articles of Association in a manner which will adversely affect the provisions of this Agreement.</w:t>
      </w:r>
    </w:p>
    <w:p>
      <w:pPr>
        <w:spacing w:after="0" w:line="302" w:lineRule="exact"/>
        <w:rPr>
          <w:rFonts w:ascii="Arial" w:cs="Arial" w:eastAsia="Arial" w:hAnsi="Arial"/>
          <w:sz w:val="18"/>
          <w:szCs w:val="18"/>
          <w:color w:val="auto"/>
        </w:rPr>
      </w:pPr>
    </w:p>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ASSIGNMENTS; NO THIRD PARTY RIGHTS</w:t>
      </w:r>
    </w:p>
    <w:p>
      <w:pPr>
        <w:spacing w:after="0" w:line="117" w:lineRule="exact"/>
        <w:rPr>
          <w:rFonts w:ascii="Arial" w:cs="Arial" w:eastAsia="Arial" w:hAnsi="Arial"/>
          <w:sz w:val="18"/>
          <w:szCs w:val="18"/>
          <w:color w:val="auto"/>
        </w:rPr>
      </w:pPr>
    </w:p>
    <w:p>
      <w:pPr>
        <w:ind w:left="433" w:right="60"/>
        <w:spacing w:after="0" w:line="255" w:lineRule="auto"/>
        <w:rPr>
          <w:rFonts w:ascii="Arial" w:cs="Arial" w:eastAsia="Arial" w:hAnsi="Arial"/>
          <w:sz w:val="18"/>
          <w:szCs w:val="18"/>
          <w:color w:val="auto"/>
        </w:rPr>
      </w:pPr>
      <w:r>
        <w:rPr>
          <w:rFonts w:ascii="Arial" w:cs="Arial" w:eastAsia="Arial" w:hAnsi="Arial"/>
          <w:sz w:val="18"/>
          <w:szCs w:val="18"/>
          <w:color w:val="auto"/>
        </w:rPr>
        <w:t>Neither party hereto may assign any of its rights or obligations hereunder except with the express prior written consent of the other party. Nothing herein shall be deemed to create or imply an obligation for the benefit of a third party. Without limitation of the foregoing, nothing herein shall be deemed to create any right of any insurer that provides directors and officers’ liability insurance, to claim, on behalf of Indemnitee, any rights hereunder.</w:t>
      </w:r>
    </w:p>
    <w:p>
      <w:pPr>
        <w:spacing w:after="0" w:line="212" w:lineRule="exact"/>
        <w:rPr>
          <w:rFonts w:ascii="Arial" w:cs="Arial" w:eastAsia="Arial" w:hAnsi="Arial"/>
          <w:sz w:val="18"/>
          <w:szCs w:val="18"/>
          <w:color w:val="auto"/>
        </w:rPr>
      </w:pPr>
    </w:p>
    <w:p>
      <w:pPr>
        <w:ind w:left="433" w:hanging="433"/>
        <w:spacing w:after="0"/>
        <w:tabs>
          <w:tab w:leader="none" w:pos="433"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INTERPRETATION;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286" w:lineRule="auto"/>
        <w:rPr>
          <w:rFonts w:ascii="Arial" w:cs="Arial" w:eastAsia="Arial" w:hAnsi="Arial"/>
          <w:sz w:val="18"/>
          <w:szCs w:val="18"/>
          <w:color w:val="auto"/>
        </w:rPr>
      </w:pPr>
      <w:r>
        <w:rPr>
          <w:rFonts w:ascii="Arial" w:cs="Arial" w:eastAsia="Arial" w:hAnsi="Arial"/>
          <w:sz w:val="16"/>
          <w:szCs w:val="16"/>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this Agreement in its entirety and not to any part hereof; all references herein to Sections or clauses shall be deemed references to Sections or clauses of this Agreement;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any reference to a “day” or a number of “days” (without any explicit reference otherwise, such as to business days) shall be interpreted as a reference to a calendar day or number of calendar days; reference to month or year means according to the</w:t>
      </w:r>
    </w:p>
    <w:p>
      <w:pPr>
        <w:spacing w:after="0" w:line="99" w:lineRule="exact"/>
        <w:rPr>
          <w:rFonts w:ascii="Arial" w:cs="Arial" w:eastAsia="Arial" w:hAnsi="Arial"/>
          <w:sz w:val="18"/>
          <w:szCs w:val="18"/>
          <w:color w:val="auto"/>
        </w:rPr>
      </w:pPr>
    </w:p>
    <w:p>
      <w:pPr>
        <w:ind w:left="5413" w:hanging="105"/>
        <w:spacing w:after="0"/>
        <w:tabs>
          <w:tab w:leader="none" w:pos="541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893"/>
          </w:cols>
          <w:pgMar w:left="487" w:top="268" w:right="519" w:bottom="1440" w:gutter="0" w:footer="0" w:header="0"/>
        </w:sectPr>
      </w:pPr>
    </w:p>
    <w:bookmarkStart w:id="341" w:name="page342"/>
    <w:bookmarkEnd w:id="341"/>
    <w:p>
      <w:pPr>
        <w:ind w:left="433" w:right="42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Gregorian calendar; reference to a “company”, “corporate body” or “entity” shall include a, partnership, firm, company, corporation, limited liability company, association, joint venture, trust, unincorporated organization, estate, or a government municipality or any political, governmental, regulatory or similar agency or body, and reference to a “person” shall mean any of the foregoing or a natural person.</w:t>
      </w:r>
    </w:p>
    <w:p>
      <w:pPr>
        <w:spacing w:after="0" w:line="293" w:lineRule="exact"/>
        <w:rPr>
          <w:sz w:val="20"/>
          <w:szCs w:val="20"/>
          <w:color w:val="auto"/>
        </w:rPr>
      </w:pPr>
    </w:p>
    <w:p>
      <w:pPr>
        <w:ind w:left="433" w:hanging="433"/>
        <w:spacing w:after="0"/>
        <w:tabs>
          <w:tab w:leader="none" w:pos="433"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17" w:lineRule="exact"/>
        <w:rPr>
          <w:rFonts w:ascii="Arial" w:cs="Arial" w:eastAsia="Arial" w:hAnsi="Arial"/>
          <w:sz w:val="18"/>
          <w:szCs w:val="18"/>
          <w:color w:val="auto"/>
        </w:rPr>
      </w:pPr>
    </w:p>
    <w:p>
      <w:pPr>
        <w:ind w:left="433"/>
        <w:spacing w:after="0" w:line="275" w:lineRule="auto"/>
        <w:rPr>
          <w:rFonts w:ascii="Arial" w:cs="Arial" w:eastAsia="Arial" w:hAnsi="Arial"/>
          <w:sz w:val="18"/>
          <w:szCs w:val="18"/>
          <w:color w:val="auto"/>
        </w:rPr>
      </w:pPr>
      <w:r>
        <w:rPr>
          <w:rFonts w:ascii="Arial" w:cs="Arial" w:eastAsia="Arial" w:hAnsi="Arial"/>
          <w:sz w:val="17"/>
          <w:szCs w:val="17"/>
          <w:color w:val="auto"/>
        </w:rPr>
        <w:t>This Agreement may be executed in any number of counterparts, each of which shall be deemed an original and enforceable against the parties actually executing such counterpart, and all of which together shall constitute one and the same instrument; it being understood that parties need not sign the same counterpart. The exchange of an executed Agreement (in counterparts or otherwise) by facsimile or by electronic delivery in pdf format shall be sufficient to bind the parties to the terms and conditions of this Agreement, as an original.</w:t>
      </w:r>
    </w:p>
    <w:p>
      <w:pPr>
        <w:spacing w:after="0" w:line="174" w:lineRule="exact"/>
        <w:rPr>
          <w:sz w:val="20"/>
          <w:szCs w:val="20"/>
          <w:color w:val="auto"/>
        </w:rPr>
      </w:pPr>
    </w:p>
    <w:p>
      <w:pPr>
        <w:jc w:val="center"/>
        <w:ind w:right="-32"/>
        <w:spacing w:after="0"/>
        <w:rPr>
          <w:sz w:val="20"/>
          <w:szCs w:val="20"/>
          <w:color w:val="auto"/>
        </w:rPr>
      </w:pPr>
      <w:r>
        <w:rPr>
          <w:rFonts w:ascii="Arial" w:cs="Arial" w:eastAsia="Arial" w:hAnsi="Arial"/>
          <w:sz w:val="18"/>
          <w:szCs w:val="18"/>
          <w:i w:val="1"/>
          <w:iCs w:val="1"/>
          <w:color w:val="auto"/>
        </w:rPr>
        <w:t>[SIGNATURE PAGE TO FOLLOW]</w:t>
      </w:r>
    </w:p>
    <w:p>
      <w:pPr>
        <w:spacing w:after="0" w:line="15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873"/>
          </w:cols>
          <w:pgMar w:left="487" w:top="272" w:right="539" w:bottom="1440" w:gutter="0" w:footer="0" w:header="0"/>
        </w:sectPr>
      </w:pPr>
    </w:p>
    <w:bookmarkStart w:id="342" w:name="page343"/>
    <w:bookmarkEnd w:id="342"/>
    <w:p>
      <w:pPr>
        <w:ind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each acting under due and proper authority, have executed this Indemnification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mentioned above, in one or more counterparts.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13335</wp:posOffset>
            </wp:positionV>
            <wp:extent cx="17919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13335</wp:posOffset>
            </wp:positionV>
            <wp:extent cx="17919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13335</wp:posOffset>
            </wp:positionV>
            <wp:extent cx="17919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13335</wp:posOffset>
            </wp:positionV>
            <wp:extent cx="17919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13335</wp:posOffset>
            </wp:positionV>
            <wp:extent cx="17919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60"/>
          </w:cols>
          <w:pgMar w:left="480" w:top="268" w:right="559" w:bottom="1440" w:gutter="0" w:footer="0" w:header="0"/>
        </w:sectPr>
      </w:pPr>
    </w:p>
    <w:bookmarkStart w:id="343" w:name="page344"/>
    <w:bookmarkEnd w:id="343"/>
    <w:p>
      <w:pPr>
        <w:jc w:val="center"/>
        <w:ind w:right="-1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CATEGORY OF INDEMNIFIABLE EVENT</w:t>
      </w:r>
    </w:p>
    <w:p>
      <w:pPr>
        <w:spacing w:after="0" w:line="131" w:lineRule="exact"/>
        <w:rPr>
          <w:sz w:val="20"/>
          <w:szCs w:val="20"/>
          <w:color w:val="auto"/>
        </w:rPr>
      </w:pPr>
    </w:p>
    <w:p>
      <w:pPr>
        <w:ind w:left="433" w:right="280" w:hanging="433"/>
        <w:spacing w:after="0" w:line="271" w:lineRule="auto"/>
        <w:tabs>
          <w:tab w:leader="none" w:pos="43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employment relationships with employees or consultants or any employee union or similar or comparable organization.</w:t>
      </w:r>
    </w:p>
    <w:p>
      <w:pPr>
        <w:spacing w:after="0" w:line="80" w:lineRule="exact"/>
        <w:rPr>
          <w:rFonts w:ascii="Arial" w:cs="Arial" w:eastAsia="Arial" w:hAnsi="Arial"/>
          <w:sz w:val="18"/>
          <w:szCs w:val="18"/>
          <w:color w:val="auto"/>
        </w:rPr>
      </w:pPr>
    </w:p>
    <w:p>
      <w:pPr>
        <w:ind w:left="433" w:right="380" w:hanging="433"/>
        <w:spacing w:after="0" w:line="259" w:lineRule="auto"/>
        <w:tabs>
          <w:tab w:leader="none" w:pos="43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business relations of any kind between the Company and its employees, independent contractors, customers, suppliers, partners, distributors, agents, resellers, representatives, licensors, licensees, service providers and other business associates.</w:t>
      </w:r>
    </w:p>
    <w:p>
      <w:pPr>
        <w:spacing w:after="0" w:line="92" w:lineRule="exact"/>
        <w:rPr>
          <w:rFonts w:ascii="Arial" w:cs="Arial" w:eastAsia="Arial" w:hAnsi="Arial"/>
          <w:sz w:val="18"/>
          <w:szCs w:val="18"/>
          <w:color w:val="auto"/>
        </w:rPr>
      </w:pPr>
    </w:p>
    <w:p>
      <w:pPr>
        <w:ind w:left="433" w:right="300" w:hanging="433"/>
        <w:spacing w:after="0" w:line="255" w:lineRule="auto"/>
        <w:tabs>
          <w:tab w:leader="none" w:pos="43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Negotiations, execution, delivery and performance of agreements of any kind or nature and any decisions or deliberations relating to actions or omissions relating to the foregoing; any acts, omissions or circumstances that do or may constitute or are alleged to constitute anti-competitive acts, acts of commercial wrongdoing, or failure to meet any standard of conduct which is or may be applicable to such acts, omissions or circumstances.</w:t>
      </w:r>
    </w:p>
    <w:p>
      <w:pPr>
        <w:spacing w:after="0" w:line="96" w:lineRule="exact"/>
        <w:rPr>
          <w:rFonts w:ascii="Arial" w:cs="Arial" w:eastAsia="Arial" w:hAnsi="Arial"/>
          <w:sz w:val="18"/>
          <w:szCs w:val="18"/>
          <w:color w:val="auto"/>
        </w:rPr>
      </w:pPr>
    </w:p>
    <w:p>
      <w:pPr>
        <w:ind w:left="433" w:right="120" w:hanging="433"/>
        <w:spacing w:after="0" w:line="270" w:lineRule="auto"/>
        <w:tabs>
          <w:tab w:leader="none" w:pos="43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Approval of and recommendation or information provided to shareholders with respect to any and all corporate actions, including the approval of the acts of the Company’s management, their guidance and their supervision, matters relating to the approval of transactions with Office Holders (including, without limitation, all compensation related matters) or shareholders, including controlling persons and claims and allegations of failure to exercise business judgment, reasonable level of proficiency, expertise, care or any other applicable standard, with respect to the foregoing or otherwise with respect to the Company’s business, strategy, operations and prospective outlook, and any discussions, deliberations, reviews or other preparatory or preliminary phases relating to any of the foregoing.</w:t>
      </w:r>
    </w:p>
    <w:p>
      <w:pPr>
        <w:spacing w:after="0" w:line="84" w:lineRule="exact"/>
        <w:rPr>
          <w:rFonts w:ascii="Arial" w:cs="Arial" w:eastAsia="Arial" w:hAnsi="Arial"/>
          <w:sz w:val="17"/>
          <w:szCs w:val="17"/>
          <w:color w:val="auto"/>
        </w:rPr>
      </w:pPr>
    </w:p>
    <w:p>
      <w:pPr>
        <w:ind w:left="433" w:hanging="433"/>
        <w:spacing w:after="0" w:line="270" w:lineRule="auto"/>
        <w:tabs>
          <w:tab w:leader="none" w:pos="43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Violation, infringement, misappropriation, dilution and other misuse of copyrights, patents, designs, trade secrets, confidential information, proprietary information and any intellectual property rights, acts in connection with the registration, assertion or protection of rights to intellectual property and the defense of claims related to intellectual property, breach of confidentiality obligations, acts in regard of invasion of privacy or any violation of privacy or privacy related right or regulation, including with respect to databases or handling, collection or use of private information, acts in connection with slander and defamation, and claims in connection with publishing or providing any information, including any filings with any governmental authorities, whether or not required under any applicable laws.</w:t>
      </w:r>
    </w:p>
    <w:p>
      <w:pPr>
        <w:spacing w:after="0" w:line="84" w:lineRule="exact"/>
        <w:rPr>
          <w:rFonts w:ascii="Arial" w:cs="Arial" w:eastAsia="Arial" w:hAnsi="Arial"/>
          <w:sz w:val="17"/>
          <w:szCs w:val="17"/>
          <w:color w:val="auto"/>
        </w:rPr>
      </w:pPr>
    </w:p>
    <w:p>
      <w:pPr>
        <w:ind w:left="433" w:right="60" w:hanging="433"/>
        <w:spacing w:after="0" w:line="266" w:lineRule="auto"/>
        <w:tabs>
          <w:tab w:leader="none" w:pos="43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Violations of or failure to comply with securities laws, and any regulations or other rules promulgated thereunder, of any jurisdiction, including without limitation, claims under the U.S. Securities Act of 1933 or the U.S. Exchange Act of 1934 or under the Israeli Securities Law, fraudulent disclosure claims, failure to comply with any securities authority or any stock exchange disclosure or other rules and any other claims relating to relationships with investors, debt holders, shareholders, optionholders, holders of any other equity or debt instrument of the Company, and otherwise with the investment community (including without limitation any such claims relating to a merger, acquisition, change in control transaction, issuance of securities, restructuring, spin out, spin off, divestiture, recapitalization or any other transaction relating to the corporate structure or organization of the Company); claims relating to or arising out of financing arrangements, any breach of financial covenants or other obligations towards investors, lenders or debt holders, class actions, violations of laws requiring the Company to obtain regulatory and governmental licenses, permits and authorizations in any jurisdiction, including in connection with disclosure, offering or other transaction related documents; actions taken in connection with the issuance, purchase, holding or disposition of any type of securities of Company, including, without limitation, the grant of options, warrants or other rights to</w:t>
      </w:r>
    </w:p>
    <w:p>
      <w:pPr>
        <w:spacing w:after="0" w:line="117" w:lineRule="exact"/>
        <w:rPr>
          <w:rFonts w:ascii="Arial" w:cs="Arial" w:eastAsia="Arial" w:hAnsi="Arial"/>
          <w:sz w:val="17"/>
          <w:szCs w:val="17"/>
          <w:color w:val="auto"/>
        </w:rPr>
      </w:pPr>
    </w:p>
    <w:p>
      <w:pPr>
        <w:ind w:left="5373" w:hanging="109"/>
        <w:spacing w:after="0"/>
        <w:tabs>
          <w:tab w:leader="none" w:pos="537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13"/>
          </w:cols>
          <w:pgMar w:left="487" w:top="268" w:right="499" w:bottom="1440" w:gutter="0" w:footer="0" w:header="0"/>
        </w:sectPr>
      </w:pPr>
    </w:p>
    <w:bookmarkStart w:id="344" w:name="page345"/>
    <w:bookmarkEnd w:id="344"/>
    <w:p>
      <w:pPr>
        <w:ind w:left="433"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purchase any of the same or any offering of the Company’s securities (whether on behalf of the Company or on behalf of any holders of securities of the Company) to private investors, underwriters, resellers or to the public, and listing of such securities, or the offer by the Company to purchase securities from the public or from private investors or other holders, and any undertakings, representations, warranties and other obligations related to any of the foregoing or to the Company’s status as a public company or as an issuer of securities.</w:t>
      </w:r>
    </w:p>
    <w:p>
      <w:pPr>
        <w:spacing w:after="0" w:line="66" w:lineRule="exact"/>
        <w:rPr>
          <w:sz w:val="20"/>
          <w:szCs w:val="20"/>
          <w:color w:val="auto"/>
        </w:rPr>
      </w:pPr>
    </w:p>
    <w:p>
      <w:pPr>
        <w:ind w:left="433" w:right="260" w:hanging="433"/>
        <w:spacing w:after="0" w:line="255" w:lineRule="auto"/>
        <w:tabs>
          <w:tab w:leader="none" w:pos="43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Liabilities arising in connection with any products or services developed, distributed, rendered, sold, provided, licensed or marketed by the Company or any Affiliate thereof, and any actions or omissions in connection with the distribution, provision, sale, marketing, license or use of such products or services, including without limitation in connection with professional liability and product liability claims or regulatory or reputational matters.</w:t>
      </w:r>
    </w:p>
    <w:p>
      <w:pPr>
        <w:spacing w:after="0" w:line="96" w:lineRule="exact"/>
        <w:rPr>
          <w:rFonts w:ascii="Arial" w:cs="Arial" w:eastAsia="Arial" w:hAnsi="Arial"/>
          <w:sz w:val="18"/>
          <w:szCs w:val="18"/>
          <w:color w:val="auto"/>
        </w:rPr>
      </w:pPr>
    </w:p>
    <w:p>
      <w:pPr>
        <w:jc w:val="both"/>
        <w:ind w:left="433" w:right="140" w:hanging="433"/>
        <w:spacing w:after="0" w:line="281" w:lineRule="auto"/>
        <w:tabs>
          <w:tab w:leader="none" w:pos="43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offering of securities by the Company (whether on behalf of itself or on behalf of any holder of securities and any other person) to the public and/or to offerees or the offer by the Company to purchase securities from the public and/or from private investors or other holders pursuant to a prospectus, offering documents, agreements, notices, reports, tenders and/or other processes.</w:t>
      </w:r>
    </w:p>
    <w:p>
      <w:pPr>
        <w:spacing w:after="0" w:line="75" w:lineRule="exact"/>
        <w:rPr>
          <w:rFonts w:ascii="Arial" w:cs="Arial" w:eastAsia="Arial" w:hAnsi="Arial"/>
          <w:sz w:val="17"/>
          <w:szCs w:val="17"/>
          <w:color w:val="auto"/>
        </w:rPr>
      </w:pPr>
    </w:p>
    <w:p>
      <w:pPr>
        <w:ind w:left="433" w:right="80" w:hanging="433"/>
        <w:spacing w:after="0" w:line="270" w:lineRule="auto"/>
        <w:tabs>
          <w:tab w:leader="none" w:pos="43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Events, facts or circumstances in connection with change in ownership or in the structure of the Company, its reorganization, dissolution, winding up, any other arrangements concerning creditors rights, merger, change in control, issuances of securities, restructuring, spin out, spin off, divestiture, recapitalization or any other transaction relating to the corporate structure or organization of the Company, and the approval of failure to approve of any corporate actions and any matters relating to corporate governance, capital structure, articles of association or other charter or governance documents, appointment or dismissal of office holders or compensation thereof and appointment or dismissal of auditors, internal auditor or any other person performing any services for the Company.</w:t>
      </w:r>
    </w:p>
    <w:p>
      <w:pPr>
        <w:spacing w:after="0" w:line="84" w:lineRule="exact"/>
        <w:rPr>
          <w:rFonts w:ascii="Arial" w:cs="Arial" w:eastAsia="Arial" w:hAnsi="Arial"/>
          <w:sz w:val="17"/>
          <w:szCs w:val="17"/>
          <w:color w:val="auto"/>
        </w:rPr>
      </w:pPr>
    </w:p>
    <w:p>
      <w:pPr>
        <w:ind w:left="433" w:right="240" w:hanging="433"/>
        <w:spacing w:after="0" w:line="271" w:lineRule="auto"/>
        <w:tabs>
          <w:tab w:leader="none" w:pos="43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claim or demand made in connection with any transaction not in the ordinary course of business of the Company, as well as the sale, lease, purchase or acquisition of, or the receipt or grant of any rights with respect to, any assets or business.</w:t>
      </w:r>
    </w:p>
    <w:p>
      <w:pPr>
        <w:spacing w:after="0" w:line="80" w:lineRule="exact"/>
        <w:rPr>
          <w:rFonts w:ascii="Arial" w:cs="Arial" w:eastAsia="Arial" w:hAnsi="Arial"/>
          <w:sz w:val="18"/>
          <w:szCs w:val="18"/>
          <w:color w:val="auto"/>
        </w:rPr>
      </w:pPr>
    </w:p>
    <w:p>
      <w:pPr>
        <w:ind w:left="433" w:hanging="433"/>
        <w:spacing w:after="0" w:line="272" w:lineRule="auto"/>
        <w:tabs>
          <w:tab w:leader="none" w:pos="43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claim or demand made by any third party suffering any personal injury and/or bodily injury or damage to business or personal property or any other type of damage through any act or omission attributed to the Company, or its employees, agents or other persons acting or allegedly acting on its behalf, including, without limitation, failure to make proper safety arrangements for the Company or its employees and liabilities arising from any accidental or continuous damage or harm to the Company’s employees, its contractors, its guests and visitors as a result of an accidental or continuous event, or employment conditions, permanent or temporary, in the Company’s offices.</w:t>
      </w:r>
    </w:p>
    <w:p>
      <w:pPr>
        <w:spacing w:after="0" w:line="82" w:lineRule="exact"/>
        <w:rPr>
          <w:rFonts w:ascii="Arial" w:cs="Arial" w:eastAsia="Arial" w:hAnsi="Arial"/>
          <w:sz w:val="17"/>
          <w:szCs w:val="17"/>
          <w:color w:val="auto"/>
        </w:rPr>
      </w:pPr>
    </w:p>
    <w:p>
      <w:pPr>
        <w:ind w:left="433" w:right="60" w:hanging="433"/>
        <w:spacing w:after="0" w:line="293" w:lineRule="auto"/>
        <w:tabs>
          <w:tab w:leader="none" w:pos="433"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claim or demand made directly or indirectly in connection with complete or partial failure, by the Company or its directors, officers and employees, to pay, report, keep applicable records or otherwise, of any local or foreign federal, state, county, municipal or city taxes or other taxes or compulsory payments of any nature whatsoever, including, without limitation, income, sales,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67" w:lineRule="exact"/>
        <w:rPr>
          <w:rFonts w:ascii="Arial" w:cs="Arial" w:eastAsia="Arial" w:hAnsi="Arial"/>
          <w:sz w:val="16"/>
          <w:szCs w:val="16"/>
          <w:color w:val="auto"/>
        </w:rPr>
      </w:pPr>
    </w:p>
    <w:p>
      <w:pPr>
        <w:ind w:left="433" w:right="80" w:hanging="433"/>
        <w:spacing w:after="0" w:line="255" w:lineRule="auto"/>
        <w:tabs>
          <w:tab w:leader="none" w:pos="43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administrative, regulatory, judicial or civil actions orders, decrees, suits, demands, demand letters, directives, claims, liens, investigations, proceedings or notices of noncompliance or violation by any governmental entity or other person alleging potential responsibility or liability (including potential responsibility or liability for costs of enforcement investigation, cleanup, governmental response, removal or remediation, for natural resources damages, property</w:t>
      </w:r>
    </w:p>
    <w:p>
      <w:pPr>
        <w:spacing w:after="0" w:line="123" w:lineRule="exact"/>
        <w:rPr>
          <w:rFonts w:ascii="Arial" w:cs="Arial" w:eastAsia="Arial" w:hAnsi="Arial"/>
          <w:sz w:val="18"/>
          <w:szCs w:val="18"/>
          <w:color w:val="auto"/>
        </w:rPr>
      </w:pPr>
    </w:p>
    <w:p>
      <w:pPr>
        <w:ind w:left="5373" w:hanging="106"/>
        <w:spacing w:after="0"/>
        <w:tabs>
          <w:tab w:leader="none" w:pos="537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13"/>
          </w:cols>
          <w:pgMar w:left="487" w:top="272" w:right="499" w:bottom="1440" w:gutter="0" w:footer="0" w:header="0"/>
        </w:sectPr>
      </w:pPr>
    </w:p>
    <w:bookmarkStart w:id="345" w:name="page346"/>
    <w:bookmarkEnd w:id="345"/>
    <w:p>
      <w:pPr>
        <w:ind w:left="433"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damage, personal injuries or penalties or for contribution, indemnification, cost recovery, compensation or injunctive relief) arising out of, based on or related to (a) the presence of, release, spill, emission, leaning, dumping, pouring, deposit, disposal, discharge, leaching or migration into the environment (each a “</w:t>
      </w:r>
      <w:r>
        <w:rPr>
          <w:rFonts w:ascii="Arial" w:cs="Arial" w:eastAsia="Arial" w:hAnsi="Arial"/>
          <w:sz w:val="17"/>
          <w:szCs w:val="17"/>
          <w:b w:val="1"/>
          <w:bCs w:val="1"/>
          <w:color w:val="auto"/>
        </w:rPr>
        <w:t>Release</w:t>
      </w:r>
      <w:r>
        <w:rPr>
          <w:rFonts w:ascii="Arial" w:cs="Arial" w:eastAsia="Arial" w:hAnsi="Arial"/>
          <w:sz w:val="17"/>
          <w:szCs w:val="17"/>
          <w:color w:val="auto"/>
        </w:rPr>
        <w:t>”) or threatened Release of, or exposure to, any hazardous, toxic, explosive or radioactive substances, wastes or other pollutants, including petroleum or petroleum distillates, asbestos or asbestos-containing material, polychlorinated biphenyls (“</w:t>
      </w:r>
      <w:r>
        <w:rPr>
          <w:rFonts w:ascii="Arial" w:cs="Arial" w:eastAsia="Arial" w:hAnsi="Arial"/>
          <w:sz w:val="17"/>
          <w:szCs w:val="17"/>
          <w:b w:val="1"/>
          <w:bCs w:val="1"/>
          <w:color w:val="auto"/>
        </w:rPr>
        <w:t>PCBs</w:t>
      </w:r>
      <w:r>
        <w:rPr>
          <w:rFonts w:ascii="Arial" w:cs="Arial" w:eastAsia="Arial" w:hAnsi="Arial"/>
          <w:sz w:val="17"/>
          <w:szCs w:val="17"/>
          <w:color w:val="auto"/>
        </w:rPr>
        <w:t>”) or PCB-containing materials or equipment, radon gas, infectious or medical wastes and all other substances or wastes of any nature regulated pursuant to any environmental law, at any location, whether or not owned, operated, leased or managed by the Company or any of its subsidiaries, or (b) circumstances forming the basis of any violation of any environmental law or environmental permit, license, registration or other authorization required under applicable environmental law.</w:t>
      </w:r>
    </w:p>
    <w:p>
      <w:pPr>
        <w:spacing w:after="0" w:line="86" w:lineRule="exact"/>
        <w:rPr>
          <w:sz w:val="20"/>
          <w:szCs w:val="20"/>
          <w:color w:val="auto"/>
        </w:rPr>
      </w:pPr>
    </w:p>
    <w:p>
      <w:pPr>
        <w:ind w:left="433" w:hanging="433"/>
        <w:spacing w:after="0" w:line="275" w:lineRule="auto"/>
        <w:tabs>
          <w:tab w:leader="none" w:pos="43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Any administrative, regulatory or judicial actions, orders, decrees, suits, demands, demand letters, directives, claims, liens, investigations, proceedings or notices of noncompliance or violation by any governmental or regulatory entity or authority or any other person alleging the failure to comply with any statute, law, ordinance, rule, regulation, order or decree of any governmental entity applicable to the Company or any of its businesses, assets or operations, or the terms and conditions of any operating certificate or licensing agreement.</w:t>
      </w:r>
    </w:p>
    <w:p>
      <w:pPr>
        <w:spacing w:after="0" w:line="80" w:lineRule="exact"/>
        <w:rPr>
          <w:rFonts w:ascii="Arial" w:cs="Arial" w:eastAsia="Arial" w:hAnsi="Arial"/>
          <w:sz w:val="17"/>
          <w:szCs w:val="17"/>
          <w:color w:val="auto"/>
        </w:rPr>
      </w:pPr>
    </w:p>
    <w:p>
      <w:pPr>
        <w:ind w:left="433" w:right="20" w:hanging="433"/>
        <w:spacing w:after="0" w:line="259"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Participation and/or non-participation at Company Board meetings, expression of opinion or view and/or voting and/or abstention from voting at Company Board meetings, including, in each case, any committee thereof, as well as expression of opinion publicly in connection with the service as an Office Holder.</w:t>
      </w:r>
    </w:p>
    <w:p>
      <w:pPr>
        <w:spacing w:after="0" w:line="92" w:lineRule="exact"/>
        <w:rPr>
          <w:rFonts w:ascii="Arial" w:cs="Arial" w:eastAsia="Arial" w:hAnsi="Arial"/>
          <w:sz w:val="18"/>
          <w:szCs w:val="18"/>
          <w:color w:val="auto"/>
        </w:rPr>
      </w:pPr>
    </w:p>
    <w:p>
      <w:pPr>
        <w:jc w:val="both"/>
        <w:ind w:left="433" w:right="240" w:hanging="433"/>
        <w:spacing w:after="0" w:line="259"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Review and approval of the Company’s financial statements and any specific items or matters within, including any action, consent or approval related to or arising from the foregoing, including, without limitations, engagement of or execution of certificates for the benefit of third parties related to the financial statements.</w:t>
      </w:r>
    </w:p>
    <w:p>
      <w:pPr>
        <w:spacing w:after="0" w:line="92" w:lineRule="exact"/>
        <w:rPr>
          <w:rFonts w:ascii="Arial" w:cs="Arial" w:eastAsia="Arial" w:hAnsi="Arial"/>
          <w:sz w:val="18"/>
          <w:szCs w:val="18"/>
          <w:color w:val="auto"/>
        </w:rPr>
      </w:pPr>
    </w:p>
    <w:p>
      <w:pPr>
        <w:ind w:left="433" w:right="20" w:hanging="433"/>
        <w:spacing w:after="0" w:line="259"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Violation of laws, rules or regulations requiring the Company to obtain regulatory and governmental licenses, permits and authorizations (including without limitation relating to export, import, encryption, antitrust or competition authorities) or laws related to any governmental grants in any jurisdiction.</w:t>
      </w:r>
    </w:p>
    <w:p>
      <w:pPr>
        <w:spacing w:after="0" w:line="92" w:lineRule="exact"/>
        <w:rPr>
          <w:rFonts w:ascii="Arial" w:cs="Arial" w:eastAsia="Arial" w:hAnsi="Arial"/>
          <w:sz w:val="18"/>
          <w:szCs w:val="18"/>
          <w:color w:val="auto"/>
        </w:rPr>
      </w:pPr>
    </w:p>
    <w:p>
      <w:pPr>
        <w:ind w:left="433" w:right="620" w:hanging="433"/>
        <w:spacing w:after="0" w:line="335" w:lineRule="auto"/>
        <w:tabs>
          <w:tab w:leader="none" w:pos="43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Resolutions and/or actions relating to investments in the Company and/or its subsidiaries and/or affiliated companies and/or investment in corporate or other entities and/or investments in other traded or non-traded securities and/or any other form of investment.</w:t>
      </w:r>
    </w:p>
    <w:p>
      <w:pPr>
        <w:spacing w:after="0" w:line="34" w:lineRule="exact"/>
        <w:rPr>
          <w:rFonts w:ascii="Arial" w:cs="Arial" w:eastAsia="Arial" w:hAnsi="Arial"/>
          <w:sz w:val="16"/>
          <w:szCs w:val="16"/>
          <w:color w:val="auto"/>
        </w:rPr>
      </w:pPr>
    </w:p>
    <w:p>
      <w:pPr>
        <w:ind w:left="433" w:right="420" w:hanging="433"/>
        <w:spacing w:after="0" w:line="271"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Liabilities arising out of advertising, including misrepresentations regarding the Company’s products or services and unlawful distribution of emails.</w:t>
      </w:r>
    </w:p>
    <w:p>
      <w:pPr>
        <w:spacing w:after="0" w:line="80" w:lineRule="exact"/>
        <w:rPr>
          <w:rFonts w:ascii="Arial" w:cs="Arial" w:eastAsia="Arial" w:hAnsi="Arial"/>
          <w:sz w:val="18"/>
          <w:szCs w:val="18"/>
          <w:color w:val="auto"/>
        </w:rPr>
      </w:pPr>
    </w:p>
    <w:p>
      <w:pPr>
        <w:ind w:left="433" w:right="340" w:hanging="433"/>
        <w:spacing w:after="0" w:line="259"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Management of the Company’s bank accounts, including money management, foreign currency deposits, securities, loans and credit facilities, credit cards, bank guarantees, letters of credit, consultation agreements concerning investments including with portfolio managers, hedging transactions, options, futures, and the like.</w:t>
      </w:r>
    </w:p>
    <w:p>
      <w:pPr>
        <w:spacing w:after="0" w:line="92" w:lineRule="exact"/>
        <w:rPr>
          <w:rFonts w:ascii="Arial" w:cs="Arial" w:eastAsia="Arial" w:hAnsi="Arial"/>
          <w:sz w:val="18"/>
          <w:szCs w:val="18"/>
          <w:color w:val="auto"/>
        </w:rPr>
      </w:pPr>
    </w:p>
    <w:p>
      <w:pPr>
        <w:ind w:left="433" w:right="200" w:hanging="433"/>
        <w:spacing w:after="0" w:line="271"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actions, consents and approvals, including any prior discussions, reviews and deliberations, relating to a distribution of dividends, in cash or otherwise, or to any other “distribution” as such term is defined under the Companies Law.</w:t>
      </w:r>
    </w:p>
    <w:p>
      <w:pPr>
        <w:spacing w:after="0" w:line="80" w:lineRule="exact"/>
        <w:rPr>
          <w:rFonts w:ascii="Arial" w:cs="Arial" w:eastAsia="Arial" w:hAnsi="Arial"/>
          <w:sz w:val="18"/>
          <w:szCs w:val="18"/>
          <w:color w:val="auto"/>
        </w:rPr>
      </w:pPr>
    </w:p>
    <w:p>
      <w:pPr>
        <w:ind w:left="433" w:right="20" w:hanging="433"/>
        <w:spacing w:after="0" w:line="259" w:lineRule="auto"/>
        <w:tabs>
          <w:tab w:leader="none" w:pos="4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administrative, regulatory, judicial, civil or criminal, actions orders, decrees, suits, demands, demand letters, directives, claims, liens, investigations, proceedings or notices of noncompliance, violation or breaches alleging potential responsibility, liability, loss or damage (including potential responsibility or liability for costs of enforcement, investigation, cleanup,</w:t>
      </w:r>
    </w:p>
    <w:p>
      <w:pPr>
        <w:spacing w:after="0" w:line="118" w:lineRule="exact"/>
        <w:rPr>
          <w:rFonts w:ascii="Arial" w:cs="Arial" w:eastAsia="Arial" w:hAnsi="Arial"/>
          <w:sz w:val="18"/>
          <w:szCs w:val="18"/>
          <w:color w:val="auto"/>
        </w:rPr>
      </w:pPr>
    </w:p>
    <w:p>
      <w:pPr>
        <w:ind w:left="5373" w:hanging="109"/>
        <w:spacing w:after="0"/>
        <w:tabs>
          <w:tab w:leader="none" w:pos="5373"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893"/>
          </w:cols>
          <w:pgMar w:left="487" w:top="272" w:right="519" w:bottom="1440" w:gutter="0" w:footer="0" w:header="0"/>
        </w:sectPr>
      </w:pPr>
    </w:p>
    <w:bookmarkStart w:id="346" w:name="page347"/>
    <w:bookmarkEnd w:id="346"/>
    <w:p>
      <w:pPr>
        <w:ind w:left="44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governmental response, removal or remediation, property damage or penalties, or for contribution, indemnification, cost recovery, compensation or injunctive relief), whether alleged or claimed by customers, consumers, regulators, shareholders or others, arising out of, based on or related to:</w:t>
      </w:r>
    </w:p>
    <w:p>
      <w:pPr>
        <w:spacing w:after="0" w:line="1" w:lineRule="exact"/>
        <w:rPr>
          <w:sz w:val="20"/>
          <w:szCs w:val="20"/>
          <w:color w:val="auto"/>
        </w:rPr>
      </w:pPr>
    </w:p>
    <w:p>
      <w:pPr>
        <w:ind w:left="440" w:right="80" w:hanging="5"/>
        <w:spacing w:after="0" w:line="279" w:lineRule="auto"/>
        <w:tabs>
          <w:tab w:leader="none" w:pos="68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cyber security, cyber attacks, data loss or breaches, unauthorized access to information, data, or databases (including but not limited to any personally identifiable information or private health information) and use or disclosure of information contained therein, not preventing or detecting the breach or failing to otherwise disclose or respond to the breach; (b) circumstances forming the basis of any violation of any law, permit, license, registration or other authorization required under applicable law governing data security, data protection, network security, information systems, privacy or any cyber environment (including, users, networks, devices, software, processes, information systems, databases, information in storage or transit, applications, services, and systems that can be connected directly or indirectly to networks); (c) failure to implement a reporting system or control, or failure to monitor or oversee the operation of such a system; (d) data destruction, extortion, theft, hacking, and denial of service attacks; losses or liabilities to others caused by errors and omissions, failure to safeguard data or defamation; or</w:t>
      </w:r>
    </w:p>
    <w:p>
      <w:pPr>
        <w:ind w:left="440" w:right="140" w:hanging="5"/>
        <w:spacing w:after="0" w:line="250" w:lineRule="auto"/>
        <w:tabs>
          <w:tab w:leader="none" w:pos="68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security-audit, post-incident public relations and investigative expenses, criminal reward funds, data breach/privacy crisis management (including, management of an incident, investigation, remediation, data subject notification, call management, credit checking for data subjects, legal costs, court attendance and regulatory fines), extortion liability (including, losses due to a threat of extortion, professional fees related to dealing with the extortion), or network security liability (including, losses as a result of denial of access, costs related to data on third-parties and costs related to the theft of data on third-party systems).</w:t>
      </w:r>
    </w:p>
    <w:p>
      <w:pPr>
        <w:spacing w:after="0" w:line="193" w:lineRule="exact"/>
        <w:rPr>
          <w:sz w:val="20"/>
          <w:szCs w:val="20"/>
          <w:color w:val="auto"/>
        </w:rPr>
      </w:pPr>
    </w:p>
    <w:p>
      <w:pPr>
        <w:ind w:left="440" w:right="220"/>
        <w:spacing w:after="0" w:line="271" w:lineRule="auto"/>
        <w:rPr>
          <w:sz w:val="20"/>
          <w:szCs w:val="20"/>
          <w:color w:val="auto"/>
        </w:rPr>
      </w:pPr>
      <w:r>
        <w:rPr>
          <w:rFonts w:ascii="Arial" w:cs="Arial" w:eastAsia="Arial" w:hAnsi="Arial"/>
          <w:sz w:val="18"/>
          <w:szCs w:val="18"/>
          <w:color w:val="auto"/>
        </w:rPr>
        <w:t>The Limit Amount for all Indemnifiable Persons during each relevant period referred to in Section 1.2 of the Indemnification Agreement for all events described in this Exhibit A (in Sections 1-22 (inclusive) above), shall be the greater of:</w:t>
      </w:r>
    </w:p>
    <w:p>
      <w:pPr>
        <w:spacing w:after="0" w:line="175" w:lineRule="exact"/>
        <w:rPr>
          <w:sz w:val="20"/>
          <w:szCs w:val="20"/>
          <w:color w:val="auto"/>
        </w:rPr>
      </w:pPr>
    </w:p>
    <w:p>
      <w:pPr>
        <w:ind w:left="440" w:right="160" w:firstLine="423"/>
        <w:spacing w:after="0" w:line="271" w:lineRule="auto"/>
        <w:tabs>
          <w:tab w:leader="none" w:pos="110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twenty-five percent (25%) of the Company’s total shareholders’ equity according to the Company’s most recent financial statements as of the time of the actual payment of indemnification;</w:t>
      </w:r>
    </w:p>
    <w:p>
      <w:pPr>
        <w:spacing w:after="0" w:line="174" w:lineRule="exact"/>
        <w:rPr>
          <w:rFonts w:ascii="Arial" w:cs="Arial" w:eastAsia="Arial" w:hAnsi="Arial"/>
          <w:sz w:val="18"/>
          <w:szCs w:val="18"/>
          <w:color w:val="auto"/>
        </w:rPr>
      </w:pPr>
    </w:p>
    <w:p>
      <w:pPr>
        <w:ind w:left="1120" w:hanging="257"/>
        <w:spacing w:after="0"/>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US$250 million;</w:t>
      </w:r>
    </w:p>
    <w:p>
      <w:pPr>
        <w:spacing w:after="0" w:line="220" w:lineRule="exact"/>
        <w:rPr>
          <w:rFonts w:ascii="Arial" w:cs="Arial" w:eastAsia="Arial" w:hAnsi="Arial"/>
          <w:sz w:val="18"/>
          <w:szCs w:val="18"/>
          <w:color w:val="auto"/>
        </w:rPr>
      </w:pPr>
    </w:p>
    <w:p>
      <w:pPr>
        <w:jc w:val="both"/>
        <w:ind w:left="440" w:firstLine="423"/>
        <w:spacing w:after="0" w:line="259" w:lineRule="auto"/>
        <w:tabs>
          <w:tab w:leader="none" w:pos="110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ten percent (10%) of the Company Total Market Cap (which shall mean the average closing price of the Company’s ordinary shares over the 30 trading days prior to the actual payment of indemnification multiplied by the total number of issued and outstanding shares of the Company as of the date of actual payment); and</w:t>
      </w:r>
    </w:p>
    <w:p>
      <w:pPr>
        <w:spacing w:after="0" w:line="78" w:lineRule="exact"/>
        <w:rPr>
          <w:rFonts w:ascii="Arial" w:cs="Arial" w:eastAsia="Arial" w:hAnsi="Arial"/>
          <w:sz w:val="18"/>
          <w:szCs w:val="18"/>
          <w:color w:val="auto"/>
        </w:rPr>
      </w:pPr>
    </w:p>
    <w:p>
      <w:pPr>
        <w:ind w:left="440" w:right="60" w:firstLine="423"/>
        <w:spacing w:after="0" w:line="271" w:lineRule="auto"/>
        <w:tabs>
          <w:tab w:leader="none" w:pos="111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connection with or arising out of a public offering of the Company’s securities, the aggregate amount of proceeds from the sale by the Company and/or any shareholder of Company’s securities in such offering.</w:t>
      </w:r>
    </w:p>
    <w:p>
      <w:pPr>
        <w:spacing w:after="0" w:line="2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Any reference in this Exhibit A to the Company shall include the Company and any entity in which the Indemnitee serves in a Corporate Capacity.</w:t>
      </w:r>
    </w:p>
    <w:p>
      <w:pPr>
        <w:spacing w:after="0" w:line="154" w:lineRule="exact"/>
        <w:rPr>
          <w:rFonts w:ascii="Arial" w:cs="Arial" w:eastAsia="Arial" w:hAnsi="Arial"/>
          <w:sz w:val="18"/>
          <w:szCs w:val="18"/>
          <w:color w:val="auto"/>
        </w:rPr>
      </w:pPr>
    </w:p>
    <w:p>
      <w:pPr>
        <w:ind w:left="5380" w:hanging="109"/>
        <w:spacing w:after="0"/>
        <w:tabs>
          <w:tab w:leader="none" w:pos="538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00"/>
          </w:cols>
          <w:pgMar w:left="480" w:top="272" w:right="5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global-e online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856615</wp:posOffset>
            </wp:positionV>
            <wp:extent cx="14605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2013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407035</wp:posOffset>
            </wp:positionV>
            <wp:extent cx="1460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1281430</wp:posOffset>
            </wp:positionV>
            <wp:extent cx="1460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13, 2013</w:t>
      </w:r>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A</w:t>
      </w:r>
      <w:r>
        <w:rPr>
          <w:rFonts w:ascii="Arial" w:cs="Arial" w:eastAsia="Arial" w:hAnsi="Arial"/>
          <w:sz w:val="14"/>
          <w:szCs w:val="14"/>
          <w:b w:val="1"/>
          <w:bCs w:val="1"/>
          <w:color w:val="auto"/>
        </w:rPr>
        <w:t>S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398145</wp:posOffset>
            </wp:positionV>
            <wp:extent cx="1460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234315</wp:posOffset>
            </wp:positionV>
            <wp:extent cx="1460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GLOBAL-E ONLINE LTD.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245110</wp:posOffset>
            </wp:positionV>
            <wp:extent cx="1460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defined, terms used herein shall have the meaning ascribed to them in Section 4 hereof.</w:t>
      </w:r>
    </w:p>
    <w:p>
      <w:pPr>
        <w:spacing w:after="0" w:line="364" w:lineRule="exact"/>
        <w:rPr>
          <w:sz w:val="20"/>
          <w:szCs w:val="20"/>
          <w:color w:val="auto"/>
        </w:rPr>
      </w:pPr>
    </w:p>
    <w:p>
      <w:pPr>
        <w:ind w:left="440" w:hanging="433"/>
        <w:spacing w:after="0"/>
        <w:tabs>
          <w:tab w:leader="none" w:pos="440" w:val="left"/>
        </w:tabs>
        <w:numPr>
          <w:ilvl w:val="0"/>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TYPES OF AWARDS; CONSTRUCTION</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35"/>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this 2013 Share Incentive Plan (as amended, the “</w:t>
      </w:r>
      <w:r>
        <w:rPr>
          <w:rFonts w:ascii="Arial" w:cs="Arial" w:eastAsia="Arial" w:hAnsi="Arial"/>
          <w:sz w:val="17"/>
          <w:szCs w:val="17"/>
          <w:b w:val="1"/>
          <w:bCs w:val="1"/>
          <w:color w:val="auto"/>
        </w:rPr>
        <w:t>Plan</w:t>
      </w:r>
      <w:r>
        <w:rPr>
          <w:rFonts w:ascii="Arial" w:cs="Arial" w:eastAsia="Arial" w:hAnsi="Arial"/>
          <w:sz w:val="17"/>
          <w:szCs w:val="17"/>
          <w:color w:val="auto"/>
        </w:rPr>
        <w:t>”) is to afford an incentive to employees, directors, officers, consultants, advisors, and any other person or entity whose services are considered valuable (collectively, the “</w:t>
      </w:r>
      <w:r>
        <w:rPr>
          <w:rFonts w:ascii="Arial" w:cs="Arial" w:eastAsia="Arial" w:hAnsi="Arial"/>
          <w:sz w:val="17"/>
          <w:szCs w:val="17"/>
          <w:b w:val="1"/>
          <w:bCs w:val="1"/>
          <w:color w:val="auto"/>
        </w:rPr>
        <w:t>Service Providers</w:t>
      </w:r>
      <w:r>
        <w:rPr>
          <w:rFonts w:ascii="Arial" w:cs="Arial" w:eastAsia="Arial" w:hAnsi="Arial"/>
          <w:sz w:val="17"/>
          <w:szCs w:val="17"/>
          <w:color w:val="auto"/>
        </w:rPr>
        <w:t>”) to Global-E Online Ltd.,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or any Affiliate of the Company, which now exists or hereafter is organized or acquired by the Company, to continue as Service Providers, to increase their efforts on behalf of the Company or Affiliate and to promote the success of the Company’s business, by providing such Service Providers with opportunities to acquire a proprietary interest in the Company by the issuance of Ordinary Shares of the Company, and the grant of options to purchase Shares, restricted Shares awards (“</w:t>
      </w:r>
      <w:r>
        <w:rPr>
          <w:rFonts w:ascii="Arial" w:cs="Arial" w:eastAsia="Arial" w:hAnsi="Arial"/>
          <w:sz w:val="17"/>
          <w:szCs w:val="17"/>
          <w:b w:val="1"/>
          <w:bCs w:val="1"/>
          <w:color w:val="auto"/>
        </w:rPr>
        <w:t>Restricted Shares</w:t>
      </w:r>
      <w:r>
        <w:rPr>
          <w:rFonts w:ascii="Arial" w:cs="Arial" w:eastAsia="Arial" w:hAnsi="Arial"/>
          <w:sz w:val="17"/>
          <w:szCs w:val="17"/>
          <w:color w:val="auto"/>
        </w:rPr>
        <w:t>”) and other Share-based Awards pursuant to the Plan.</w:t>
      </w:r>
    </w:p>
    <w:p>
      <w:pPr>
        <w:spacing w:after="0" w:line="8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Types of Awards</w:t>
      </w:r>
      <w:r>
        <w:rPr>
          <w:rFonts w:ascii="Arial" w:cs="Arial" w:eastAsia="Arial" w:hAnsi="Arial"/>
          <w:sz w:val="16"/>
          <w:szCs w:val="16"/>
          <w:color w:val="auto"/>
        </w:rPr>
        <w:t>. The Plan is intended to enable the Company to issue Awards under varying tax regimes, including, without limitation:</w:t>
      </w:r>
    </w:p>
    <w:p>
      <w:pPr>
        <w:spacing w:after="0" w:line="150" w:lineRule="exact"/>
        <w:rPr>
          <w:rFonts w:ascii="Arial" w:cs="Arial" w:eastAsia="Arial" w:hAnsi="Arial"/>
          <w:sz w:val="18"/>
          <w:szCs w:val="18"/>
          <w:color w:val="auto"/>
        </w:rPr>
      </w:pPr>
    </w:p>
    <w:p>
      <w:pPr>
        <w:ind w:left="1960" w:right="20" w:hanging="535"/>
        <w:spacing w:after="0" w:line="255" w:lineRule="auto"/>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and all regulations and interpretations adopted thereunder, including without limitation the Income Tax Rules (Tax Benefits in Stock Issuance to Employees) 5763-2003 (the “</w:t>
      </w:r>
      <w:r>
        <w:rPr>
          <w:rFonts w:ascii="Arial" w:cs="Arial" w:eastAsia="Arial" w:hAnsi="Arial"/>
          <w:sz w:val="18"/>
          <w:szCs w:val="18"/>
          <w:b w:val="1"/>
          <w:bCs w:val="1"/>
          <w:color w:val="auto"/>
        </w:rPr>
        <w:t>Rules</w:t>
      </w:r>
      <w:r>
        <w:rPr>
          <w:rFonts w:ascii="Arial" w:cs="Arial" w:eastAsia="Arial" w:hAnsi="Arial"/>
          <w:sz w:val="18"/>
          <w:szCs w:val="18"/>
          <w:color w:val="auto"/>
        </w:rPr>
        <w:t>”) or such other rules published by the Israeli Income Tax Authorities (the “</w:t>
      </w:r>
      <w:r>
        <w:rPr>
          <w:rFonts w:ascii="Arial" w:cs="Arial" w:eastAsia="Arial" w:hAnsi="Arial"/>
          <w:sz w:val="18"/>
          <w:szCs w:val="18"/>
          <w:b w:val="1"/>
          <w:bCs w:val="1"/>
          <w:color w:val="auto"/>
        </w:rPr>
        <w:t>ITA</w:t>
      </w:r>
      <w:r>
        <w:rPr>
          <w:rFonts w:ascii="Arial" w:cs="Arial" w:eastAsia="Arial" w:hAnsi="Arial"/>
          <w:sz w:val="18"/>
          <w:szCs w:val="18"/>
          <w:color w:val="auto"/>
        </w:rPr>
        <w:t>”) (such Awards, “</w:t>
      </w:r>
      <w:r>
        <w:rPr>
          <w:rFonts w:ascii="Arial" w:cs="Arial" w:eastAsia="Arial" w:hAnsi="Arial"/>
          <w:sz w:val="18"/>
          <w:szCs w:val="18"/>
          <w:b w:val="1"/>
          <w:bCs w:val="1"/>
          <w:color w:val="auto"/>
        </w:rPr>
        <w:t>102 Awards</w:t>
      </w:r>
      <w:r>
        <w:rPr>
          <w:rFonts w:ascii="Arial" w:cs="Arial" w:eastAsia="Arial" w:hAnsi="Arial"/>
          <w:sz w:val="18"/>
          <w:szCs w:val="18"/>
          <w:color w:val="auto"/>
        </w:rPr>
        <w:t>”). 102 Awards may either be granted to a Trustee or without a trustee;</w:t>
      </w:r>
    </w:p>
    <w:p>
      <w:pPr>
        <w:spacing w:after="0" w:line="92" w:lineRule="exact"/>
        <w:rPr>
          <w:rFonts w:ascii="Arial" w:cs="Arial" w:eastAsia="Arial" w:hAnsi="Arial"/>
          <w:sz w:val="18"/>
          <w:szCs w:val="18"/>
          <w:color w:val="auto"/>
        </w:rPr>
      </w:pPr>
    </w:p>
    <w:p>
      <w:pPr>
        <w:ind w:left="1960" w:hanging="535"/>
        <w:spacing w:after="0"/>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pursuant to Section 3(9) of the Ordinance (such Awards, “</w:t>
      </w:r>
      <w:r>
        <w:rPr>
          <w:rFonts w:ascii="Arial" w:cs="Arial" w:eastAsia="Arial" w:hAnsi="Arial"/>
          <w:sz w:val="18"/>
          <w:szCs w:val="18"/>
          <w:b w:val="1"/>
          <w:bCs w:val="1"/>
          <w:color w:val="auto"/>
        </w:rPr>
        <w:t>3(9) Awards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left="1960" w:right="80" w:hanging="535"/>
        <w:spacing w:after="0" w:line="259" w:lineRule="auto"/>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Incentive Stock Options within the meaning of Section 422 of the Code, or the corresponding provision of any subsequently enacted United States federal tax statute, as amended from time to time, to be granted to Service Providers who are deemed to be residents of the U.S. for purposes of taxation;</w:t>
      </w:r>
    </w:p>
    <w:p>
      <w:pPr>
        <w:spacing w:after="0" w:line="92" w:lineRule="exact"/>
        <w:rPr>
          <w:rFonts w:ascii="Arial" w:cs="Arial" w:eastAsia="Arial" w:hAnsi="Arial"/>
          <w:sz w:val="18"/>
          <w:szCs w:val="18"/>
          <w:color w:val="auto"/>
        </w:rPr>
      </w:pPr>
    </w:p>
    <w:p>
      <w:pPr>
        <w:ind w:left="1960" w:right="240" w:hanging="535"/>
        <w:spacing w:after="0" w:line="271" w:lineRule="auto"/>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Nonqualified Stock Options to be granted to Service Providers who are deemed to be residents of the U.S. for purposes of taxation; and</w:t>
      </w:r>
    </w:p>
    <w:p>
      <w:pPr>
        <w:spacing w:after="0" w:line="80" w:lineRule="exact"/>
        <w:rPr>
          <w:rFonts w:ascii="Arial" w:cs="Arial" w:eastAsia="Arial" w:hAnsi="Arial"/>
          <w:sz w:val="18"/>
          <w:szCs w:val="18"/>
          <w:color w:val="auto"/>
        </w:rPr>
      </w:pPr>
    </w:p>
    <w:p>
      <w:pPr>
        <w:ind w:left="1960" w:hanging="535"/>
        <w:spacing w:after="0"/>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other stock-based Awards pursuant to Section 19 hereof.</w:t>
      </w:r>
    </w:p>
    <w:p>
      <w:pPr>
        <w:sectPr>
          <w:pgSz w:w="11900" w:h="16838" w:orient="portrait"/>
          <w:cols w:equalWidth="0" w:num="1">
            <w:col w:w="10900"/>
          </w:cols>
          <w:pgMar w:left="480" w:top="419" w:right="51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w:t>
      </w:r>
    </w:p>
    <w:p>
      <w:pPr>
        <w:spacing w:after="0" w:line="248" w:lineRule="exact"/>
        <w:rPr>
          <w:sz w:val="20"/>
          <w:szCs w:val="20"/>
          <w:color w:val="auto"/>
        </w:rPr>
      </w:pPr>
    </w:p>
    <w:p>
      <w:pPr>
        <w:ind w:left="1420" w:right="280" w:firstLine="6"/>
        <w:spacing w:after="0" w:line="275" w:lineRule="auto"/>
        <w:tabs>
          <w:tab w:leader="none" w:pos="159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addition to the issuance of Awards under the relevant tax regimes in the United States of America and the State of Israel, the Plan contemplates issuances to Grantees in other jurisdictions with respect to which the Committee is empowered to make the requisite adjustments in the Plan and set forth the relevant conditions in the Company’s agreement with the Grantee in order to comply with the requirements of the tax regimes in any such jurisdictions.</w:t>
      </w:r>
    </w:p>
    <w:p>
      <w:pPr>
        <w:spacing w:after="0" w:line="66" w:lineRule="exact"/>
        <w:rPr>
          <w:rFonts w:ascii="Arial" w:cs="Arial" w:eastAsia="Arial" w:hAnsi="Arial"/>
          <w:sz w:val="17"/>
          <w:szCs w:val="17"/>
          <w:color w:val="auto"/>
        </w:rPr>
      </w:pPr>
    </w:p>
    <w:p>
      <w:pPr>
        <w:ind w:left="1600" w:hanging="174"/>
        <w:spacing w:after="0"/>
        <w:tabs>
          <w:tab w:leader="none" w:pos="16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Plan contemplates the issuance of Awards by the Company, both as a private company and as a publicly traded company.</w:t>
      </w:r>
    </w:p>
    <w:p>
      <w:pPr>
        <w:spacing w:after="0" w:line="150" w:lineRule="exact"/>
        <w:rPr>
          <w:sz w:val="20"/>
          <w:szCs w:val="20"/>
          <w:color w:val="auto"/>
        </w:rPr>
      </w:pPr>
    </w:p>
    <w:p>
      <w:pPr>
        <w:jc w:val="both"/>
        <w:ind w:left="980" w:right="120" w:hanging="534"/>
        <w:spacing w:after="0" w:line="259" w:lineRule="auto"/>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To the extent any provision herein conflicts with the conditions of any relevant tax law or regulation which are relied upon</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tax relief in respect of a particular Award to a Grantee, the provisions of such law or regulation shall prevail over those of the Plan and the Committee is empowered hereunder to interpret and enforce the said prevailing provisions.</w:t>
      </w:r>
    </w:p>
    <w:p>
      <w:pPr>
        <w:spacing w:after="0" w:line="329" w:lineRule="exact"/>
        <w:rPr>
          <w:sz w:val="20"/>
          <w:szCs w:val="20"/>
          <w:color w:val="auto"/>
        </w:rPr>
      </w:pPr>
    </w:p>
    <w:p>
      <w:pPr>
        <w:ind w:left="440" w:hanging="433"/>
        <w:spacing w:after="0"/>
        <w:tabs>
          <w:tab w:leader="none" w:pos="44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80" w:hanging="535"/>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(ii) references to any law, constitution, statute, treaty, regulation, rule or ordinance, including any section or other part thereof shall refer to that it as amended from time to time and shall include any successor law, (iii) reference to a person shall means an individual, partnership, corporation, limited liability company, association, trust, unincorporated organization, or a government or agency or political subdivision thereof, (iv) the words “herein”, “hereof” and “hereunder”, and words of similar import, shall be construed to refer to this Plan in its entirety and not to any particular provision hereof and (v) all references herein to Sections shall be construed to refer to Sections to this Plan.</w:t>
      </w:r>
    </w:p>
    <w:p>
      <w:pPr>
        <w:spacing w:after="0" w:line="7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ascribed to them in this Section 4:</w:t>
      </w:r>
    </w:p>
    <w:p>
      <w:pPr>
        <w:spacing w:after="0" w:line="123" w:lineRule="exact"/>
        <w:rPr>
          <w:sz w:val="20"/>
          <w:szCs w:val="20"/>
          <w:color w:val="auto"/>
        </w:rPr>
      </w:pPr>
    </w:p>
    <w:p>
      <w:pPr>
        <w:ind w:left="1740" w:right="140" w:hanging="641"/>
        <w:spacing w:after="0" w:line="255" w:lineRule="auto"/>
        <w:tabs>
          <w:tab w:leader="none" w:pos="1720" w:val="left"/>
        </w:tabs>
        <w:rPr>
          <w:sz w:val="20"/>
          <w:szCs w:val="20"/>
          <w:color w:val="auto"/>
        </w:rPr>
      </w:pPr>
      <w:r>
        <w:rPr>
          <w:rFonts w:ascii="Arial" w:cs="Arial" w:eastAsia="Arial" w:hAnsi="Arial"/>
          <w:sz w:val="18"/>
          <w:szCs w:val="18"/>
          <w:color w:val="auto"/>
        </w:rPr>
        <w:t>4.2.1.</w:t>
        <w:tab/>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 affiliate of, or person affiliated with, a specified person or company or other trade or business that directly, or indirectly through one or more intermediaries, controls, is controlled by or is under common control with such person within the meaning of Rule 405 of Regulation C under the Securities Act, including, without limitation, any Subsidiary. For the purpose of Options granted pursuant to Section 102 shall mean also an “employing company” within the meaning of Section 102(a) of the Ordinance.</w:t>
      </w:r>
    </w:p>
    <w:p>
      <w:pPr>
        <w:spacing w:after="0" w:line="91" w:lineRule="exact"/>
        <w:rPr>
          <w:sz w:val="20"/>
          <w:szCs w:val="20"/>
          <w:color w:val="auto"/>
        </w:rPr>
      </w:pPr>
    </w:p>
    <w:p>
      <w:pPr>
        <w:ind w:left="1740" w:right="60" w:hanging="641"/>
        <w:spacing w:after="0" w:line="309" w:lineRule="auto"/>
        <w:tabs>
          <w:tab w:leader="none" w:pos="17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or trading system on which the Shares are then traded or listed.</w:t>
      </w:r>
    </w:p>
    <w:p>
      <w:pPr>
        <w:sectPr>
          <w:pgSz w:w="11900" w:h="16838" w:orient="portrait"/>
          <w:cols w:equalWidth="0" w:num="1">
            <w:col w:w="10920"/>
          </w:cols>
          <w:pgMar w:left="480" w:top="419" w:right="499" w:bottom="1440" w:gutter="0" w:footer="0" w:header="0"/>
        </w:sectPr>
      </w:pPr>
    </w:p>
    <w:bookmarkStart w:id="350" w:name="page351"/>
    <w:bookmarkEnd w:id="350"/>
    <w:p>
      <w:pPr>
        <w:ind w:left="4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w:t>
      </w:r>
    </w:p>
    <w:p>
      <w:pPr>
        <w:spacing w:after="0" w:line="244" w:lineRule="exact"/>
        <w:rPr>
          <w:sz w:val="20"/>
          <w:szCs w:val="20"/>
          <w:color w:val="auto"/>
        </w:rPr>
      </w:pPr>
    </w:p>
    <w:p>
      <w:pPr>
        <w:ind w:left="780" w:right="40" w:hanging="641"/>
        <w:spacing w:after="0" w:line="275" w:lineRule="auto"/>
        <w:tabs>
          <w:tab w:leader="none" w:pos="760" w:val="left"/>
        </w:tabs>
        <w:rPr>
          <w:sz w:val="20"/>
          <w:szCs w:val="20"/>
          <w:color w:val="auto"/>
        </w:rPr>
      </w:pPr>
      <w:r>
        <w:rPr>
          <w:rFonts w:ascii="Arial" w:cs="Arial" w:eastAsia="Arial" w:hAnsi="Arial"/>
          <w:sz w:val="18"/>
          <w:szCs w:val="18"/>
          <w:color w:val="auto"/>
        </w:rPr>
        <w:t>4.2.3.</w:t>
        <w:tab/>
        <w:t>“</w:t>
      </w:r>
      <w:r>
        <w:rPr>
          <w:rFonts w:ascii="Arial" w:cs="Arial" w:eastAsia="Arial" w:hAnsi="Arial"/>
          <w:sz w:val="18"/>
          <w:szCs w:val="18"/>
          <w:b w:val="1"/>
          <w:bCs w:val="1"/>
          <w:color w:val="auto"/>
        </w:rPr>
        <w:t>Award</w:t>
      </w:r>
      <w:r>
        <w:rPr>
          <w:rFonts w:ascii="Arial" w:cs="Arial" w:eastAsia="Arial" w:hAnsi="Arial"/>
          <w:sz w:val="18"/>
          <w:szCs w:val="18"/>
          <w:color w:val="auto"/>
        </w:rPr>
        <w:t>” shall mean any Restricted Share, Option or any other Share-based award, granted to a Grantee under the Plan and any share issued pursuant to the exercise thereof.</w:t>
      </w:r>
    </w:p>
    <w:p>
      <w:pPr>
        <w:spacing w:after="0" w:line="74"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of Directors of the Company.</w:t>
      </w:r>
    </w:p>
    <w:p>
      <w:pPr>
        <w:spacing w:after="0" w:line="12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shall mean the United States Internal Revenue Code of 1986, as amended.</w:t>
      </w:r>
    </w:p>
    <w:p>
      <w:pPr>
        <w:spacing w:after="0" w:line="12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shall mean a committee established by the Board to administer the Plan, subject to Section 5.1.</w:t>
      </w:r>
    </w:p>
    <w:p>
      <w:pPr>
        <w:spacing w:after="0" w:line="127" w:lineRule="exact"/>
        <w:rPr>
          <w:sz w:val="20"/>
          <w:szCs w:val="20"/>
          <w:color w:val="auto"/>
        </w:rPr>
      </w:pPr>
    </w:p>
    <w:p>
      <w:pPr>
        <w:ind w:left="780" w:right="320" w:hanging="641"/>
        <w:spacing w:after="0" w:line="275" w:lineRule="auto"/>
        <w:tabs>
          <w:tab w:leader="none" w:pos="760" w:val="left"/>
        </w:tabs>
        <w:rPr>
          <w:sz w:val="20"/>
          <w:szCs w:val="20"/>
          <w:color w:val="auto"/>
        </w:rPr>
      </w:pPr>
      <w:r>
        <w:rPr>
          <w:rFonts w:ascii="Arial" w:cs="Arial" w:eastAsia="Arial" w:hAnsi="Arial"/>
          <w:sz w:val="18"/>
          <w:szCs w:val="18"/>
          <w:color w:val="auto"/>
        </w:rPr>
        <w:t>4.2.7.</w:t>
        <w:tab/>
        <w:t>“</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Israel Companies Law-1999 and the regulations promulgated thereunder, all as amended from time to time.</w:t>
      </w:r>
    </w:p>
    <w:p>
      <w:pPr>
        <w:spacing w:after="0" w:line="74"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set forth in Section 32(9) of the Ordinance.</w:t>
      </w:r>
    </w:p>
    <w:p>
      <w:pPr>
        <w:spacing w:after="0" w:line="127" w:lineRule="exact"/>
        <w:rPr>
          <w:sz w:val="20"/>
          <w:szCs w:val="20"/>
          <w:color w:val="auto"/>
        </w:rPr>
      </w:pPr>
    </w:p>
    <w:p>
      <w:pPr>
        <w:ind w:left="780" w:right="120" w:hanging="641"/>
        <w:spacing w:after="0" w:line="299" w:lineRule="auto"/>
        <w:tabs>
          <w:tab w:leader="none" w:pos="76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(i) the inability of a Grantee to engage in any substantial gainful activity by reason of any medically determinable physical or mental impairment which can be expected to result in death or which has lasted or can be expected to last for a continuous period of not less than 12 months, as determined by a medical doctor satisfactory to the Committee or, if applicable, (ii) as “permanent and total disability” as defined in Section 22(e)(3) of the Code, as amended from time to time.</w:t>
      </w:r>
    </w:p>
    <w:p>
      <w:pPr>
        <w:spacing w:after="0" w:line="59" w:lineRule="exact"/>
        <w:rPr>
          <w:sz w:val="20"/>
          <w:szCs w:val="20"/>
          <w:color w:val="auto"/>
        </w:rPr>
      </w:pPr>
    </w:p>
    <w:p>
      <w:pPr>
        <w:jc w:val="both"/>
        <w:ind w:left="780" w:right="560" w:hanging="641"/>
        <w:spacing w:after="0" w:line="261" w:lineRule="auto"/>
        <w:tabs>
          <w:tab w:leader="none" w:pos="760" w:val="left"/>
        </w:tabs>
        <w:rPr>
          <w:sz w:val="20"/>
          <w:szCs w:val="20"/>
          <w:color w:val="auto"/>
        </w:rPr>
      </w:pPr>
      <w:r>
        <w:rPr>
          <w:rFonts w:ascii="Arial" w:cs="Arial" w:eastAsia="Arial" w:hAnsi="Arial"/>
          <w:sz w:val="18"/>
          <w:szCs w:val="18"/>
          <w:color w:val="auto"/>
        </w:rPr>
        <w:t>4.2.10.</w:t>
        <w:tab/>
        <w:t>“</w:t>
      </w:r>
      <w:r>
        <w:rPr>
          <w:rFonts w:ascii="Arial" w:cs="Arial" w:eastAsia="Arial" w:hAnsi="Arial"/>
          <w:sz w:val="18"/>
          <w:szCs w:val="18"/>
          <w:b w:val="1"/>
          <w:bCs w:val="1"/>
          <w:color w:val="auto"/>
        </w:rPr>
        <w:t>Employee</w:t>
      </w:r>
      <w:r>
        <w:rPr>
          <w:rFonts w:ascii="Arial" w:cs="Arial" w:eastAsia="Arial" w:hAnsi="Arial"/>
          <w:sz w:val="18"/>
          <w:szCs w:val="18"/>
          <w:color w:val="auto"/>
        </w:rPr>
        <w:t>” shall mean a person who is employed by the Company or any of its Affiliates, including, for the purpose of Section 102, an individual who is serving as an “office holder” as defined under the Companies Law, but excluding any Controlling Shareholder.</w:t>
      </w:r>
    </w:p>
    <w:p>
      <w:pPr>
        <w:spacing w:after="0" w:line="87" w:lineRule="exact"/>
        <w:rPr>
          <w:sz w:val="20"/>
          <w:szCs w:val="20"/>
          <w:color w:val="auto"/>
        </w:rPr>
      </w:pPr>
    </w:p>
    <w:p>
      <w:pPr>
        <w:ind w:left="780" w:right="460" w:hanging="641"/>
        <w:spacing w:after="0" w:line="275" w:lineRule="auto"/>
        <w:tabs>
          <w:tab w:leader="none" w:pos="760" w:val="left"/>
        </w:tabs>
        <w:rPr>
          <w:sz w:val="20"/>
          <w:szCs w:val="20"/>
          <w:color w:val="auto"/>
        </w:rPr>
      </w:pPr>
      <w:r>
        <w:rPr>
          <w:rFonts w:ascii="Arial" w:cs="Arial" w:eastAsia="Arial" w:hAnsi="Arial"/>
          <w:sz w:val="18"/>
          <w:szCs w:val="18"/>
          <w:color w:val="auto"/>
        </w:rPr>
        <w:t>4.2.11.</w:t>
        <w:tab/>
        <w:t>“</w:t>
      </w:r>
      <w:r>
        <w:rPr>
          <w:rFonts w:ascii="Arial" w:cs="Arial" w:eastAsia="Arial" w:hAnsi="Arial"/>
          <w:sz w:val="18"/>
          <w:szCs w:val="18"/>
          <w:b w:val="1"/>
          <w:bCs w:val="1"/>
          <w:color w:val="auto"/>
        </w:rPr>
        <w:t>Exercise Period</w:t>
      </w:r>
      <w:r>
        <w:rPr>
          <w:rFonts w:ascii="Arial" w:cs="Arial" w:eastAsia="Arial" w:hAnsi="Arial"/>
          <w:sz w:val="18"/>
          <w:szCs w:val="18"/>
          <w:color w:val="auto"/>
        </w:rPr>
        <w:t>” shall mean the period, commencing on the date of grant of an Option, during which an Option shall be exercisable, subject to any vesting provisions thereof and the termination provisions hereof.</w:t>
      </w:r>
    </w:p>
    <w:p>
      <w:pPr>
        <w:spacing w:after="0" w:line="74"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shall mean the exercise price for each Share covered by an Option.</w:t>
      </w:r>
    </w:p>
    <w:p>
      <w:pPr>
        <w:spacing w:after="0" w:line="127" w:lineRule="exact"/>
        <w:rPr>
          <w:sz w:val="20"/>
          <w:szCs w:val="20"/>
          <w:color w:val="auto"/>
        </w:rPr>
      </w:pPr>
    </w:p>
    <w:p>
      <w:pPr>
        <w:ind w:left="780" w:hanging="641"/>
        <w:spacing w:after="0" w:line="289" w:lineRule="auto"/>
        <w:tabs>
          <w:tab w:leader="none" w:pos="760" w:val="left"/>
        </w:tabs>
        <w:rPr>
          <w:sz w:val="20"/>
          <w:szCs w:val="20"/>
          <w:color w:val="auto"/>
        </w:rPr>
      </w:pPr>
      <w:r>
        <w:rPr>
          <w:rFonts w:ascii="Arial" w:cs="Arial" w:eastAsia="Arial" w:hAnsi="Arial"/>
          <w:sz w:val="18"/>
          <w:szCs w:val="18"/>
          <w:color w:val="auto"/>
        </w:rPr>
        <w:t>4.2.13.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per share as of a particular date shall mean (i) the closing sales price per Share on the securities exchange on which the Shares are principally traded for the last preceding date on which there was a sale of such Shares on such exchange; or (ii) if the Shares are listed on Nasdaq, the last reported price per Share on Nasdaq on the last preceding date on which there was a sale of such Share on Nasdaq; or (iii) if the Shares are then traded in an over-the-counter market, the average of the closing bid and asked prices for the Shares in such over-the-counter market for the last preceding date on which there was a sale of such Shares in such market; (iv) if the Shares are not then listed on a securities exchange or market or traded in an over-the-counter market, such value as the Committee, in its sole discretion, shall determine,</w:t>
      </w:r>
    </w:p>
    <w:p>
      <w:pPr>
        <w:sectPr>
          <w:pgSz w:w="11900" w:h="16838" w:orient="portrait"/>
          <w:cols w:equalWidth="0" w:num="1">
            <w:col w:w="9920"/>
          </w:cols>
          <w:pgMar w:left="1440" w:top="419" w:right="539" w:bottom="1440" w:gutter="0" w:footer="0" w:header="0"/>
        </w:sectPr>
      </w:pPr>
    </w:p>
    <w:bookmarkStart w:id="351" w:name="page352"/>
    <w:bookmarkEnd w:id="351"/>
    <w:p>
      <w:pPr>
        <w:ind w:left="4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w:t>
      </w:r>
    </w:p>
    <w:p>
      <w:pPr>
        <w:spacing w:after="0" w:line="248" w:lineRule="exact"/>
        <w:rPr>
          <w:sz w:val="20"/>
          <w:szCs w:val="20"/>
          <w:color w:val="auto"/>
        </w:rPr>
      </w:pPr>
    </w:p>
    <w:p>
      <w:pPr>
        <w:ind w:left="780"/>
        <w:spacing w:after="0" w:line="252" w:lineRule="auto"/>
        <w:rPr>
          <w:sz w:val="20"/>
          <w:szCs w:val="20"/>
          <w:color w:val="auto"/>
        </w:rPr>
      </w:pPr>
      <w:r>
        <w:rPr>
          <w:rFonts w:ascii="Arial" w:cs="Arial" w:eastAsia="Arial" w:hAnsi="Arial"/>
          <w:sz w:val="18"/>
          <w:szCs w:val="18"/>
          <w:color w:val="auto"/>
        </w:rPr>
        <w:t>with full authority to determine the method for making such determination (which may be Black-Scholes model or any other method), and which determination shall be conclusive and binding on all parties, and shall be made after such consultations with outside legal, accounting and other experts as the Committee may deem advisable. The Committee may maintain a written record of its method of determining such value. If the Shares are listed or quoted on more than one established stock exchange or national market system, the Committee shall determine the appropriate exchange or system for the purpose of determination of Fair Market Value.</w:t>
      </w:r>
    </w:p>
    <w:p>
      <w:pPr>
        <w:spacing w:after="0" w:line="96" w:lineRule="exact"/>
        <w:rPr>
          <w:sz w:val="20"/>
          <w:szCs w:val="20"/>
          <w:color w:val="auto"/>
        </w:rPr>
      </w:pPr>
    </w:p>
    <w:p>
      <w:pPr>
        <w:ind w:left="780" w:right="40" w:hanging="641"/>
        <w:spacing w:after="0" w:line="275" w:lineRule="auto"/>
        <w:tabs>
          <w:tab w:leader="none" w:pos="760" w:val="left"/>
        </w:tabs>
        <w:rPr>
          <w:sz w:val="20"/>
          <w:szCs w:val="20"/>
          <w:color w:val="auto"/>
        </w:rPr>
      </w:pPr>
      <w:r>
        <w:rPr>
          <w:rFonts w:ascii="Arial" w:cs="Arial" w:eastAsia="Arial" w:hAnsi="Arial"/>
          <w:sz w:val="18"/>
          <w:szCs w:val="18"/>
          <w:color w:val="auto"/>
        </w:rPr>
        <w:t>4.2.14.</w:t>
        <w:tab/>
        <w:t>“</w:t>
      </w:r>
      <w:r>
        <w:rPr>
          <w:rFonts w:ascii="Arial" w:cs="Arial" w:eastAsia="Arial" w:hAnsi="Arial"/>
          <w:sz w:val="18"/>
          <w:szCs w:val="18"/>
          <w:b w:val="1"/>
          <w:bCs w:val="1"/>
          <w:color w:val="auto"/>
        </w:rPr>
        <w:t>Grantee</w:t>
      </w:r>
      <w:r>
        <w:rPr>
          <w:rFonts w:ascii="Arial" w:cs="Arial" w:eastAsia="Arial" w:hAnsi="Arial"/>
          <w:sz w:val="18"/>
          <w:szCs w:val="18"/>
          <w:color w:val="auto"/>
        </w:rPr>
        <w:t>” shall mean a person who receives a grant of Award under the Plan, and who at the time of grant is a Service Provider of the Company or any Affiliate thereof.</w:t>
      </w:r>
    </w:p>
    <w:p>
      <w:pPr>
        <w:spacing w:after="0" w:line="74" w:lineRule="exact"/>
        <w:rPr>
          <w:sz w:val="20"/>
          <w:szCs w:val="20"/>
          <w:color w:val="auto"/>
        </w:rPr>
      </w:pPr>
    </w:p>
    <w:p>
      <w:pPr>
        <w:ind w:left="780" w:right="120" w:hanging="641"/>
        <w:spacing w:after="0" w:line="275" w:lineRule="auto"/>
        <w:tabs>
          <w:tab w:leader="none" w:pos="760" w:val="left"/>
        </w:tabs>
        <w:rPr>
          <w:sz w:val="20"/>
          <w:szCs w:val="20"/>
          <w:color w:val="auto"/>
        </w:rPr>
      </w:pPr>
      <w:r>
        <w:rPr>
          <w:rFonts w:ascii="Arial" w:cs="Arial" w:eastAsia="Arial" w:hAnsi="Arial"/>
          <w:sz w:val="18"/>
          <w:szCs w:val="18"/>
          <w:color w:val="auto"/>
        </w:rPr>
        <w:t>4.2.15.</w:t>
        <w:tab/>
        <w:t>“</w:t>
      </w:r>
      <w:r>
        <w:rPr>
          <w:rFonts w:ascii="Arial" w:cs="Arial" w:eastAsia="Arial" w:hAnsi="Arial"/>
          <w:sz w:val="18"/>
          <w:szCs w:val="18"/>
          <w:b w:val="1"/>
          <w:bCs w:val="1"/>
          <w:color w:val="auto"/>
        </w:rPr>
        <w:t>Non-Employee</w:t>
      </w:r>
      <w:r>
        <w:rPr>
          <w:rFonts w:ascii="Arial" w:cs="Arial" w:eastAsia="Arial" w:hAnsi="Arial"/>
          <w:sz w:val="18"/>
          <w:szCs w:val="18"/>
          <w:color w:val="auto"/>
        </w:rPr>
        <w:t>” shall mean a consultant, adviser, service provider, Controlling Shareholder or any other person who is not an Employee.</w:t>
      </w:r>
    </w:p>
    <w:p>
      <w:pPr>
        <w:spacing w:after="0" w:line="74" w:lineRule="exact"/>
        <w:rPr>
          <w:sz w:val="20"/>
          <w:szCs w:val="20"/>
          <w:color w:val="auto"/>
        </w:rPr>
      </w:pPr>
    </w:p>
    <w:p>
      <w:pPr>
        <w:jc w:val="center"/>
        <w:ind w:left="140" w:right="80"/>
        <w:spacing w:after="0" w:line="306" w:lineRule="auto"/>
        <w:rPr>
          <w:sz w:val="20"/>
          <w:szCs w:val="20"/>
          <w:color w:val="auto"/>
        </w:rPr>
      </w:pPr>
      <w:r>
        <w:rPr>
          <w:rFonts w:ascii="Arial" w:cs="Arial" w:eastAsia="Arial" w:hAnsi="Arial"/>
          <w:sz w:val="17"/>
          <w:szCs w:val="17"/>
          <w:color w:val="auto"/>
        </w:rPr>
        <w:t>4.2.16.  “</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shall mean any Option granted to Service Provider who is deemed to be residents of the U.S. for purposes of taxation, which Option is not designated as, or does not meet the conditions for, an Incentive Stock Option.</w:t>
      </w:r>
    </w:p>
    <w:p>
      <w:pPr>
        <w:spacing w:after="0" w:line="50" w:lineRule="exact"/>
        <w:rPr>
          <w:sz w:val="20"/>
          <w:szCs w:val="20"/>
          <w:color w:val="auto"/>
        </w:rPr>
      </w:pPr>
    </w:p>
    <w:p>
      <w:pPr>
        <w:ind w:left="780" w:right="700" w:hanging="641"/>
        <w:spacing w:after="0" w:line="340" w:lineRule="auto"/>
        <w:tabs>
          <w:tab w:leader="none" w:pos="760" w:val="left"/>
        </w:tabs>
        <w:rPr>
          <w:sz w:val="20"/>
          <w:szCs w:val="20"/>
          <w:color w:val="auto"/>
        </w:rPr>
      </w:pPr>
      <w:r>
        <w:rPr>
          <w:rFonts w:ascii="Arial" w:cs="Arial" w:eastAsia="Arial" w:hAnsi="Arial"/>
          <w:sz w:val="18"/>
          <w:szCs w:val="18"/>
          <w:color w:val="auto"/>
        </w:rPr>
        <w:t>4.2.17.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shall mean all options to purchase Shares granted as 102 Awards, 3(9) Awards, Incentive Stock Options and Non-Qualified Stock Options, as well as options to purchase Shares issued under other tax regimes.</w:t>
      </w:r>
    </w:p>
    <w:p>
      <w:pPr>
        <w:spacing w:after="0" w:line="27" w:lineRule="exact"/>
        <w:rPr>
          <w:sz w:val="20"/>
          <w:szCs w:val="20"/>
          <w:color w:val="auto"/>
        </w:rPr>
      </w:pPr>
    </w:p>
    <w:p>
      <w:pPr>
        <w:ind w:left="780" w:right="40" w:hanging="641"/>
        <w:spacing w:after="0" w:line="275" w:lineRule="auto"/>
        <w:tabs>
          <w:tab w:leader="none" w:pos="760" w:val="left"/>
        </w:tabs>
        <w:rPr>
          <w:sz w:val="20"/>
          <w:szCs w:val="20"/>
          <w:color w:val="auto"/>
        </w:rPr>
      </w:pPr>
      <w:r>
        <w:rPr>
          <w:rFonts w:ascii="Arial" w:cs="Arial" w:eastAsia="Arial" w:hAnsi="Arial"/>
          <w:sz w:val="18"/>
          <w:szCs w:val="18"/>
          <w:color w:val="auto"/>
        </w:rPr>
        <w:t>4.2.18.</w:t>
        <w:tab/>
        <w:t>“</w:t>
      </w:r>
      <w:r>
        <w:rPr>
          <w:rFonts w:ascii="Arial" w:cs="Arial" w:eastAsia="Arial" w:hAnsi="Arial"/>
          <w:sz w:val="18"/>
          <w:szCs w:val="18"/>
          <w:b w:val="1"/>
          <w:bCs w:val="1"/>
          <w:color w:val="auto"/>
        </w:rPr>
        <w:t>Ordinance</w:t>
      </w:r>
      <w:r>
        <w:rPr>
          <w:rFonts w:ascii="Arial" w:cs="Arial" w:eastAsia="Arial" w:hAnsi="Arial"/>
          <w:sz w:val="18"/>
          <w:szCs w:val="18"/>
          <w:color w:val="auto"/>
        </w:rPr>
        <w:t>” shall mean the Israeli Income Tax Ordinance (New Version) 1961, and the regulations promulgated thereunder, all as amended from time to time.</w:t>
      </w:r>
    </w:p>
    <w:p>
      <w:pPr>
        <w:spacing w:after="0" w:line="74" w:lineRule="exact"/>
        <w:rPr>
          <w:sz w:val="20"/>
          <w:szCs w:val="20"/>
          <w:color w:val="auto"/>
        </w:rPr>
      </w:pPr>
    </w:p>
    <w:p>
      <w:pPr>
        <w:ind w:left="780" w:right="160" w:hanging="641"/>
        <w:spacing w:after="0" w:line="299" w:lineRule="auto"/>
        <w:tabs>
          <w:tab w:leader="none" w:pos="760" w:val="left"/>
        </w:tabs>
        <w:rPr>
          <w:sz w:val="20"/>
          <w:szCs w:val="20"/>
          <w:color w:val="auto"/>
        </w:rPr>
      </w:pPr>
      <w:r>
        <w:rPr>
          <w:rFonts w:ascii="Arial" w:cs="Arial" w:eastAsia="Arial" w:hAnsi="Arial"/>
          <w:sz w:val="18"/>
          <w:szCs w:val="18"/>
          <w:color w:val="auto"/>
        </w:rPr>
        <w:t>4.2.19.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if applicable, (ii) as defined in Section 424(e) of the Code.</w:t>
      </w:r>
    </w:p>
    <w:p>
      <w:pPr>
        <w:spacing w:after="0" w:line="59" w:lineRule="exact"/>
        <w:rPr>
          <w:sz w:val="20"/>
          <w:szCs w:val="20"/>
          <w:color w:val="auto"/>
        </w:rPr>
      </w:pPr>
    </w:p>
    <w:p>
      <w:pPr>
        <w:ind w:left="780" w:right="80" w:hanging="641"/>
        <w:spacing w:after="0" w:line="275" w:lineRule="auto"/>
        <w:tabs>
          <w:tab w:leader="none" w:pos="760" w:val="left"/>
        </w:tabs>
        <w:rPr>
          <w:sz w:val="20"/>
          <w:szCs w:val="20"/>
          <w:color w:val="auto"/>
        </w:rPr>
      </w:pPr>
      <w:r>
        <w:rPr>
          <w:rFonts w:ascii="Arial" w:cs="Arial" w:eastAsia="Arial" w:hAnsi="Arial"/>
          <w:sz w:val="18"/>
          <w:szCs w:val="18"/>
          <w:color w:val="auto"/>
        </w:rPr>
        <w:t>4.2.20.</w:t>
        <w:tab/>
        <w:t>“</w:t>
      </w:r>
      <w:r>
        <w:rPr>
          <w:rFonts w:ascii="Arial" w:cs="Arial" w:eastAsia="Arial" w:hAnsi="Arial"/>
          <w:sz w:val="18"/>
          <w:szCs w:val="18"/>
          <w:b w:val="1"/>
          <w:bCs w:val="1"/>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w:t>
      </w:r>
    </w:p>
    <w:p>
      <w:pPr>
        <w:spacing w:after="0" w:line="74"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shall mean Securities Act of 1933, as amended.</w:t>
      </w:r>
    </w:p>
    <w:p>
      <w:pPr>
        <w:spacing w:after="0" w:line="127" w:lineRule="exact"/>
        <w:rPr>
          <w:sz w:val="20"/>
          <w:szCs w:val="20"/>
          <w:color w:val="auto"/>
        </w:rPr>
      </w:pPr>
    </w:p>
    <w:p>
      <w:pPr>
        <w:ind w:left="780" w:right="640" w:hanging="641"/>
        <w:spacing w:after="0" w:line="275" w:lineRule="auto"/>
        <w:tabs>
          <w:tab w:leader="none" w:pos="760" w:val="left"/>
        </w:tabs>
        <w:rPr>
          <w:sz w:val="20"/>
          <w:szCs w:val="20"/>
          <w:color w:val="auto"/>
        </w:rPr>
      </w:pPr>
      <w:r>
        <w:rPr>
          <w:rFonts w:ascii="Arial" w:cs="Arial" w:eastAsia="Arial" w:hAnsi="Arial"/>
          <w:sz w:val="18"/>
          <w:szCs w:val="18"/>
          <w:color w:val="auto"/>
        </w:rPr>
        <w:t>4.2.22.</w:t>
        <w:tab/>
        <w:t>“</w:t>
      </w:r>
      <w:r>
        <w:rPr>
          <w:rFonts w:ascii="Arial" w:cs="Arial" w:eastAsia="Arial" w:hAnsi="Arial"/>
          <w:sz w:val="18"/>
          <w:szCs w:val="18"/>
          <w:b w:val="1"/>
          <w:bCs w:val="1"/>
          <w:color w:val="auto"/>
        </w:rPr>
        <w:t>Shares</w:t>
      </w:r>
      <w:r>
        <w:rPr>
          <w:rFonts w:ascii="Arial" w:cs="Arial" w:eastAsia="Arial" w:hAnsi="Arial"/>
          <w:sz w:val="18"/>
          <w:szCs w:val="18"/>
          <w:color w:val="auto"/>
        </w:rPr>
        <w:t>” shall mean Ordinary Shares, par value NIS 0.01 of the Company, or shares of such other class of shares of the Company as shall be designated by the Board in respect of the relevant Award.</w:t>
      </w:r>
    </w:p>
    <w:p>
      <w:pPr>
        <w:spacing w:after="0" w:line="74" w:lineRule="exact"/>
        <w:rPr>
          <w:sz w:val="20"/>
          <w:szCs w:val="20"/>
          <w:color w:val="auto"/>
        </w:rPr>
      </w:pPr>
    </w:p>
    <w:p>
      <w:pPr>
        <w:ind w:left="780" w:right="80" w:hanging="641"/>
        <w:spacing w:after="0" w:line="255" w:lineRule="auto"/>
        <w:tabs>
          <w:tab w:leader="none" w:pos="760" w:val="left"/>
        </w:tabs>
        <w:rPr>
          <w:sz w:val="20"/>
          <w:szCs w:val="20"/>
          <w:color w:val="auto"/>
        </w:rPr>
      </w:pPr>
      <w:r>
        <w:rPr>
          <w:rFonts w:ascii="Arial" w:cs="Arial" w:eastAsia="Arial" w:hAnsi="Arial"/>
          <w:sz w:val="18"/>
          <w:szCs w:val="18"/>
          <w:color w:val="auto"/>
        </w:rPr>
        <w:t>4.2.23.</w:t>
        <w:tab/>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company (other than the Company), which now exists or is hereafter organized or 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if applicable, (ii) as defined in Section 424(f) of the Code.</w:t>
      </w:r>
    </w:p>
    <w:p>
      <w:pPr>
        <w:sectPr>
          <w:pgSz w:w="11900" w:h="16838" w:orient="portrait"/>
          <w:cols w:equalWidth="0" w:num="1">
            <w:col w:w="9960"/>
          </w:cols>
          <w:pgMar w:left="1440" w:top="419" w:right="499" w:bottom="1440" w:gutter="0" w:footer="0" w:header="0"/>
        </w:sectPr>
      </w:pPr>
    </w:p>
    <w:bookmarkStart w:id="352" w:name="page353"/>
    <w:bookmarkEnd w:id="352"/>
    <w:p>
      <w:pPr>
        <w:jc w:val="center"/>
        <w:ind w:righ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w:t>
      </w:r>
    </w:p>
    <w:p>
      <w:pPr>
        <w:spacing w:after="0" w:line="244" w:lineRule="exact"/>
        <w:rPr>
          <w:sz w:val="20"/>
          <w:szCs w:val="20"/>
          <w:color w:val="auto"/>
        </w:rPr>
      </w:pPr>
    </w:p>
    <w:p>
      <w:pPr>
        <w:ind w:left="1300" w:right="240" w:hanging="641"/>
        <w:spacing w:after="0" w:line="261" w:lineRule="auto"/>
        <w:tabs>
          <w:tab w:leader="none" w:pos="1280" w:val="left"/>
        </w:tabs>
        <w:rPr>
          <w:sz w:val="20"/>
          <w:szCs w:val="20"/>
          <w:color w:val="auto"/>
        </w:rPr>
      </w:pPr>
      <w:r>
        <w:rPr>
          <w:rFonts w:ascii="Arial" w:cs="Arial" w:eastAsia="Arial" w:hAnsi="Arial"/>
          <w:sz w:val="18"/>
          <w:szCs w:val="18"/>
          <w:color w:val="auto"/>
        </w:rPr>
        <w:t>4.2.24.</w:t>
        <w:tab/>
        <w:t>“</w:t>
      </w:r>
      <w:r>
        <w:rPr>
          <w:rFonts w:ascii="Arial" w:cs="Arial" w:eastAsia="Arial" w:hAnsi="Arial"/>
          <w:sz w:val="18"/>
          <w:szCs w:val="18"/>
          <w:b w:val="1"/>
          <w:bCs w:val="1"/>
          <w:color w:val="auto"/>
        </w:rPr>
        <w:t>Ten Percent Shareholder</w:t>
      </w:r>
      <w:r>
        <w:rPr>
          <w:rFonts w:ascii="Arial" w:cs="Arial" w:eastAsia="Arial" w:hAnsi="Arial"/>
          <w:sz w:val="18"/>
          <w:szCs w:val="18"/>
          <w:color w:val="auto"/>
        </w:rPr>
        <w:t>” shall mean a Grantee who, at the time an Incentive Stock Option is granted, owns shares possessing more than ten percent (10%) of the total combined voting power of all classes of shares of the Company or any Parent or Subsidiary.</w:t>
      </w:r>
    </w:p>
    <w:p>
      <w:pPr>
        <w:spacing w:after="0" w:line="87" w:lineRule="exact"/>
        <w:rPr>
          <w:sz w:val="20"/>
          <w:szCs w:val="20"/>
          <w:color w:val="auto"/>
        </w:rPr>
      </w:pPr>
    </w:p>
    <w:p>
      <w:pPr>
        <w:ind w:left="1300" w:hanging="641"/>
        <w:spacing w:after="0" w:line="306" w:lineRule="auto"/>
        <w:tabs>
          <w:tab w:leader="none" w:pos="1280" w:val="left"/>
        </w:tabs>
        <w:rPr>
          <w:sz w:val="20"/>
          <w:szCs w:val="20"/>
          <w:color w:val="auto"/>
        </w:rPr>
      </w:pPr>
      <w:r>
        <w:rPr>
          <w:rFonts w:ascii="Arial" w:cs="Arial" w:eastAsia="Arial" w:hAnsi="Arial"/>
          <w:sz w:val="18"/>
          <w:szCs w:val="18"/>
          <w:color w:val="auto"/>
        </w:rPr>
        <w:t>4.2.25.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shall mean the trustee appointed by the Committee or the Board, as the case may be, to hold the respective Options and/or Shares (and, in relation with 102 Awards, approved by the Israeli tax authorities), if so appointed.</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The following terms shall have the meanings ascribed to them in the Sections set forth below:</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1300" w:type="dxa"/>
            <w:vAlign w:val="bottom"/>
          </w:tcPr>
          <w:p>
            <w:pPr>
              <w:ind w:left="860"/>
              <w:spacing w:after="0"/>
              <w:rPr>
                <w:sz w:val="20"/>
                <w:szCs w:val="20"/>
                <w:color w:val="auto"/>
              </w:rPr>
            </w:pPr>
            <w:r>
              <w:rPr>
                <w:rFonts w:ascii="Arial" w:cs="Arial" w:eastAsia="Arial" w:hAnsi="Arial"/>
                <w:sz w:val="14"/>
                <w:szCs w:val="14"/>
                <w:b w:val="1"/>
                <w:bCs w:val="1"/>
                <w:color w:val="auto"/>
                <w:w w:val="82"/>
              </w:rPr>
              <w:t>Section</w:t>
            </w: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w w:val="93"/>
              </w:rPr>
              <w:t>102</w:t>
            </w:r>
          </w:p>
        </w:tc>
        <w:tc>
          <w:tcPr>
            <w:tcW w:w="3160" w:type="dxa"/>
            <w:vAlign w:val="bottom"/>
          </w:tcPr>
          <w:p>
            <w:pPr>
              <w:ind w:left="20"/>
              <w:spacing w:after="0"/>
              <w:rPr>
                <w:sz w:val="20"/>
                <w:szCs w:val="20"/>
                <w:color w:val="auto"/>
              </w:rPr>
            </w:pPr>
            <w:r>
              <w:rPr>
                <w:rFonts w:ascii="Arial" w:cs="Arial" w:eastAsia="Arial" w:hAnsi="Arial"/>
                <w:sz w:val="18"/>
                <w:szCs w:val="18"/>
                <w:color w:val="auto"/>
              </w:rPr>
              <w:t>Awards</w:t>
            </w:r>
          </w:p>
        </w:tc>
        <w:tc>
          <w:tcPr>
            <w:tcW w:w="1300" w:type="dxa"/>
            <w:vAlign w:val="bottom"/>
          </w:tcPr>
          <w:p>
            <w:pPr>
              <w:ind w:left="860"/>
              <w:spacing w:after="0"/>
              <w:rPr>
                <w:sz w:val="20"/>
                <w:szCs w:val="20"/>
                <w:color w:val="auto"/>
              </w:rPr>
            </w:pPr>
            <w:r>
              <w:rPr>
                <w:rFonts w:ascii="Arial" w:cs="Arial" w:eastAsia="Arial" w:hAnsi="Arial"/>
                <w:sz w:val="18"/>
                <w:szCs w:val="18"/>
                <w:color w:val="auto"/>
              </w:rPr>
              <w:t>1.2(i)</w:t>
            </w:r>
          </w:p>
        </w:tc>
      </w:tr>
      <w:tr>
        <w:trPr>
          <w:trHeight w:val="321"/>
        </w:trPr>
        <w:tc>
          <w:tcPr>
            <w:tcW w:w="300" w:type="dxa"/>
            <w:vAlign w:val="bottom"/>
          </w:tcPr>
          <w:p>
            <w:pPr>
              <w:spacing w:after="0"/>
              <w:rPr>
                <w:sz w:val="20"/>
                <w:szCs w:val="20"/>
                <w:color w:val="auto"/>
              </w:rPr>
            </w:pPr>
            <w:r>
              <w:rPr>
                <w:rFonts w:ascii="Arial" w:cs="Arial" w:eastAsia="Arial" w:hAnsi="Arial"/>
                <w:sz w:val="18"/>
                <w:szCs w:val="18"/>
                <w:color w:val="auto"/>
                <w:w w:val="93"/>
              </w:rPr>
              <w:t>102</w:t>
            </w:r>
          </w:p>
        </w:tc>
        <w:tc>
          <w:tcPr>
            <w:tcW w:w="3160" w:type="dxa"/>
            <w:vAlign w:val="bottom"/>
          </w:tcPr>
          <w:p>
            <w:pPr>
              <w:ind w:left="20"/>
              <w:spacing w:after="0"/>
              <w:rPr>
                <w:sz w:val="20"/>
                <w:szCs w:val="20"/>
                <w:color w:val="auto"/>
              </w:rPr>
            </w:pPr>
            <w:r>
              <w:rPr>
                <w:rFonts w:ascii="Arial" w:cs="Arial" w:eastAsia="Arial" w:hAnsi="Arial"/>
                <w:sz w:val="18"/>
                <w:szCs w:val="18"/>
                <w:color w:val="auto"/>
              </w:rPr>
              <w:t>Capital Gains Track Options</w:t>
            </w:r>
          </w:p>
        </w:tc>
        <w:tc>
          <w:tcPr>
            <w:tcW w:w="1300" w:type="dxa"/>
            <w:vAlign w:val="bottom"/>
          </w:tcPr>
          <w:p>
            <w:pPr>
              <w:ind w:left="860"/>
              <w:spacing w:after="0"/>
              <w:rPr>
                <w:sz w:val="20"/>
                <w:szCs w:val="20"/>
                <w:color w:val="auto"/>
              </w:rPr>
            </w:pPr>
            <w:r>
              <w:rPr>
                <w:rFonts w:ascii="Arial" w:cs="Arial" w:eastAsia="Arial" w:hAnsi="Arial"/>
                <w:sz w:val="18"/>
                <w:szCs w:val="18"/>
                <w:color w:val="auto"/>
              </w:rPr>
              <w:t>15.1</w:t>
            </w:r>
          </w:p>
        </w:tc>
      </w:tr>
      <w:tr>
        <w:trPr>
          <w:trHeight w:val="321"/>
        </w:trPr>
        <w:tc>
          <w:tcPr>
            <w:tcW w:w="300" w:type="dxa"/>
            <w:vAlign w:val="bottom"/>
          </w:tcPr>
          <w:p>
            <w:pPr>
              <w:spacing w:after="0"/>
              <w:rPr>
                <w:sz w:val="20"/>
                <w:szCs w:val="20"/>
                <w:color w:val="auto"/>
              </w:rPr>
            </w:pPr>
            <w:r>
              <w:rPr>
                <w:rFonts w:ascii="Arial" w:cs="Arial" w:eastAsia="Arial" w:hAnsi="Arial"/>
                <w:sz w:val="18"/>
                <w:szCs w:val="18"/>
                <w:color w:val="auto"/>
                <w:w w:val="93"/>
              </w:rPr>
              <w:t>102</w:t>
            </w:r>
          </w:p>
        </w:tc>
        <w:tc>
          <w:tcPr>
            <w:tcW w:w="3160" w:type="dxa"/>
            <w:vAlign w:val="bottom"/>
          </w:tcPr>
          <w:p>
            <w:pPr>
              <w:spacing w:after="0"/>
              <w:rPr>
                <w:sz w:val="20"/>
                <w:szCs w:val="20"/>
                <w:color w:val="auto"/>
              </w:rPr>
            </w:pPr>
            <w:r>
              <w:rPr>
                <w:rFonts w:ascii="Arial" w:cs="Arial" w:eastAsia="Arial" w:hAnsi="Arial"/>
                <w:sz w:val="18"/>
                <w:szCs w:val="18"/>
                <w:color w:val="auto"/>
              </w:rPr>
              <w:t>Non-Trustee Options</w:t>
            </w:r>
          </w:p>
        </w:tc>
        <w:tc>
          <w:tcPr>
            <w:tcW w:w="1300" w:type="dxa"/>
            <w:vAlign w:val="bottom"/>
          </w:tcPr>
          <w:p>
            <w:pPr>
              <w:ind w:left="860"/>
              <w:spacing w:after="0"/>
              <w:rPr>
                <w:sz w:val="20"/>
                <w:szCs w:val="20"/>
                <w:color w:val="auto"/>
              </w:rPr>
            </w:pPr>
            <w:r>
              <w:rPr>
                <w:rFonts w:ascii="Arial" w:cs="Arial" w:eastAsia="Arial" w:hAnsi="Arial"/>
                <w:sz w:val="18"/>
                <w:szCs w:val="18"/>
                <w:color w:val="auto"/>
              </w:rPr>
              <w:t>15.2</w:t>
            </w:r>
          </w:p>
        </w:tc>
      </w:tr>
      <w:tr>
        <w:trPr>
          <w:trHeight w:val="321"/>
        </w:trPr>
        <w:tc>
          <w:tcPr>
            <w:tcW w:w="300" w:type="dxa"/>
            <w:vAlign w:val="bottom"/>
          </w:tcPr>
          <w:p>
            <w:pPr>
              <w:spacing w:after="0"/>
              <w:rPr>
                <w:sz w:val="20"/>
                <w:szCs w:val="20"/>
                <w:color w:val="auto"/>
              </w:rPr>
            </w:pPr>
            <w:r>
              <w:rPr>
                <w:rFonts w:ascii="Arial" w:cs="Arial" w:eastAsia="Arial" w:hAnsi="Arial"/>
                <w:sz w:val="18"/>
                <w:szCs w:val="18"/>
                <w:color w:val="auto"/>
                <w:w w:val="93"/>
              </w:rPr>
              <w:t>102</w:t>
            </w:r>
          </w:p>
        </w:tc>
        <w:tc>
          <w:tcPr>
            <w:tcW w:w="3160" w:type="dxa"/>
            <w:vAlign w:val="bottom"/>
          </w:tcPr>
          <w:p>
            <w:pPr>
              <w:ind w:left="20"/>
              <w:spacing w:after="0"/>
              <w:rPr>
                <w:sz w:val="20"/>
                <w:szCs w:val="20"/>
                <w:color w:val="auto"/>
              </w:rPr>
            </w:pPr>
            <w:r>
              <w:rPr>
                <w:rFonts w:ascii="Arial" w:cs="Arial" w:eastAsia="Arial" w:hAnsi="Arial"/>
                <w:sz w:val="18"/>
                <w:szCs w:val="18"/>
                <w:color w:val="auto"/>
              </w:rPr>
              <w:t>Ordinary Income Track Options</w:t>
            </w:r>
          </w:p>
        </w:tc>
        <w:tc>
          <w:tcPr>
            <w:tcW w:w="1300" w:type="dxa"/>
            <w:vAlign w:val="bottom"/>
          </w:tcPr>
          <w:p>
            <w:pPr>
              <w:ind w:left="860"/>
              <w:spacing w:after="0"/>
              <w:rPr>
                <w:sz w:val="20"/>
                <w:szCs w:val="20"/>
                <w:color w:val="auto"/>
              </w:rPr>
            </w:pPr>
            <w:r>
              <w:rPr>
                <w:rFonts w:ascii="Arial" w:cs="Arial" w:eastAsia="Arial" w:hAnsi="Arial"/>
                <w:sz w:val="18"/>
                <w:szCs w:val="18"/>
                <w:color w:val="auto"/>
              </w:rPr>
              <w:t>15.1</w:t>
            </w:r>
          </w:p>
        </w:tc>
      </w:tr>
      <w:tr>
        <w:trPr>
          <w:trHeight w:val="321"/>
        </w:trPr>
        <w:tc>
          <w:tcPr>
            <w:tcW w:w="300" w:type="dxa"/>
            <w:vAlign w:val="bottom"/>
          </w:tcPr>
          <w:p>
            <w:pPr>
              <w:spacing w:after="0"/>
              <w:rPr>
                <w:sz w:val="20"/>
                <w:szCs w:val="20"/>
                <w:color w:val="auto"/>
              </w:rPr>
            </w:pPr>
            <w:r>
              <w:rPr>
                <w:rFonts w:ascii="Arial" w:cs="Arial" w:eastAsia="Arial" w:hAnsi="Arial"/>
                <w:sz w:val="18"/>
                <w:szCs w:val="18"/>
                <w:color w:val="auto"/>
                <w:w w:val="93"/>
              </w:rPr>
              <w:t>102</w:t>
            </w:r>
          </w:p>
        </w:tc>
        <w:tc>
          <w:tcPr>
            <w:tcW w:w="3160" w:type="dxa"/>
            <w:vAlign w:val="bottom"/>
          </w:tcPr>
          <w:p>
            <w:pPr>
              <w:ind w:left="20"/>
              <w:spacing w:after="0"/>
              <w:rPr>
                <w:sz w:val="20"/>
                <w:szCs w:val="20"/>
                <w:color w:val="auto"/>
              </w:rPr>
            </w:pPr>
            <w:r>
              <w:rPr>
                <w:rFonts w:ascii="Arial" w:cs="Arial" w:eastAsia="Arial" w:hAnsi="Arial"/>
                <w:sz w:val="18"/>
                <w:szCs w:val="18"/>
                <w:color w:val="auto"/>
              </w:rPr>
              <w:t>Trustee Options</w:t>
            </w:r>
          </w:p>
        </w:tc>
        <w:tc>
          <w:tcPr>
            <w:tcW w:w="1300" w:type="dxa"/>
            <w:vAlign w:val="bottom"/>
          </w:tcPr>
          <w:p>
            <w:pPr>
              <w:ind w:left="860"/>
              <w:spacing w:after="0"/>
              <w:rPr>
                <w:sz w:val="20"/>
                <w:szCs w:val="20"/>
                <w:color w:val="auto"/>
              </w:rPr>
            </w:pPr>
            <w:r>
              <w:rPr>
                <w:rFonts w:ascii="Arial" w:cs="Arial" w:eastAsia="Arial" w:hAnsi="Arial"/>
                <w:sz w:val="18"/>
                <w:szCs w:val="18"/>
                <w:color w:val="auto"/>
              </w:rPr>
              <w:t>15.1</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3(9) Awards</w:t>
            </w:r>
          </w:p>
        </w:tc>
        <w:tc>
          <w:tcPr>
            <w:tcW w:w="1300" w:type="dxa"/>
            <w:vAlign w:val="bottom"/>
          </w:tcPr>
          <w:p>
            <w:pPr>
              <w:ind w:left="860"/>
              <w:spacing w:after="0"/>
              <w:rPr>
                <w:sz w:val="20"/>
                <w:szCs w:val="20"/>
                <w:color w:val="auto"/>
              </w:rPr>
            </w:pPr>
            <w:r>
              <w:rPr>
                <w:rFonts w:ascii="Arial" w:cs="Arial" w:eastAsia="Arial" w:hAnsi="Arial"/>
                <w:sz w:val="18"/>
                <w:szCs w:val="18"/>
                <w:color w:val="auto"/>
                <w:w w:val="93"/>
              </w:rPr>
              <w:t>1.2(ii)</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Cause</w:t>
            </w:r>
          </w:p>
        </w:tc>
        <w:tc>
          <w:tcPr>
            <w:tcW w:w="1300" w:type="dxa"/>
            <w:vAlign w:val="bottom"/>
          </w:tcPr>
          <w:p>
            <w:pPr>
              <w:ind w:left="860"/>
              <w:spacing w:after="0"/>
              <w:rPr>
                <w:sz w:val="20"/>
                <w:szCs w:val="20"/>
                <w:color w:val="auto"/>
              </w:rPr>
            </w:pPr>
            <w:r>
              <w:rPr>
                <w:rFonts w:ascii="Arial" w:cs="Arial" w:eastAsia="Arial" w:hAnsi="Arial"/>
                <w:sz w:val="18"/>
                <w:szCs w:val="18"/>
                <w:color w:val="auto"/>
                <w:w w:val="83"/>
              </w:rPr>
              <w:t>10.6.3</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300" w:type="dxa"/>
            <w:vAlign w:val="bottom"/>
          </w:tcPr>
          <w:p>
            <w:pPr>
              <w:ind w:left="860"/>
              <w:spacing w:after="0"/>
              <w:rPr>
                <w:sz w:val="20"/>
                <w:szCs w:val="20"/>
                <w:color w:val="auto"/>
              </w:rPr>
            </w:pPr>
            <w:r>
              <w:rPr>
                <w:rFonts w:ascii="Arial" w:cs="Arial" w:eastAsia="Arial" w:hAnsi="Arial"/>
                <w:sz w:val="18"/>
                <w:szCs w:val="18"/>
                <w:color w:val="auto"/>
              </w:rPr>
              <w:t>1.1</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300" w:type="dxa"/>
            <w:vAlign w:val="bottom"/>
          </w:tcPr>
          <w:p>
            <w:pPr>
              <w:ind w:left="860"/>
              <w:spacing w:after="0"/>
              <w:rPr>
                <w:sz w:val="20"/>
                <w:szCs w:val="20"/>
                <w:color w:val="auto"/>
              </w:rPr>
            </w:pPr>
            <w:r>
              <w:rPr>
                <w:rFonts w:ascii="Arial" w:cs="Arial" w:eastAsia="Arial" w:hAnsi="Arial"/>
                <w:sz w:val="18"/>
                <w:szCs w:val="18"/>
                <w:color w:val="auto"/>
              </w:rPr>
              <w:t>38.1</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Election</w:t>
            </w:r>
          </w:p>
        </w:tc>
        <w:tc>
          <w:tcPr>
            <w:tcW w:w="1300" w:type="dxa"/>
            <w:vAlign w:val="bottom"/>
          </w:tcPr>
          <w:p>
            <w:pPr>
              <w:ind w:left="860"/>
              <w:spacing w:after="0"/>
              <w:rPr>
                <w:sz w:val="20"/>
                <w:szCs w:val="20"/>
                <w:color w:val="auto"/>
              </w:rPr>
            </w:pPr>
            <w:r>
              <w:rPr>
                <w:rFonts w:ascii="Arial" w:cs="Arial" w:eastAsia="Arial" w:hAnsi="Arial"/>
                <w:sz w:val="18"/>
                <w:szCs w:val="18"/>
                <w:color w:val="auto"/>
              </w:rPr>
              <w:t>15.2</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Eligible 102 Grantees</w:t>
            </w:r>
          </w:p>
        </w:tc>
        <w:tc>
          <w:tcPr>
            <w:tcW w:w="1300" w:type="dxa"/>
            <w:vAlign w:val="bottom"/>
          </w:tcPr>
          <w:p>
            <w:pPr>
              <w:ind w:left="860"/>
              <w:spacing w:after="0"/>
              <w:rPr>
                <w:sz w:val="20"/>
                <w:szCs w:val="20"/>
                <w:color w:val="auto"/>
              </w:rPr>
            </w:pPr>
            <w:r>
              <w:rPr>
                <w:rFonts w:ascii="Arial" w:cs="Arial" w:eastAsia="Arial" w:hAnsi="Arial"/>
                <w:sz w:val="18"/>
                <w:szCs w:val="18"/>
                <w:color w:val="auto"/>
              </w:rPr>
              <w:t>6.2</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ISO Shares</w:t>
            </w:r>
          </w:p>
        </w:tc>
        <w:tc>
          <w:tcPr>
            <w:tcW w:w="1300" w:type="dxa"/>
            <w:vAlign w:val="bottom"/>
          </w:tcPr>
          <w:p>
            <w:pPr>
              <w:ind w:left="860"/>
              <w:spacing w:after="0"/>
              <w:rPr>
                <w:sz w:val="20"/>
                <w:szCs w:val="20"/>
                <w:color w:val="auto"/>
              </w:rPr>
            </w:pPr>
            <w:r>
              <w:rPr>
                <w:rFonts w:ascii="Arial" w:cs="Arial" w:eastAsia="Arial" w:hAnsi="Arial"/>
                <w:sz w:val="18"/>
                <w:szCs w:val="18"/>
                <w:color w:val="auto"/>
              </w:rPr>
              <w:t>14.3</w:t>
            </w:r>
          </w:p>
        </w:tc>
      </w:tr>
      <w:tr>
        <w:trPr>
          <w:trHeight w:val="321"/>
        </w:trPr>
        <w:tc>
          <w:tcPr>
            <w:tcW w:w="300" w:type="dxa"/>
            <w:vAlign w:val="bottom"/>
          </w:tcPr>
          <w:p>
            <w:pPr>
              <w:spacing w:after="0"/>
              <w:rPr>
                <w:sz w:val="20"/>
                <w:szCs w:val="20"/>
                <w:color w:val="auto"/>
              </w:rPr>
            </w:pPr>
            <w:r>
              <w:rPr>
                <w:rFonts w:ascii="Arial" w:cs="Arial" w:eastAsia="Arial" w:hAnsi="Arial"/>
                <w:sz w:val="18"/>
                <w:szCs w:val="18"/>
                <w:color w:val="auto"/>
                <w:w w:val="99"/>
              </w:rPr>
              <w:t>ITA</w:t>
            </w:r>
          </w:p>
        </w:tc>
        <w:tc>
          <w:tcPr>
            <w:tcW w:w="3160" w:type="dxa"/>
            <w:vAlign w:val="bottom"/>
          </w:tcPr>
          <w:p>
            <w:pPr>
              <w:spacing w:after="0"/>
              <w:rPr>
                <w:sz w:val="24"/>
                <w:szCs w:val="24"/>
                <w:color w:val="auto"/>
              </w:rPr>
            </w:pPr>
          </w:p>
        </w:tc>
        <w:tc>
          <w:tcPr>
            <w:tcW w:w="1300" w:type="dxa"/>
            <w:vAlign w:val="bottom"/>
          </w:tcPr>
          <w:p>
            <w:pPr>
              <w:ind w:left="860"/>
              <w:spacing w:after="0"/>
              <w:rPr>
                <w:sz w:val="20"/>
                <w:szCs w:val="20"/>
                <w:color w:val="auto"/>
              </w:rPr>
            </w:pPr>
            <w:r>
              <w:rPr>
                <w:rFonts w:ascii="Arial" w:cs="Arial" w:eastAsia="Arial" w:hAnsi="Arial"/>
                <w:sz w:val="18"/>
                <w:szCs w:val="18"/>
                <w:color w:val="auto"/>
              </w:rPr>
              <w:t>1.2(i)</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Market Stand-Off</w:t>
            </w:r>
          </w:p>
        </w:tc>
        <w:tc>
          <w:tcPr>
            <w:tcW w:w="1300" w:type="dxa"/>
            <w:vAlign w:val="bottom"/>
          </w:tcPr>
          <w:p>
            <w:pPr>
              <w:ind w:left="860"/>
              <w:spacing w:after="0"/>
              <w:rPr>
                <w:sz w:val="20"/>
                <w:szCs w:val="20"/>
                <w:color w:val="auto"/>
              </w:rPr>
            </w:pPr>
            <w:r>
              <w:rPr>
                <w:rFonts w:ascii="Arial" w:cs="Arial" w:eastAsia="Arial" w:hAnsi="Arial"/>
                <w:sz w:val="18"/>
                <w:szCs w:val="18"/>
                <w:color w:val="auto"/>
              </w:rPr>
              <w:t>25</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Merger/Sale</w:t>
            </w:r>
          </w:p>
        </w:tc>
        <w:tc>
          <w:tcPr>
            <w:tcW w:w="1300" w:type="dxa"/>
            <w:vAlign w:val="bottom"/>
          </w:tcPr>
          <w:p>
            <w:pPr>
              <w:ind w:left="860"/>
              <w:spacing w:after="0"/>
              <w:rPr>
                <w:sz w:val="20"/>
                <w:szCs w:val="20"/>
                <w:color w:val="auto"/>
              </w:rPr>
            </w:pPr>
            <w:r>
              <w:rPr>
                <w:rFonts w:ascii="Arial" w:cs="Arial" w:eastAsia="Arial" w:hAnsi="Arial"/>
                <w:sz w:val="18"/>
                <w:szCs w:val="18"/>
                <w:color w:val="auto"/>
              </w:rPr>
              <w:t>22.2</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Option Agreement</w:t>
            </w:r>
          </w:p>
        </w:tc>
        <w:tc>
          <w:tcPr>
            <w:tcW w:w="1300" w:type="dxa"/>
            <w:vAlign w:val="bottom"/>
          </w:tcPr>
          <w:p>
            <w:pPr>
              <w:ind w:left="860"/>
              <w:spacing w:after="0"/>
              <w:rPr>
                <w:sz w:val="20"/>
                <w:szCs w:val="20"/>
                <w:color w:val="auto"/>
              </w:rPr>
            </w:pPr>
            <w:r>
              <w:rPr>
                <w:rFonts w:ascii="Arial" w:cs="Arial" w:eastAsia="Arial" w:hAnsi="Arial"/>
                <w:sz w:val="18"/>
                <w:szCs w:val="18"/>
                <w:color w:val="auto"/>
              </w:rPr>
              <w:t>9</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Plan</w:t>
            </w:r>
          </w:p>
        </w:tc>
        <w:tc>
          <w:tcPr>
            <w:tcW w:w="1300" w:type="dxa"/>
            <w:vAlign w:val="bottom"/>
          </w:tcPr>
          <w:p>
            <w:pPr>
              <w:ind w:left="860"/>
              <w:spacing w:after="0"/>
              <w:rPr>
                <w:sz w:val="20"/>
                <w:szCs w:val="20"/>
                <w:color w:val="auto"/>
              </w:rPr>
            </w:pPr>
            <w:r>
              <w:rPr>
                <w:rFonts w:ascii="Arial" w:cs="Arial" w:eastAsia="Arial" w:hAnsi="Arial"/>
                <w:sz w:val="18"/>
                <w:szCs w:val="18"/>
                <w:color w:val="auto"/>
              </w:rPr>
              <w:t>1.1</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Required Holding Period</w:t>
            </w:r>
          </w:p>
        </w:tc>
        <w:tc>
          <w:tcPr>
            <w:tcW w:w="1300" w:type="dxa"/>
            <w:vAlign w:val="bottom"/>
          </w:tcPr>
          <w:p>
            <w:pPr>
              <w:ind w:left="860"/>
              <w:spacing w:after="0"/>
              <w:rPr>
                <w:sz w:val="20"/>
                <w:szCs w:val="20"/>
                <w:color w:val="auto"/>
              </w:rPr>
            </w:pPr>
            <w:r>
              <w:rPr>
                <w:rFonts w:ascii="Arial" w:cs="Arial" w:eastAsia="Arial" w:hAnsi="Arial"/>
                <w:sz w:val="18"/>
                <w:szCs w:val="18"/>
                <w:color w:val="auto"/>
              </w:rPr>
              <w:t>15.4</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Restricted Period</w:t>
            </w:r>
          </w:p>
        </w:tc>
        <w:tc>
          <w:tcPr>
            <w:tcW w:w="1300" w:type="dxa"/>
            <w:vAlign w:val="bottom"/>
          </w:tcPr>
          <w:p>
            <w:pPr>
              <w:ind w:left="860"/>
              <w:spacing w:after="0"/>
              <w:rPr>
                <w:sz w:val="20"/>
                <w:szCs w:val="20"/>
                <w:color w:val="auto"/>
              </w:rPr>
            </w:pPr>
            <w:r>
              <w:rPr>
                <w:rFonts w:ascii="Arial" w:cs="Arial" w:eastAsia="Arial" w:hAnsi="Arial"/>
                <w:sz w:val="18"/>
                <w:szCs w:val="18"/>
                <w:color w:val="auto"/>
              </w:rPr>
              <w:t>18.4</w:t>
            </w:r>
          </w:p>
        </w:tc>
      </w:tr>
      <w:tr>
        <w:trPr>
          <w:trHeight w:val="321"/>
        </w:trPr>
        <w:tc>
          <w:tcPr>
            <w:tcW w:w="3460" w:type="dxa"/>
            <w:vAlign w:val="bottom"/>
            <w:gridSpan w:val="2"/>
          </w:tcPr>
          <w:p>
            <w:pPr>
              <w:spacing w:after="0"/>
              <w:rPr>
                <w:sz w:val="20"/>
                <w:szCs w:val="20"/>
                <w:color w:val="auto"/>
              </w:rPr>
            </w:pPr>
            <w:r>
              <w:rPr>
                <w:rFonts w:ascii="Arial" w:cs="Arial" w:eastAsia="Arial" w:hAnsi="Arial"/>
                <w:sz w:val="18"/>
                <w:szCs w:val="18"/>
                <w:color w:val="auto"/>
              </w:rPr>
              <w:t>Restricted Share Agreement</w:t>
            </w:r>
          </w:p>
        </w:tc>
        <w:tc>
          <w:tcPr>
            <w:tcW w:w="1300" w:type="dxa"/>
            <w:vAlign w:val="bottom"/>
          </w:tcPr>
          <w:p>
            <w:pPr>
              <w:ind w:left="8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260"/>
          </w:cols>
          <w:pgMar w:left="920" w:top="419" w:right="719"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1313"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1560" w:type="dxa"/>
            <w:vAlign w:val="bottom"/>
          </w:tcPr>
          <w:p>
            <w:pPr>
              <w:ind w:left="840"/>
              <w:spacing w:after="0"/>
              <w:rPr>
                <w:sz w:val="20"/>
                <w:szCs w:val="20"/>
                <w:color w:val="auto"/>
              </w:rPr>
            </w:pPr>
            <w:r>
              <w:rPr>
                <w:rFonts w:ascii="Arial" w:cs="Arial" w:eastAsia="Arial" w:hAnsi="Arial"/>
                <w:sz w:val="18"/>
                <w:szCs w:val="18"/>
                <w:color w:val="auto"/>
              </w:rPr>
              <w:t>-7-</w:t>
            </w:r>
          </w:p>
        </w:tc>
      </w:tr>
      <w:tr>
        <w:trPr>
          <w:trHeight w:val="455"/>
        </w:trPr>
        <w:tc>
          <w:tcPr>
            <w:tcW w:w="3200" w:type="dxa"/>
            <w:vAlign w:val="bottom"/>
          </w:tcPr>
          <w:p>
            <w:pPr>
              <w:spacing w:after="0"/>
              <w:rPr>
                <w:sz w:val="20"/>
                <w:szCs w:val="20"/>
                <w:color w:val="auto"/>
              </w:rPr>
            </w:pPr>
            <w:r>
              <w:rPr>
                <w:rFonts w:ascii="Arial" w:cs="Arial" w:eastAsia="Arial" w:hAnsi="Arial"/>
                <w:sz w:val="18"/>
                <w:szCs w:val="18"/>
                <w:color w:val="auto"/>
              </w:rPr>
              <w:t>Restricted Share Unit Agreement</w:t>
            </w:r>
          </w:p>
        </w:tc>
        <w:tc>
          <w:tcPr>
            <w:tcW w:w="1560" w:type="dxa"/>
            <w:vAlign w:val="bottom"/>
          </w:tcPr>
          <w:p>
            <w:pPr>
              <w:ind w:left="1120"/>
              <w:spacing w:after="0"/>
              <w:rPr>
                <w:sz w:val="20"/>
                <w:szCs w:val="20"/>
                <w:color w:val="auto"/>
              </w:rPr>
            </w:pPr>
            <w:r>
              <w:rPr>
                <w:rFonts w:ascii="Arial" w:cs="Arial" w:eastAsia="Arial" w:hAnsi="Arial"/>
                <w:sz w:val="18"/>
                <w:szCs w:val="18"/>
                <w:color w:val="auto"/>
              </w:rPr>
              <w:t>19.1</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Restricted Shares</w:t>
            </w:r>
          </w:p>
        </w:tc>
        <w:tc>
          <w:tcPr>
            <w:tcW w:w="1560" w:type="dxa"/>
            <w:vAlign w:val="bottom"/>
          </w:tcPr>
          <w:p>
            <w:pPr>
              <w:ind w:left="1120"/>
              <w:spacing w:after="0"/>
              <w:rPr>
                <w:sz w:val="20"/>
                <w:szCs w:val="20"/>
                <w:color w:val="auto"/>
              </w:rPr>
            </w:pPr>
            <w:r>
              <w:rPr>
                <w:rFonts w:ascii="Arial" w:cs="Arial" w:eastAsia="Arial" w:hAnsi="Arial"/>
                <w:sz w:val="18"/>
                <w:szCs w:val="18"/>
                <w:color w:val="auto"/>
              </w:rPr>
              <w:t>1.1</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RSU</w:t>
            </w:r>
          </w:p>
        </w:tc>
        <w:tc>
          <w:tcPr>
            <w:tcW w:w="1560" w:type="dxa"/>
            <w:vAlign w:val="bottom"/>
          </w:tcPr>
          <w:p>
            <w:pPr>
              <w:ind w:left="1120"/>
              <w:spacing w:after="0"/>
              <w:rPr>
                <w:sz w:val="20"/>
                <w:szCs w:val="20"/>
                <w:color w:val="auto"/>
              </w:rPr>
            </w:pPr>
            <w:r>
              <w:rPr>
                <w:rFonts w:ascii="Arial" w:cs="Arial" w:eastAsia="Arial" w:hAnsi="Arial"/>
                <w:sz w:val="18"/>
                <w:szCs w:val="18"/>
                <w:color w:val="auto"/>
              </w:rPr>
              <w:t>19.1</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Rules</w:t>
            </w:r>
          </w:p>
        </w:tc>
        <w:tc>
          <w:tcPr>
            <w:tcW w:w="1560" w:type="dxa"/>
            <w:vAlign w:val="bottom"/>
          </w:tcPr>
          <w:p>
            <w:pPr>
              <w:ind w:left="1120"/>
              <w:spacing w:after="0"/>
              <w:rPr>
                <w:sz w:val="20"/>
                <w:szCs w:val="20"/>
                <w:color w:val="auto"/>
              </w:rPr>
            </w:pPr>
            <w:r>
              <w:rPr>
                <w:rFonts w:ascii="Arial" w:cs="Arial" w:eastAsia="Arial" w:hAnsi="Arial"/>
                <w:sz w:val="18"/>
                <w:szCs w:val="18"/>
                <w:color w:val="auto"/>
              </w:rPr>
              <w:t>1.2(i)</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Service Provider(s)</w:t>
            </w:r>
          </w:p>
        </w:tc>
        <w:tc>
          <w:tcPr>
            <w:tcW w:w="1560" w:type="dxa"/>
            <w:vAlign w:val="bottom"/>
          </w:tcPr>
          <w:p>
            <w:pPr>
              <w:ind w:left="1120"/>
              <w:spacing w:after="0"/>
              <w:rPr>
                <w:sz w:val="20"/>
                <w:szCs w:val="20"/>
                <w:color w:val="auto"/>
              </w:rPr>
            </w:pPr>
            <w:r>
              <w:rPr>
                <w:rFonts w:ascii="Arial" w:cs="Arial" w:eastAsia="Arial" w:hAnsi="Arial"/>
                <w:sz w:val="18"/>
                <w:szCs w:val="18"/>
                <w:color w:val="auto"/>
              </w:rPr>
              <w:t>1.1</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Successor Corporation</w:t>
            </w:r>
          </w:p>
        </w:tc>
        <w:tc>
          <w:tcPr>
            <w:tcW w:w="1560" w:type="dxa"/>
            <w:vAlign w:val="bottom"/>
          </w:tcPr>
          <w:p>
            <w:pPr>
              <w:ind w:left="1120"/>
              <w:spacing w:after="0"/>
              <w:rPr>
                <w:sz w:val="20"/>
                <w:szCs w:val="20"/>
                <w:color w:val="auto"/>
              </w:rPr>
            </w:pPr>
            <w:r>
              <w:rPr>
                <w:rFonts w:ascii="Arial" w:cs="Arial" w:eastAsia="Arial" w:hAnsi="Arial"/>
                <w:sz w:val="18"/>
                <w:szCs w:val="18"/>
                <w:color w:val="auto"/>
                <w:w w:val="83"/>
              </w:rPr>
              <w:t>22.2.1</w:t>
            </w:r>
          </w:p>
        </w:tc>
      </w:tr>
      <w:tr>
        <w:trPr>
          <w:trHeight w:val="321"/>
        </w:trPr>
        <w:tc>
          <w:tcPr>
            <w:tcW w:w="3200" w:type="dxa"/>
            <w:vAlign w:val="bottom"/>
          </w:tcPr>
          <w:p>
            <w:pPr>
              <w:spacing w:after="0"/>
              <w:rPr>
                <w:sz w:val="20"/>
                <w:szCs w:val="20"/>
                <w:color w:val="auto"/>
              </w:rPr>
            </w:pPr>
            <w:r>
              <w:rPr>
                <w:rFonts w:ascii="Arial" w:cs="Arial" w:eastAsia="Arial" w:hAnsi="Arial"/>
                <w:sz w:val="18"/>
                <w:szCs w:val="18"/>
                <w:color w:val="auto"/>
              </w:rPr>
              <w:t>Withholding Obligations</w:t>
            </w:r>
          </w:p>
        </w:tc>
        <w:tc>
          <w:tcPr>
            <w:tcW w:w="1560" w:type="dxa"/>
            <w:vAlign w:val="bottom"/>
          </w:tcPr>
          <w:p>
            <w:pPr>
              <w:ind w:left="1120"/>
              <w:spacing w:after="0"/>
              <w:rPr>
                <w:sz w:val="20"/>
                <w:szCs w:val="20"/>
                <w:color w:val="auto"/>
              </w:rPr>
            </w:pPr>
            <w:r>
              <w:rPr>
                <w:rFonts w:ascii="Arial" w:cs="Arial" w:eastAsia="Arial" w:hAnsi="Arial"/>
                <w:sz w:val="18"/>
                <w:szCs w:val="18"/>
                <w:color w:val="auto"/>
              </w:rPr>
              <w:t>26.3</w:t>
            </w:r>
          </w:p>
        </w:tc>
      </w:tr>
    </w:tbl>
    <w:p>
      <w:pPr>
        <w:spacing w:after="0" w:line="344" w:lineRule="exact"/>
        <w:rPr>
          <w:sz w:val="20"/>
          <w:szCs w:val="20"/>
          <w:color w:val="auto"/>
        </w:rPr>
      </w:pPr>
    </w:p>
    <w:p>
      <w:pPr>
        <w:ind w:left="433" w:hanging="433"/>
        <w:spacing w:after="0"/>
        <w:tabs>
          <w:tab w:leader="none" w:pos="433"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hanging="535"/>
        <w:spacing w:after="0" w:line="272" w:lineRule="auto"/>
        <w:rPr>
          <w:rFonts w:ascii="Arial" w:cs="Arial" w:eastAsia="Arial" w:hAnsi="Arial"/>
          <w:sz w:val="18"/>
          <w:szCs w:val="18"/>
          <w:color w:val="auto"/>
        </w:rPr>
      </w:pPr>
      <w:r>
        <w:rPr>
          <w:rFonts w:ascii="Arial" w:cs="Arial" w:eastAsia="Arial" w:hAnsi="Arial"/>
          <w:sz w:val="17"/>
          <w:szCs w:val="17"/>
          <w:color w:val="auto"/>
        </w:rPr>
        <w:t>5.1. To the extent permitted under Applicable Law and the Memorandum of Association, Articles of Association and any other governing document of the Company, the Plan shall be administered by the Committee. In the event that the Board does not create a committee to administer the Plan, the Plan shall be administered by the Board in its entirety. In the event that an action necessary for the administration of the Plan is required under law to be taken by the Board, then such action shall be so taken by the Board. In any such event, all references herein to the Committee shall be construed as references to the Board.</w:t>
      </w:r>
    </w:p>
    <w:p>
      <w:pPr>
        <w:spacing w:after="0" w:line="82" w:lineRule="exact"/>
        <w:rPr>
          <w:rFonts w:ascii="Arial" w:cs="Arial" w:eastAsia="Arial" w:hAnsi="Arial"/>
          <w:sz w:val="18"/>
          <w:szCs w:val="18"/>
          <w:color w:val="auto"/>
        </w:rPr>
      </w:pPr>
    </w:p>
    <w:p>
      <w:pPr>
        <w:ind w:left="973" w:right="60" w:hanging="535"/>
        <w:spacing w:after="0" w:line="290" w:lineRule="auto"/>
        <w:rPr>
          <w:rFonts w:ascii="Arial" w:cs="Arial" w:eastAsia="Arial" w:hAnsi="Arial"/>
          <w:sz w:val="18"/>
          <w:szCs w:val="18"/>
          <w:color w:val="auto"/>
        </w:rPr>
      </w:pPr>
      <w:r>
        <w:rPr>
          <w:rFonts w:ascii="Arial" w:cs="Arial" w:eastAsia="Arial" w:hAnsi="Arial"/>
          <w:sz w:val="16"/>
          <w:szCs w:val="16"/>
          <w:color w:val="auto"/>
        </w:rPr>
        <w:t>5.2. The Committee shall consist of two or more directors of the Company, as determined by the Board.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requirements of Applicable Law.</w:t>
      </w:r>
    </w:p>
    <w:p>
      <w:pPr>
        <w:spacing w:after="0" w:line="70" w:lineRule="exact"/>
        <w:rPr>
          <w:rFonts w:ascii="Arial" w:cs="Arial" w:eastAsia="Arial" w:hAnsi="Arial"/>
          <w:sz w:val="18"/>
          <w:szCs w:val="18"/>
          <w:color w:val="auto"/>
        </w:rPr>
      </w:pPr>
    </w:p>
    <w:p>
      <w:pPr>
        <w:ind w:left="973" w:right="180" w:hanging="535"/>
        <w:spacing w:after="0" w:line="255" w:lineRule="auto"/>
        <w:rPr>
          <w:rFonts w:ascii="Arial" w:cs="Arial" w:eastAsia="Arial" w:hAnsi="Arial"/>
          <w:sz w:val="18"/>
          <w:szCs w:val="18"/>
          <w:color w:val="auto"/>
        </w:rPr>
      </w:pPr>
      <w:r>
        <w:rPr>
          <w:rFonts w:ascii="Arial" w:cs="Arial" w:eastAsia="Arial" w:hAnsi="Arial"/>
          <w:sz w:val="18"/>
          <w:szCs w:val="18"/>
          <w:color w:val="auto"/>
        </w:rPr>
        <w:t>5.3. Subject to the terms and conditions of this Plan and any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96" w:lineRule="exact"/>
        <w:rPr>
          <w:rFonts w:ascii="Arial" w:cs="Arial" w:eastAsia="Arial" w:hAnsi="Arial"/>
          <w:sz w:val="18"/>
          <w:szCs w:val="18"/>
          <w:color w:val="auto"/>
        </w:rPr>
      </w:pPr>
    </w:p>
    <w:p>
      <w:pPr>
        <w:ind w:left="1953" w:hanging="535"/>
        <w:spacing w:after="0"/>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127" w:lineRule="exact"/>
        <w:rPr>
          <w:rFonts w:ascii="Arial" w:cs="Arial" w:eastAsia="Arial" w:hAnsi="Arial"/>
          <w:sz w:val="18"/>
          <w:szCs w:val="18"/>
          <w:color w:val="auto"/>
        </w:rPr>
      </w:pPr>
    </w:p>
    <w:p>
      <w:pPr>
        <w:ind w:left="1953" w:right="360" w:hanging="535"/>
        <w:spacing w:after="0" w:line="259" w:lineRule="auto"/>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grants of Awards and setting the terms and provisions of option agreements (which need not be identical) and any other agreements or instruments under which Awards are made, including, but not limited to, the number of Shares underlying each Award,</w:t>
      </w:r>
    </w:p>
    <w:p>
      <w:pPr>
        <w:spacing w:after="0" w:line="92" w:lineRule="exact"/>
        <w:rPr>
          <w:rFonts w:ascii="Arial" w:cs="Arial" w:eastAsia="Arial" w:hAnsi="Arial"/>
          <w:sz w:val="18"/>
          <w:szCs w:val="18"/>
          <w:color w:val="auto"/>
        </w:rPr>
      </w:pPr>
    </w:p>
    <w:p>
      <w:pPr>
        <w:ind w:left="1953" w:hanging="535"/>
        <w:spacing w:after="0"/>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127" w:lineRule="exact"/>
        <w:rPr>
          <w:rFonts w:ascii="Arial" w:cs="Arial" w:eastAsia="Arial" w:hAnsi="Arial"/>
          <w:sz w:val="18"/>
          <w:szCs w:val="18"/>
          <w:color w:val="auto"/>
        </w:rPr>
      </w:pPr>
    </w:p>
    <w:p>
      <w:pPr>
        <w:ind w:left="1953" w:hanging="535"/>
        <w:spacing w:after="0"/>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schedule and conditions on which Awards may be exercised,</w:t>
      </w:r>
    </w:p>
    <w:p>
      <w:pPr>
        <w:spacing w:after="0" w:line="127" w:lineRule="exact"/>
        <w:rPr>
          <w:rFonts w:ascii="Arial" w:cs="Arial" w:eastAsia="Arial" w:hAnsi="Arial"/>
          <w:sz w:val="18"/>
          <w:szCs w:val="18"/>
          <w:color w:val="auto"/>
        </w:rPr>
      </w:pPr>
    </w:p>
    <w:p>
      <w:pPr>
        <w:ind w:left="1953" w:hanging="535"/>
        <w:spacing w:after="0"/>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Exercise Price,</w:t>
      </w:r>
    </w:p>
    <w:p>
      <w:pPr>
        <w:sectPr>
          <w:pgSz w:w="11900" w:h="16838" w:orient="portrait"/>
          <w:cols w:equalWidth="0" w:num="1">
            <w:col w:w="10913"/>
          </w:cols>
          <w:pgMar w:left="487" w:top="419" w:right="49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-8-</w:t>
      </w:r>
    </w:p>
    <w:p>
      <w:pPr>
        <w:spacing w:after="0" w:line="248" w:lineRule="exact"/>
        <w:rPr>
          <w:sz w:val="20"/>
          <w:szCs w:val="20"/>
          <w:color w:val="auto"/>
        </w:rPr>
      </w:pPr>
    </w:p>
    <w:p>
      <w:pPr>
        <w:ind w:left="1960" w:hanging="535"/>
        <w:spacing w:after="0"/>
        <w:tabs>
          <w:tab w:leader="none" w:pos="1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27" w:lineRule="exact"/>
        <w:rPr>
          <w:rFonts w:ascii="Arial" w:cs="Arial" w:eastAsia="Arial" w:hAnsi="Arial"/>
          <w:sz w:val="18"/>
          <w:szCs w:val="18"/>
          <w:color w:val="auto"/>
        </w:rPr>
      </w:pPr>
    </w:p>
    <w:p>
      <w:pPr>
        <w:ind w:left="1960" w:hanging="535"/>
        <w:spacing w:after="0"/>
        <w:tabs>
          <w:tab w:leader="none" w:pos="19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prescribe, amend and rescind rules and regulations relating to and for carrying out the Plan, as it may deem appropriate,</w:t>
      </w:r>
    </w:p>
    <w:p>
      <w:pPr>
        <w:spacing w:after="0" w:line="150" w:lineRule="exact"/>
        <w:rPr>
          <w:rFonts w:ascii="Arial" w:cs="Arial" w:eastAsia="Arial" w:hAnsi="Arial"/>
          <w:sz w:val="16"/>
          <w:szCs w:val="16"/>
          <w:color w:val="auto"/>
        </w:rPr>
      </w:pPr>
    </w:p>
    <w:p>
      <w:pPr>
        <w:ind w:left="1960" w:hanging="535"/>
        <w:spacing w:after="0"/>
        <w:tabs>
          <w:tab w:leader="none" w:pos="1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Fair Market Value of the Shares,</w:t>
      </w:r>
    </w:p>
    <w:p>
      <w:pPr>
        <w:spacing w:after="0" w:line="127" w:lineRule="exact"/>
        <w:rPr>
          <w:rFonts w:ascii="Arial" w:cs="Arial" w:eastAsia="Arial" w:hAnsi="Arial"/>
          <w:sz w:val="18"/>
          <w:szCs w:val="18"/>
          <w:color w:val="auto"/>
        </w:rPr>
      </w:pPr>
    </w:p>
    <w:p>
      <w:pPr>
        <w:ind w:left="1960" w:hanging="535"/>
        <w:spacing w:after="0" w:line="271" w:lineRule="auto"/>
        <w:tabs>
          <w:tab w:leader="none" w:pos="1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 and</w:t>
      </w:r>
    </w:p>
    <w:p>
      <w:pPr>
        <w:spacing w:after="0" w:line="80" w:lineRule="exact"/>
        <w:rPr>
          <w:rFonts w:ascii="Arial" w:cs="Arial" w:eastAsia="Arial" w:hAnsi="Arial"/>
          <w:sz w:val="18"/>
          <w:szCs w:val="18"/>
          <w:color w:val="auto"/>
        </w:rPr>
      </w:pPr>
    </w:p>
    <w:p>
      <w:pPr>
        <w:ind w:left="1960" w:right="820" w:hanging="535"/>
        <w:spacing w:after="0" w:line="271" w:lineRule="auto"/>
        <w:tabs>
          <w:tab w:leader="none" w:pos="1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other matter which is necessary or desirable for, or incidental to, the administration of the Plan and any Award thereunder.</w:t>
      </w:r>
    </w:p>
    <w:p>
      <w:pPr>
        <w:spacing w:after="0" w:line="81" w:lineRule="exact"/>
        <w:rPr>
          <w:sz w:val="20"/>
          <w:szCs w:val="20"/>
          <w:color w:val="auto"/>
        </w:rPr>
      </w:pPr>
    </w:p>
    <w:p>
      <w:pPr>
        <w:ind w:left="980" w:right="80" w:hanging="534"/>
        <w:spacing w:after="0" w:line="284" w:lineRule="auto"/>
        <w:tabs>
          <w:tab w:leader="none" w:pos="9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Grants of Awards shall be made pursuant to written notice to Grantees setting forth the terms of the Award. Such notice shall designate the type of Award as one of the following: (i) a 102 Award granted to a Trustee (either as a 102 Award (capital gain track) with Trustee or a 102 Award (ordinary income track) with Trustee), (ii) a 102 Award without a 102 Trustee, (iii) a 3(9) Award, (iv) Incentive Stock Option,</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 Nonqualified Stock Option, or (vi) any other type of Award.</w:t>
      </w:r>
    </w:p>
    <w:p>
      <w:pPr>
        <w:spacing w:after="0" w:line="115" w:lineRule="exact"/>
        <w:rPr>
          <w:sz w:val="20"/>
          <w:szCs w:val="20"/>
          <w:color w:val="auto"/>
        </w:rPr>
      </w:pPr>
    </w:p>
    <w:p>
      <w:pPr>
        <w:ind w:left="980" w:right="120" w:hanging="534"/>
        <w:spacing w:after="0" w:line="271" w:lineRule="auto"/>
        <w:tabs>
          <w:tab w:leader="none" w:pos="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Subject to the mandatory provisions of Applicable Law, the grant of any Award, whether by the Committee or the Board, shall be deemed to include an authorization of the issuance of Shares upon the due exercise thereof.</w:t>
      </w:r>
    </w:p>
    <w:p>
      <w:pPr>
        <w:spacing w:after="0" w:line="81" w:lineRule="exact"/>
        <w:rPr>
          <w:sz w:val="20"/>
          <w:szCs w:val="20"/>
          <w:color w:val="auto"/>
        </w:rPr>
      </w:pPr>
    </w:p>
    <w:p>
      <w:pPr>
        <w:ind w:left="980" w:right="120" w:hanging="534"/>
        <w:spacing w:after="0" w:line="251" w:lineRule="auto"/>
        <w:tabs>
          <w:tab w:leader="none" w:pos="9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 authority granted hereunder includes the authority to modify Awards to eligible individuals who are foreign nationals or are individuals who are employed outside Israel to recognize differences in local law, tax policy or custom, in order to effectuate the purposes of the Plan but without amending the Plan. The Committee shall have the authority to grant, in its discretion, to the holder of an outstanding Award, in exchange for the surrender and cancellation of such Award, a new Award having an exercise price lower than provided in the Award so surrendered and canceled and containing such other terms and conditions as the Committee may prescribe in accordance with the provisions of the Plan or to set a new exercise price for the same Award lower than that previously provided in the Award.</w:t>
      </w:r>
    </w:p>
    <w:p>
      <w:pPr>
        <w:spacing w:after="0" w:line="103" w:lineRule="exact"/>
        <w:rPr>
          <w:sz w:val="20"/>
          <w:szCs w:val="20"/>
          <w:color w:val="auto"/>
        </w:rPr>
      </w:pPr>
    </w:p>
    <w:p>
      <w:pPr>
        <w:ind w:left="980" w:right="60" w:hanging="534"/>
        <w:spacing w:after="0" w:line="259" w:lineRule="auto"/>
        <w:tabs>
          <w:tab w:leader="none" w:pos="9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All decisions, determination and interpretations of the Committee shall be final and binding on all Grantees of any Awards under this Plan, unless otherwise determined by the Board. No member of the Committee shall be liable for any action taken or determination made in good faith with respect to the Plan or any Award granted hereunder.</w:t>
      </w:r>
    </w:p>
    <w:p>
      <w:pPr>
        <w:spacing w:after="0" w:line="329" w:lineRule="exact"/>
        <w:rPr>
          <w:sz w:val="20"/>
          <w:szCs w:val="20"/>
          <w:color w:val="auto"/>
        </w:rPr>
      </w:pPr>
    </w:p>
    <w:p>
      <w:pPr>
        <w:ind w:left="440" w:hanging="433"/>
        <w:spacing w:after="0"/>
        <w:tabs>
          <w:tab w:leader="none" w:pos="440"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80" w:right="20" w:hanging="535"/>
        <w:spacing w:after="0" w:line="270" w:lineRule="auto"/>
        <w:rPr>
          <w:rFonts w:ascii="Arial" w:cs="Arial" w:eastAsia="Arial" w:hAnsi="Arial"/>
          <w:sz w:val="18"/>
          <w:szCs w:val="18"/>
          <w:color w:val="auto"/>
        </w:rPr>
      </w:pPr>
      <w:r>
        <w:rPr>
          <w:rFonts w:ascii="Arial" w:cs="Arial" w:eastAsia="Arial" w:hAnsi="Arial"/>
          <w:sz w:val="17"/>
          <w:szCs w:val="17"/>
          <w:color w:val="auto"/>
        </w:rPr>
        <w:t>6.1. Awards may be granted to Service Providers of the Company and any Affiliate thereof, taking into account the qualification under each tax regime pursuant to which such Awards are granted. A person who has been granted an Award hereunder may be granted additional Awards, if the Committee shall so determine, subject to the limitations herein. In determining the persons to whom Awards shall be granted and the number of Shares to be covered by each Award, the Committee shall take into account the duties of the respective persons, their present and potential contributions to the success of the Company and such other factors as the Committee shall deem relevant in connection with accomplishing the purpose of the Plan.</w:t>
      </w:r>
    </w:p>
    <w:p>
      <w:pPr>
        <w:sectPr>
          <w:pgSz w:w="11900" w:h="16838" w:orient="portrait"/>
          <w:cols w:equalWidth="0" w:num="1">
            <w:col w:w="10920"/>
          </w:cols>
          <w:pgMar w:left="480" w:top="419" w:right="499" w:bottom="1440" w:gutter="0" w:footer="0" w:header="0"/>
        </w:sectPr>
      </w:pPr>
    </w:p>
    <w:bookmarkStart w:id="355" w:name="page356"/>
    <w:bookmarkEnd w:id="355"/>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w:t>
      </w:r>
    </w:p>
    <w:p>
      <w:pPr>
        <w:spacing w:after="0" w:line="248" w:lineRule="exact"/>
        <w:rPr>
          <w:sz w:val="20"/>
          <w:szCs w:val="20"/>
          <w:color w:val="auto"/>
        </w:rPr>
      </w:pPr>
    </w:p>
    <w:p>
      <w:pPr>
        <w:ind w:left="973" w:right="80" w:hanging="534"/>
        <w:spacing w:after="0" w:line="287" w:lineRule="auto"/>
        <w:tabs>
          <w:tab w:leader="none" w:pos="95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Subject to Applicable Law, 102 Awards may not be granted to Controlling Shareholders and may only be granted to Employees, including officers and directors, of the Company or any Affiliate thereof, who are Israeli residents (“</w:t>
      </w:r>
      <w:r>
        <w:rPr>
          <w:rFonts w:ascii="Arial" w:cs="Arial" w:eastAsia="Arial" w:hAnsi="Arial"/>
          <w:sz w:val="16"/>
          <w:szCs w:val="16"/>
          <w:b w:val="1"/>
          <w:bCs w:val="1"/>
          <w:color w:val="auto"/>
        </w:rPr>
        <w:t>Eligible 102 Grantees</w:t>
      </w:r>
      <w:r>
        <w:rPr>
          <w:rFonts w:ascii="Arial" w:cs="Arial" w:eastAsia="Arial" w:hAnsi="Arial"/>
          <w:sz w:val="16"/>
          <w:szCs w:val="16"/>
          <w:color w:val="auto"/>
        </w:rPr>
        <w:t>”). Awards to Eligible</w:t>
      </w:r>
    </w:p>
    <w:p>
      <w:pPr>
        <w:spacing w:after="0" w:line="1" w:lineRule="exact"/>
        <w:rPr>
          <w:sz w:val="20"/>
          <w:szCs w:val="20"/>
          <w:color w:val="auto"/>
        </w:rPr>
      </w:pPr>
    </w:p>
    <w:p>
      <w:pPr>
        <w:ind w:left="973" w:right="20"/>
        <w:spacing w:after="0" w:line="250" w:lineRule="auto"/>
        <w:rPr>
          <w:sz w:val="20"/>
          <w:szCs w:val="20"/>
          <w:color w:val="auto"/>
        </w:rPr>
      </w:pPr>
      <w:r>
        <w:rPr>
          <w:rFonts w:ascii="Arial" w:cs="Arial" w:eastAsia="Arial" w:hAnsi="Arial"/>
          <w:sz w:val="18"/>
          <w:szCs w:val="18"/>
          <w:color w:val="auto"/>
        </w:rPr>
        <w:t>102 Grantees in Israel shall be 102 Awards. Eligible 102 Grantees may receive only 102 Awards, which may either be grants to a Trustee or grants under Section 102 without a trustee. Unless otherwise permitted by the Ordinance and the Rules, no 102 Awards to a Trustee may be granted until the expiration of thirty (30) days after the requisite filings under the Ordinance and the Rules have been appropriately made with the ITA.</w:t>
      </w:r>
    </w:p>
    <w:p>
      <w:pPr>
        <w:spacing w:after="0" w:line="101" w:lineRule="exact"/>
        <w:rPr>
          <w:sz w:val="20"/>
          <w:szCs w:val="20"/>
          <w:color w:val="auto"/>
        </w:rPr>
      </w:pPr>
    </w:p>
    <w:p>
      <w:pPr>
        <w:ind w:left="973" w:right="160" w:hanging="534"/>
        <w:spacing w:after="0" w:line="271" w:lineRule="auto"/>
        <w:tabs>
          <w:tab w:leader="none" w:pos="9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Subject to Applicable Law, Non-Employees who are Israeli residents and are not Eligible 102 Grantees may only be granted 3(9) Awards under this Plan.</w:t>
      </w:r>
    </w:p>
    <w:p>
      <w:pPr>
        <w:spacing w:after="0" w:line="318" w:lineRule="exact"/>
        <w:rPr>
          <w:sz w:val="20"/>
          <w:szCs w:val="20"/>
          <w:color w:val="auto"/>
        </w:rPr>
      </w:pPr>
    </w:p>
    <w:p>
      <w:pPr>
        <w:ind w:left="433" w:hanging="433"/>
        <w:spacing w:after="0"/>
        <w:tabs>
          <w:tab w:leader="none" w:pos="433"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284" w:lineRule="auto"/>
        <w:rPr>
          <w:rFonts w:ascii="Arial" w:cs="Arial" w:eastAsia="Arial" w:hAnsi="Arial"/>
          <w:sz w:val="18"/>
          <w:szCs w:val="18"/>
          <w:color w:val="auto"/>
        </w:rPr>
      </w:pPr>
      <w:r>
        <w:rPr>
          <w:rFonts w:ascii="Arial" w:cs="Arial" w:eastAsia="Arial" w:hAnsi="Arial"/>
          <w:sz w:val="16"/>
          <w:szCs w:val="16"/>
          <w:color w:val="auto"/>
        </w:rPr>
        <w:t>8. The number of Shares reserved for the grant of Awards under the Plan shall initially be 2,636 Shares, or such number as may be reserved for such purpose from time to time. The class of said Shares shall be designated by the Board with respect to each Award and the notice of grant shall reflect such designation. Any share underlying an Award granted hereunder which has expired, or was cancelled or terminated or forfeited for any reason without having been exercised, shall be automatically, and without any further action on the part of the Company or any Grantee, returned to the “pool” of reserved Shares hereunder and shall again be available for grant for the purposes of this Plan (unless this Plan shall have been terminated) or unless the Board determines otherwise. The Board may, subject to any other approvals required under any Applicable Law, increase or decrease the number of Shares to be reserved under the Plan. Such Shares may, in whole or in part, be authorized but unissued Shares, or Shares that shall have been or may be reacquired by the Company (to the extent permitted pursuant to the Companies Law) or by a trustee appointed by the Board under the relevant provisions of the Ordinance, the Companies Law or any equivalent provision. Any Shares which are not subject to outstanding options at the termination of the Plan shall cease to be reserved for the purpose of the Plan, but until termination of the Plan, the Company shall at all times reserve a sufficient number of Shares to meet the requirements of the Plan.</w:t>
      </w:r>
    </w:p>
    <w:p>
      <w:pPr>
        <w:spacing w:after="0" w:line="316" w:lineRule="exact"/>
        <w:rPr>
          <w:sz w:val="20"/>
          <w:szCs w:val="20"/>
          <w:color w:val="auto"/>
        </w:rPr>
      </w:pPr>
    </w:p>
    <w:p>
      <w:pPr>
        <w:ind w:left="433" w:hanging="433"/>
        <w:spacing w:after="0"/>
        <w:tabs>
          <w:tab w:leader="none" w:pos="433"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60"/>
        <w:spacing w:after="0" w:line="270" w:lineRule="auto"/>
        <w:rPr>
          <w:rFonts w:ascii="Arial" w:cs="Arial" w:eastAsia="Arial" w:hAnsi="Arial"/>
          <w:sz w:val="18"/>
          <w:szCs w:val="18"/>
          <w:color w:val="auto"/>
        </w:rPr>
      </w:pPr>
      <w:r>
        <w:rPr>
          <w:rFonts w:ascii="Arial" w:cs="Arial" w:eastAsia="Arial" w:hAnsi="Arial"/>
          <w:sz w:val="17"/>
          <w:szCs w:val="17"/>
          <w:color w:val="auto"/>
        </w:rPr>
        <w:t>10. Each Option granted pursuant to the Plan shall be evidenced by a written agreement between the Company and the Grantee or a written notice delivered by the Company and accepted by the Grantee (the “</w:t>
      </w:r>
      <w:r>
        <w:rPr>
          <w:rFonts w:ascii="Arial" w:cs="Arial" w:eastAsia="Arial" w:hAnsi="Arial"/>
          <w:sz w:val="17"/>
          <w:szCs w:val="17"/>
          <w:b w:val="1"/>
          <w:bCs w:val="1"/>
          <w:color w:val="auto"/>
        </w:rPr>
        <w:t>Option Agreement</w:t>
      </w:r>
      <w:r>
        <w:rPr>
          <w:rFonts w:ascii="Arial" w:cs="Arial" w:eastAsia="Arial" w:hAnsi="Arial"/>
          <w:sz w:val="17"/>
          <w:szCs w:val="17"/>
          <w:color w:val="auto"/>
        </w:rPr>
        <w:t>”), in such form and containing such terms and conditions as the Committee shall from time to time approve, which Option Agreement shall comply with and be subject to the following terms and conditions, unless otherwise specifically provided in such Option Agreement or the terms referred to in Sections 15 and 16 below. For purposes of interpreting this Section 9, a director’s service as a member of the Board or the services of an officer, as the case may be, shall be deemed to be employment with the Company or its Subsidiary or Affiliate.</w:t>
      </w:r>
    </w:p>
    <w:p>
      <w:pPr>
        <w:spacing w:after="0" w:line="85"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Each Option Agreement shall state the number of Shares covered by the Option.</w:t>
      </w:r>
    </w:p>
    <w:p>
      <w:pPr>
        <w:sectPr>
          <w:pgSz w:w="11900" w:h="16838" w:orient="portrait"/>
          <w:cols w:equalWidth="0" w:num="1">
            <w:col w:w="10913"/>
          </w:cols>
          <w:pgMar w:left="487" w:top="419" w:right="499" w:bottom="1440" w:gutter="0" w:footer="0" w:header="0"/>
        </w:sectPr>
      </w:pPr>
    </w:p>
    <w:bookmarkStart w:id="356" w:name="page357"/>
    <w:bookmarkEnd w:id="356"/>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-10-</w:t>
      </w:r>
    </w:p>
    <w:p>
      <w:pPr>
        <w:spacing w:after="0" w:line="248" w:lineRule="exact"/>
        <w:rPr>
          <w:sz w:val="20"/>
          <w:szCs w:val="20"/>
          <w:color w:val="auto"/>
        </w:rPr>
      </w:pPr>
    </w:p>
    <w:p>
      <w:pPr>
        <w:ind w:left="540" w:right="600" w:hanging="534"/>
        <w:spacing w:after="0" w:line="335"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Type of Option</w:t>
      </w:r>
      <w:r>
        <w:rPr>
          <w:rFonts w:ascii="Arial" w:cs="Arial" w:eastAsia="Arial" w:hAnsi="Arial"/>
          <w:sz w:val="16"/>
          <w:szCs w:val="16"/>
          <w:color w:val="auto"/>
        </w:rPr>
        <w:t>. Each Option Agreement shall specifically state the type of Option granted thereunder and whether it constitutes an</w:t>
      </w:r>
      <w:r>
        <w:rPr>
          <w:rFonts w:ascii="Arial" w:cs="Arial" w:eastAsia="Arial" w:hAnsi="Arial"/>
          <w:sz w:val="16"/>
          <w:szCs w:val="16"/>
          <w:u w:val="single" w:color="auto"/>
          <w:color w:val="auto"/>
        </w:rPr>
        <w:t xml:space="preserve"> </w:t>
      </w:r>
      <w:r>
        <w:rPr>
          <w:rFonts w:ascii="Arial" w:cs="Arial" w:eastAsia="Arial" w:hAnsi="Arial"/>
          <w:sz w:val="16"/>
          <w:szCs w:val="16"/>
          <w:color w:val="auto"/>
        </w:rPr>
        <w:t>Incentive Stock Option, Nonqualified Stock Option, 102 Option Award and the relevant track, 3(9) Option Award, or otherwise.</w:t>
      </w:r>
    </w:p>
    <w:p>
      <w:pPr>
        <w:spacing w:after="0" w:line="35" w:lineRule="exact"/>
        <w:rPr>
          <w:sz w:val="20"/>
          <w:szCs w:val="20"/>
          <w:color w:val="auto"/>
        </w:rPr>
      </w:pPr>
    </w:p>
    <w:p>
      <w:pPr>
        <w:ind w:left="540" w:right="20" w:hanging="534"/>
        <w:spacing w:after="0" w:line="268" w:lineRule="auto"/>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Exercise Price</w:t>
      </w:r>
      <w:r>
        <w:rPr>
          <w:rFonts w:ascii="Arial" w:cs="Arial" w:eastAsia="Arial" w:hAnsi="Arial"/>
          <w:sz w:val="17"/>
          <w:szCs w:val="17"/>
          <w:color w:val="auto"/>
        </w:rPr>
        <w:t>. Each Option Agreement shall state the Exercise Price, which, in the case of an Incentive Stock Option, shall not be less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than one hundred percent (100%) of the Fair Market Value of the Shares covered by the Option on the date of grant or such other amount as may be required pursuant to the Code. In the case of any other Option, the per share Exercise Price shall be equal to the amount determined by the Committee. In the case of an Incentive Stock Option granted to any Ten-Percent Shareholder, the Exercise Price shall be no less than 110% of the Fair Market Value of the Shares covered by the Option on the date of grant. In no event shall the Exercise Price of an Option be less than the par value of the shares for which such Option is exercisable. Subject to Section 5 and to the foregoing, the Committee may reduce the Exercise Price of any outstanding Option. The Exercise Price shall also be subject to adjustment as provided in Section 22 hereof.</w:t>
      </w:r>
    </w:p>
    <w:p>
      <w:pPr>
        <w:spacing w:after="0" w:line="86" w:lineRule="exact"/>
        <w:rPr>
          <w:sz w:val="20"/>
          <w:szCs w:val="20"/>
          <w:color w:val="auto"/>
        </w:rPr>
      </w:pPr>
    </w:p>
    <w:p>
      <w:pPr>
        <w:ind w:left="540" w:right="20" w:hanging="534"/>
        <w:spacing w:after="0" w:line="266" w:lineRule="auto"/>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Manner of Exercise</w:t>
      </w:r>
      <w:r>
        <w:rPr>
          <w:rFonts w:ascii="Arial" w:cs="Arial" w:eastAsia="Arial" w:hAnsi="Arial"/>
          <w:sz w:val="17"/>
          <w:szCs w:val="17"/>
          <w:color w:val="auto"/>
        </w:rPr>
        <w:t>. An Option may be exercised, as to any or all Shares as to which the Option has become exercisable, by written notice</w:t>
      </w:r>
      <w:r>
        <w:rPr>
          <w:rFonts w:ascii="Arial" w:cs="Arial" w:eastAsia="Arial" w:hAnsi="Arial"/>
          <w:sz w:val="17"/>
          <w:szCs w:val="17"/>
          <w:u w:val="single" w:color="auto"/>
          <w:color w:val="auto"/>
        </w:rPr>
        <w:t xml:space="preserve"> </w:t>
      </w:r>
      <w:r>
        <w:rPr>
          <w:rFonts w:ascii="Arial" w:cs="Arial" w:eastAsia="Arial" w:hAnsi="Arial"/>
          <w:sz w:val="17"/>
          <w:szCs w:val="17"/>
          <w:color w:val="auto"/>
        </w:rPr>
        <w:t>delivered in person or by mail to the Secretary of the Company or to such other person as determined by the Committee, specifying the number of Shares with respect to which the Option is being exercised, accompanied by payment of the Exercise Price for such Shares in the manner specified in the following sentence. The Exercise Price shall be paid in full with respect to each Share, at the time of exercise, either in (i) cash, (ii) if the Company’s shares are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publicly traded,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w:t>
      </w:r>
    </w:p>
    <w:p>
      <w:pPr>
        <w:spacing w:after="0" w:line="91" w:lineRule="exact"/>
        <w:rPr>
          <w:sz w:val="20"/>
          <w:szCs w:val="20"/>
          <w:color w:val="auto"/>
        </w:rPr>
      </w:pPr>
    </w:p>
    <w:p>
      <w:pPr>
        <w:ind w:left="540" w:hanging="534"/>
        <w:spacing w:after="0" w:line="287" w:lineRule="auto"/>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Term and Vesting of Options</w:t>
      </w:r>
      <w:r>
        <w:rPr>
          <w:rFonts w:ascii="Arial" w:cs="Arial" w:eastAsia="Arial" w:hAnsi="Arial"/>
          <w:sz w:val="16"/>
          <w:szCs w:val="16"/>
          <w:color w:val="auto"/>
        </w:rPr>
        <w:t>. Each Option Agreement shall provide the vesting schedule for the Option as determined by the Committee.</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the extent permitted under Applicable Law, the Committee shall have the authority to determine the vesting schedule and accelerate the vesting of any outstanding Option at such time and under such circumstances as it, in its sole discretion, deems appropriate. Unless otherwise resolved by the Committee and stated in the Option Agreement, and subject to Sections 10.6 and 10.7 hereof, Options shall vest and become exercisable under the following schedule: twenty-five percent (25%) of the Shares covered by the Option, on the first anniversary of the date on which such Option is granted, provided that the Grantee remains continuously employed by or in the service of the Company or its Subsidiary or Affiliate for that one year, and six and one-quarter percent (6.25%) of the Shares covered by the Option at the end of each subsequent quarter, provided that the Grantee remains continuously employed by or in the service of the Company or its</w:t>
      </w:r>
    </w:p>
    <w:p>
      <w:pPr>
        <w:sectPr>
          <w:pgSz w:w="11900" w:h="16838" w:orient="portrait"/>
          <w:cols w:equalWidth="0" w:num="1">
            <w:col w:w="10480"/>
          </w:cols>
          <w:pgMar w:left="920" w:top="419" w:right="499" w:bottom="1440" w:gutter="0" w:footer="0" w:header="0"/>
        </w:sectPr>
      </w:pPr>
    </w:p>
    <w:bookmarkStart w:id="357" w:name="page358"/>
    <w:bookmarkEnd w:id="357"/>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-11-</w:t>
      </w:r>
    </w:p>
    <w:p>
      <w:pPr>
        <w:spacing w:after="0" w:line="24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Subsidiary or Affiliate for that quarter, over the course of the following three (3) years of continued employment by or service for the Company or its Subsidiary or Affiliate. The Option Agreement may contain performance goals and measurements, and the provisions with respect to any Option need not be the same as the provisions with respect to any other Option. The Exercise Period of an Option will be seven (7) years from the date of grant of the Option unless otherwise determined by the Committee, but subject to the vesting provisions described above and the early termination provisions set forth in Sections 10.6 and 10.7 hereof; provided, however, that in the case of an Incentive Stock Option granted to a Ten Percent Shareholder, such Exercise Period shall not exceed five (5) years from the date of grant of such Option. At the expiration of the Exercise Period, all unexercised Options shall become null and void.</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27" w:lineRule="exact"/>
        <w:rPr>
          <w:sz w:val="20"/>
          <w:szCs w:val="20"/>
          <w:color w:val="auto"/>
        </w:rPr>
      </w:pPr>
    </w:p>
    <w:p>
      <w:pPr>
        <w:ind w:left="1300" w:hanging="641"/>
        <w:spacing w:after="0" w:line="280" w:lineRule="auto"/>
        <w:tabs>
          <w:tab w:leader="none" w:pos="128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Except as provided in this Section 10.6 and in Section 10.7 hereof, an Option may not be exercised unless the Grantee is then in the employ of or maintaining a director, officer, consultant, advisor or supplier relationship with the Company or a Subsidiary or Affiliate thereof or, in the case of an Incentive Stock Option, a company or a parent or subsidiary company of such company issuing or assuming the Option in a transaction to which Section 424(a) of the Code applies, and unless the Grantee has remained continuously so employed or in the director, officer, supplier, consultant, or advisor relationship since the date of grant of the Option. In the event that the employment or director, officer or consultant, advisor or supplier relationship of a Grantee shall terminate (other than by reason of death, Disability or Retirement), all Options of such Grantee that are unvested shall not vest and shall not become exercisable and the Grantee shall have no claim against the Company and/or its affiliate that Grantee’s Options were prevented from continuing to vest as of such termination, and the Options that are vested and exercisable at the time of such termination may, unless earlier terminated in accordance with their terms, be exercised within up to ninety</w:t>
      </w:r>
    </w:p>
    <w:p>
      <w:pPr>
        <w:spacing w:after="0" w:line="6" w:lineRule="exact"/>
        <w:rPr>
          <w:sz w:val="20"/>
          <w:szCs w:val="20"/>
          <w:color w:val="auto"/>
        </w:rPr>
      </w:pPr>
    </w:p>
    <w:p>
      <w:pPr>
        <w:ind w:left="1300" w:right="100" w:hanging="7"/>
        <w:spacing w:after="0" w:line="266" w:lineRule="auto"/>
        <w:tabs>
          <w:tab w:leader="none" w:pos="164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days after the date of such termination (or such different period as the Committee shall prescribe); provided, however, that if the Company (or the Subsidiary or Affiliate, when applicable) shall terminate the Grantee’s employment or service for Cause (as defined below) or if, whether or not the Grantee’s employment is terminated by either party, circumstances arise or are discovered with respect to the Grantee that would have constituted Cause for termination of his or her employment or service, all Options theretofore granted to such Grantee (whether vested or not) shall, to the extent not theretofore exercised, terminate on the date of such termination (or on which such circumstance arise or are discovered, as the case may be) unless otherwise determined by the Committee.</w:t>
      </w:r>
    </w:p>
    <w:p>
      <w:pPr>
        <w:spacing w:after="0" w:line="89" w:lineRule="exact"/>
        <w:rPr>
          <w:sz w:val="20"/>
          <w:szCs w:val="20"/>
          <w:color w:val="auto"/>
        </w:rPr>
      </w:pPr>
    </w:p>
    <w:p>
      <w:pPr>
        <w:ind w:left="1300" w:right="80" w:hanging="641"/>
        <w:spacing w:after="0" w:line="275" w:lineRule="auto"/>
        <w:tabs>
          <w:tab w:leader="none" w:pos="128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7"/>
          <w:szCs w:val="17"/>
          <w:color w:val="auto"/>
        </w:rPr>
        <w:t>In the case of a Grantee whose principal employer is a Subsidiary or Affiliate, the Grantee’s employment shall also be deemed terminated for purposes of this Section 10.6 as of the date on which such principal employer ceases to be a Subsidiary or Affiliate. Notwithstanding anything to the contrary, the Committee, in its absolute discretion may, on such terms and conditions as it may determine appropriate, extend the periods for which the Options held by</w:t>
      </w:r>
    </w:p>
    <w:p>
      <w:pPr>
        <w:sectPr>
          <w:pgSz w:w="11900" w:h="16838" w:orient="portrait"/>
          <w:cols w:equalWidth="0" w:num="1">
            <w:col w:w="10480"/>
          </w:cols>
          <w:pgMar w:left="920" w:top="419" w:right="499" w:bottom="1440" w:gutter="0" w:footer="0" w:header="0"/>
        </w:sectPr>
      </w:pPr>
    </w:p>
    <w:bookmarkStart w:id="358" w:name="page359"/>
    <w:bookmarkEnd w:id="358"/>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w:t>
      </w:r>
    </w:p>
    <w:p>
      <w:pPr>
        <w:spacing w:after="0" w:line="248" w:lineRule="exact"/>
        <w:rPr>
          <w:sz w:val="20"/>
          <w:szCs w:val="20"/>
          <w:color w:val="auto"/>
        </w:rPr>
      </w:pPr>
    </w:p>
    <w:p>
      <w:pPr>
        <w:ind w:left="1300" w:right="120"/>
        <w:spacing w:after="0" w:line="275" w:lineRule="auto"/>
        <w:rPr>
          <w:sz w:val="20"/>
          <w:szCs w:val="20"/>
          <w:color w:val="auto"/>
        </w:rPr>
      </w:pPr>
      <w:r>
        <w:rPr>
          <w:rFonts w:ascii="Arial" w:cs="Arial" w:eastAsia="Arial" w:hAnsi="Arial"/>
          <w:sz w:val="17"/>
          <w:szCs w:val="17"/>
          <w:color w:val="auto"/>
        </w:rPr>
        <w:t>any individual may continue to vest and be exercisable; provided, that such Options may lose their status as Incentive Stock Options under applicable law and be deemed Nonqualified Stock Options in the event that the period of vesting and/or exercisability of any option is extended beyond the later of: (i) one hundred and eighty (180) days after the date of cessation of employment or performance of services; or (ii) the applicable period under Section 10.7 below.</w:t>
      </w:r>
    </w:p>
    <w:p>
      <w:pPr>
        <w:spacing w:after="0" w:line="76" w:lineRule="exact"/>
        <w:rPr>
          <w:sz w:val="20"/>
          <w:szCs w:val="20"/>
          <w:color w:val="auto"/>
        </w:rPr>
      </w:pPr>
    </w:p>
    <w:p>
      <w:pPr>
        <w:ind w:left="1300" w:hanging="641"/>
        <w:spacing w:after="0" w:line="289" w:lineRule="auto"/>
        <w:tabs>
          <w:tab w:leader="none" w:pos="128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For purposes of this Plan, the term “</w:t>
      </w:r>
      <w:r>
        <w:rPr>
          <w:rFonts w:ascii="Arial" w:cs="Arial" w:eastAsia="Arial" w:hAnsi="Arial"/>
          <w:sz w:val="16"/>
          <w:szCs w:val="16"/>
          <w:b w:val="1"/>
          <w:bCs w:val="1"/>
          <w:color w:val="auto"/>
        </w:rPr>
        <w:t>Cause</w:t>
      </w:r>
      <w:r>
        <w:rPr>
          <w:rFonts w:ascii="Arial" w:cs="Arial" w:eastAsia="Arial" w:hAnsi="Arial"/>
          <w:sz w:val="16"/>
          <w:szCs w:val="16"/>
          <w:color w:val="auto"/>
        </w:rPr>
        <w:t>” shall mean any of the following: (a) fraud, embezzlement or felony or similar act by the Grantee; (b) an act of moral turpitude by the Grantee, or any act that causes significant injury to the reputation, business, assets, operations or business relationship of the Company (or a Subsidiary or Affiliate, when applicable); (c) any material breach by the Grantee of an agreement between the Company or any Subsidiary or Affiliate and the Grantee (including material breach of confidentiality, non- competition or non-solicitation covenants) or of any duty of the Grantee to the Company or any Subsidiary or Affiliate thereof; or (d) any circumstances that constitute grounds for termination for cause under the Grantee’s employment, consulting or service agreement with the Company or Subsidiary or Affiliate, to the extent applicable.</w:t>
      </w:r>
    </w:p>
    <w:p>
      <w:pPr>
        <w:spacing w:after="0" w:line="71" w:lineRule="exact"/>
        <w:rPr>
          <w:sz w:val="20"/>
          <w:szCs w:val="20"/>
          <w:color w:val="auto"/>
        </w:rPr>
      </w:pPr>
    </w:p>
    <w:p>
      <w:pPr>
        <w:ind w:left="540" w:hanging="534"/>
        <w:spacing w:after="0" w:line="265" w:lineRule="auto"/>
        <w:tabs>
          <w:tab w:leader="none" w:pos="5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u w:val="single" w:color="auto"/>
          <w:color w:val="auto"/>
        </w:rPr>
        <w:t>Death, Disability or Retirement of Grantee</w:t>
      </w:r>
      <w:r>
        <w:rPr>
          <w:rFonts w:ascii="Arial" w:cs="Arial" w:eastAsia="Arial" w:hAnsi="Arial"/>
          <w:sz w:val="17"/>
          <w:szCs w:val="17"/>
          <w:color w:val="auto"/>
        </w:rPr>
        <w:t>. If a Grantee shall die while employed by, or performing service for, the Company or a</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Subsidiary, or within the three (3) month period after the date of termination of such Grantee’s employment or service (or within such different period as the Committee may have provided pursuant to Section 10.6 hereof), or if the Grantee’s employment or service shall terminate by reason of Disability, all Options theretofore granted to such Grantee may (to the extent otherwise vested and exercisable and unless earlier terminated in accordance with their terms), be exercised by the Grantee or by the Grantee’s estate or by a person who acquired the right to exercise such Options by bequest or inheritance or otherwise by result of death or Disability of the Grantee, at any time within one (1) year after the death or Disability of the Grantee (or such different period as the Committee shall prescribe).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 In the event that the employment or service of a Grantee shall terminate on account of such Grantee’s Retirement, all Options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96" w:lineRule="exact"/>
        <w:rPr>
          <w:sz w:val="20"/>
          <w:szCs w:val="20"/>
          <w:color w:val="auto"/>
        </w:rPr>
      </w:pPr>
    </w:p>
    <w:p>
      <w:pPr>
        <w:ind w:left="540" w:hanging="534"/>
        <w:spacing w:after="0" w:line="255" w:lineRule="auto"/>
        <w:tabs>
          <w:tab w:leader="none" w:pos="5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Board of Directors or the Committee provides otherwise, vesting of Options granted hereunder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suspended during any unpaid leave of absence, other than in the case of any (a) leave of absence which was pre- approved by the Company for purposes of continuing the vesting of Options, or (b) transfers between locations of the Company or between the Company, any Affiliate, or any respective successor thereof.</w:t>
      </w:r>
    </w:p>
    <w:p>
      <w:pPr>
        <w:sectPr>
          <w:pgSz w:w="11900" w:h="16838" w:orient="portrait"/>
          <w:cols w:equalWidth="0" w:num="1">
            <w:col w:w="10460"/>
          </w:cols>
          <w:pgMar w:left="920" w:top="419" w:right="519" w:bottom="1440" w:gutter="0" w:footer="0" w:header="0"/>
        </w:sectPr>
      </w:pPr>
    </w:p>
    <w:bookmarkStart w:id="359" w:name="page360"/>
    <w:bookmarkEnd w:id="359"/>
    <w:p>
      <w:pPr>
        <w:jc w:val="center"/>
        <w:ind w:right="-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w:t>
      </w:r>
    </w:p>
    <w:p>
      <w:pPr>
        <w:spacing w:after="0" w:line="248" w:lineRule="exact"/>
        <w:rPr>
          <w:sz w:val="20"/>
          <w:szCs w:val="20"/>
          <w:color w:val="auto"/>
        </w:rPr>
      </w:pPr>
    </w:p>
    <w:p>
      <w:pPr>
        <w:ind w:left="973" w:right="60" w:hanging="534"/>
        <w:spacing w:after="0" w:line="331" w:lineRule="auto"/>
        <w:tabs>
          <w:tab w:leader="none" w:pos="95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4"/>
          <w:szCs w:val="14"/>
          <w:u w:val="single" w:color="auto"/>
          <w:color w:val="auto"/>
        </w:rPr>
        <w:t>Voting Proxy</w:t>
      </w:r>
      <w:r>
        <w:rPr>
          <w:rFonts w:ascii="Arial" w:cs="Arial" w:eastAsia="Arial" w:hAnsi="Arial"/>
          <w:sz w:val="14"/>
          <w:szCs w:val="14"/>
          <w:color w:val="auto"/>
        </w:rPr>
        <w:t>. Until immediately after the listing for trading on a stock exchange or market or trading system of the Company’s (or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Successor Corporation’s) shares, the right to vote any Shares acquired under this Plan pursuant to an Award shall, unless otherwise determined by the Committee, be given by the Grantee or the Trustee (if so requested from the Trustee and agreed by the Trustee), as the case may be, pursuant to an irrevocable proxy, to the person or persons designated by the Board. All Awards granted hereunder shall be conditioned upon the execution of such irrevocable proxy. So long as any such Shares are held by a Trustee (and unless a proxy was given by the Trustee as aforesaid), such Shares shall be voted by the Trustee, and unless the Trustee is directed otherwise by the Board, such Shares shall be voted in the same proportion as the result of the shareholder vote at the shareholders meeting or written consent in respect of which the Shares held by the Trustee are being voted. Any irrevocable proxy granted pursuant hereto shall be of no force or effect immediately after the listing for trading on a stock exchange or market or trading system of the Company’s (or the Successor Corporation’s) shares. The provisions of this Section shall apply to the Grantee and to any purchaser, assignee or transferee of any Shares.</w:t>
      </w:r>
    </w:p>
    <w:p>
      <w:pPr>
        <w:spacing w:after="0" w:line="262" w:lineRule="exact"/>
        <w:rPr>
          <w:sz w:val="20"/>
          <w:szCs w:val="20"/>
          <w:color w:val="auto"/>
        </w:rPr>
      </w:pPr>
    </w:p>
    <w:p>
      <w:pPr>
        <w:ind w:left="973" w:right="20" w:hanging="534"/>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Option Agreement evidencing Awards under the Plan shall contain such other terms and conditions not inconsistent with the Plan as the Committee may determine, at or after the date of grant, including without limitation, provisions in connection with the restrictions on transferring the Awards, which shall be binding upon the Grantees and other terms and conditions as the Committee shall deem appropriate.</w:t>
      </w:r>
    </w:p>
    <w:p>
      <w:pPr>
        <w:spacing w:after="0" w:line="333" w:lineRule="exact"/>
        <w:rPr>
          <w:sz w:val="20"/>
          <w:szCs w:val="20"/>
          <w:color w:val="auto"/>
        </w:rPr>
      </w:pPr>
    </w:p>
    <w:p>
      <w:pPr>
        <w:ind w:left="433" w:hanging="433"/>
        <w:spacing w:after="0"/>
        <w:tabs>
          <w:tab w:leader="none" w:pos="433"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NONQUALIFIED 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33"/>
        <w:spacing w:after="0" w:line="259" w:lineRule="auto"/>
        <w:rPr>
          <w:rFonts w:ascii="Arial" w:cs="Arial" w:eastAsia="Arial" w:hAnsi="Arial"/>
          <w:sz w:val="18"/>
          <w:szCs w:val="18"/>
          <w:color w:val="auto"/>
        </w:rPr>
      </w:pPr>
      <w:r>
        <w:rPr>
          <w:rFonts w:ascii="Arial" w:cs="Arial" w:eastAsia="Arial" w:hAnsi="Arial"/>
          <w:sz w:val="18"/>
          <w:szCs w:val="18"/>
          <w:color w:val="auto"/>
        </w:rPr>
        <w:t>12. Options granted pursuant to this Section 11 are intended to constitute Nonqualified Stock Options and shall be subject to the general terms and conditions specified in Section 9 hereof and other provisions of the Plan, except for any provisions of the Plan applying to Options under different tax laws or regulations.</w:t>
      </w:r>
    </w:p>
    <w:p>
      <w:pPr>
        <w:spacing w:after="0" w:line="329" w:lineRule="exact"/>
        <w:rPr>
          <w:sz w:val="20"/>
          <w:szCs w:val="20"/>
          <w:color w:val="auto"/>
        </w:rPr>
      </w:pPr>
    </w:p>
    <w:p>
      <w:pPr>
        <w:ind w:left="433" w:hanging="433"/>
        <w:spacing w:after="0"/>
        <w:tabs>
          <w:tab w:leader="none" w:pos="433"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60"/>
        <w:spacing w:after="0" w:line="259" w:lineRule="auto"/>
        <w:rPr>
          <w:rFonts w:ascii="Arial" w:cs="Arial" w:eastAsia="Arial" w:hAnsi="Arial"/>
          <w:sz w:val="18"/>
          <w:szCs w:val="18"/>
          <w:color w:val="auto"/>
        </w:rPr>
      </w:pPr>
      <w:r>
        <w:rPr>
          <w:rFonts w:ascii="Arial" w:cs="Arial" w:eastAsia="Arial" w:hAnsi="Arial"/>
          <w:sz w:val="18"/>
          <w:szCs w:val="18"/>
          <w:color w:val="auto"/>
        </w:rPr>
        <w:t>14. Options granted pursuant to this Section 13 are intended to constitute Incentive Stock Options and shall be granted subject to the following special terms and conditions, the general terms and conditions specified in Section 9 hereof and other provisions of the Plan, except for any provisions of the Plan applying to Options under different tax laws or regulations:</w:t>
      </w:r>
    </w:p>
    <w:p>
      <w:pPr>
        <w:spacing w:after="0" w:line="92"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Value of Shares</w:t>
      </w:r>
      <w:r>
        <w:rPr>
          <w:rFonts w:ascii="Arial" w:cs="Arial" w:eastAsia="Arial" w:hAnsi="Arial"/>
          <w:sz w:val="16"/>
          <w:szCs w:val="16"/>
          <w:color w:val="auto"/>
        </w:rPr>
        <w:t>. The aggregate Fair Market Value (determined as of the date the Incentive Stock Option is granted) of the Shares with</w:t>
      </w:r>
    </w:p>
    <w:p>
      <w:pPr>
        <w:spacing w:after="0" w:line="20" w:lineRule="exact"/>
        <w:rPr>
          <w:sz w:val="20"/>
          <w:szCs w:val="20"/>
          <w:color w:val="auto"/>
        </w:rPr>
      </w:pPr>
    </w:p>
    <w:p>
      <w:pPr>
        <w:ind w:left="973"/>
        <w:spacing w:after="0"/>
        <w:rPr>
          <w:sz w:val="20"/>
          <w:szCs w:val="20"/>
          <w:color w:val="auto"/>
        </w:rPr>
      </w:pPr>
      <w:r>
        <w:rPr>
          <w:rFonts w:ascii="Arial" w:cs="Arial" w:eastAsia="Arial" w:hAnsi="Arial"/>
          <w:sz w:val="17"/>
          <w:szCs w:val="17"/>
          <w:color w:val="auto"/>
        </w:rPr>
        <w:t>respect to which all Incentive Stock Options granted under this Plan and all other option plans of any Subsidiary or Affiliate become</w:t>
      </w:r>
    </w:p>
    <w:p>
      <w:pPr>
        <w:spacing w:after="0" w:line="19" w:lineRule="exact"/>
        <w:rPr>
          <w:sz w:val="20"/>
          <w:szCs w:val="20"/>
          <w:color w:val="auto"/>
        </w:rPr>
      </w:pPr>
    </w:p>
    <w:p>
      <w:pPr>
        <w:ind w:left="973"/>
        <w:spacing w:after="0"/>
        <w:rPr>
          <w:sz w:val="20"/>
          <w:szCs w:val="20"/>
          <w:color w:val="auto"/>
        </w:rPr>
      </w:pPr>
      <w:r>
        <w:rPr>
          <w:rFonts w:ascii="Arial" w:cs="Arial" w:eastAsia="Arial" w:hAnsi="Arial"/>
          <w:sz w:val="16"/>
          <w:szCs w:val="16"/>
          <w:color w:val="auto"/>
        </w:rPr>
        <w:t>exercisable for the first time by each Grantee during any calendar year shall not exceed one hundred thousand United States dollars</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($100,000) with respect to such Grantee. To the extent that the aggregate Fair Market Value of Shares with respect to which the Incentive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Stock Options are exercisable for the first time by any Grantee during any calendar years exceeds one hundred thousand United States</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dollars ($100,000), such Options shall be treated as Nonqualified Stock Options. The foregoing shall be applied by taking options into</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account in the order in which they were granted, with the Fair Market Value of any Share to be determined at the time of the grant of the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Option. In the event the foregoing results in the portion of an Incentive Stock Option exceeding the one hundred thousand United States</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8"/>
          <w:szCs w:val="18"/>
          <w:color w:val="auto"/>
        </w:rPr>
        <w:t>dollars ($100,000) limitation, only such excess shall be treated as a Nonqualified Stock Option.</w:t>
      </w:r>
    </w:p>
    <w:p>
      <w:pPr>
        <w:sectPr>
          <w:pgSz w:w="11900" w:h="16838" w:orient="portrait"/>
          <w:cols w:equalWidth="0" w:num="1">
            <w:col w:w="10873"/>
          </w:cols>
          <w:pgMar w:left="487" w:top="419" w:right="539" w:bottom="1440" w:gutter="0" w:footer="0" w:header="0"/>
        </w:sectPr>
      </w:pPr>
    </w:p>
    <w:bookmarkStart w:id="360" w:name="page361"/>
    <w:bookmarkEnd w:id="360"/>
    <w:p>
      <w:pPr>
        <w:jc w:val="center"/>
        <w:ind w:righ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-14-</w:t>
      </w:r>
    </w:p>
    <w:p>
      <w:pPr>
        <w:spacing w:after="0" w:line="248" w:lineRule="exact"/>
        <w:rPr>
          <w:sz w:val="20"/>
          <w:szCs w:val="20"/>
          <w:color w:val="auto"/>
        </w:rPr>
      </w:pPr>
    </w:p>
    <w:p>
      <w:pPr>
        <w:jc w:val="both"/>
        <w:ind w:left="973" w:right="80" w:hanging="534"/>
        <w:spacing w:after="0" w:line="307" w:lineRule="auto"/>
        <w:tabs>
          <w:tab w:leader="none" w:pos="95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In the case of an Incentive Stock Option granted to a Ten Percent Shareholder, (i) the Exercise Price shall not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less than one hundred and ten percent (110%) of the Fair Market Value of the Shares on the date of grant of such Incentive Stock Option, and (ii) the Exercise Period shall not exceed five (5) years from the date of grant of such Incentive Stock Option.</w:t>
      </w:r>
    </w:p>
    <w:p>
      <w:pPr>
        <w:spacing w:after="0" w:line="52" w:lineRule="exact"/>
        <w:rPr>
          <w:sz w:val="20"/>
          <w:szCs w:val="20"/>
          <w:color w:val="auto"/>
        </w:rPr>
      </w:pPr>
    </w:p>
    <w:p>
      <w:pPr>
        <w:ind w:left="973" w:right="320" w:hanging="534"/>
        <w:spacing w:after="0" w:line="257" w:lineRule="auto"/>
        <w:tabs>
          <w:tab w:leader="none" w:pos="95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u w:val="single" w:color="auto"/>
          <w:color w:val="auto"/>
        </w:rPr>
        <w:t>Incentive Stock Option Lock-Up Period</w:t>
      </w:r>
      <w:r>
        <w:rPr>
          <w:rFonts w:ascii="Arial" w:cs="Arial" w:eastAsia="Arial" w:hAnsi="Arial"/>
          <w:sz w:val="18"/>
          <w:szCs w:val="18"/>
          <w:color w:val="auto"/>
        </w:rPr>
        <w:t>. No disposition of Shares received pursuant to the exercise of Incentive Stock Options (“</w:t>
      </w:r>
      <w:r>
        <w:rPr>
          <w:rFonts w:ascii="Arial" w:cs="Arial" w:eastAsia="Arial" w:hAnsi="Arial"/>
          <w:sz w:val="18"/>
          <w:szCs w:val="18"/>
          <w:b w:val="1"/>
          <w:bCs w:val="1"/>
          <w:color w:val="auto"/>
        </w:rPr>
        <w:t>ISO</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shall be made by the Grantee within 2 years from the date of grant, nor within 1 year after the transfer of such ISO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him. To the extent that the Grantee violates the aforementioned limitations, the Incentive Stock Options shall be deemed to be Nonqualified Stock Options.</w:t>
      </w:r>
    </w:p>
    <w:p>
      <w:pPr>
        <w:spacing w:after="0" w:line="94" w:lineRule="exact"/>
        <w:rPr>
          <w:sz w:val="20"/>
          <w:szCs w:val="20"/>
          <w:color w:val="auto"/>
        </w:rPr>
      </w:pPr>
    </w:p>
    <w:p>
      <w:pPr>
        <w:ind w:left="973" w:right="500" w:hanging="534"/>
        <w:spacing w:after="0" w:line="271" w:lineRule="auto"/>
        <w:tabs>
          <w:tab w:leader="none" w:pos="95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u w:val="single" w:color="auto"/>
          <w:color w:val="auto"/>
        </w:rPr>
        <w:t>Approval</w:t>
      </w:r>
      <w:r>
        <w:rPr>
          <w:rFonts w:ascii="Arial" w:cs="Arial" w:eastAsia="Arial" w:hAnsi="Arial"/>
          <w:sz w:val="18"/>
          <w:szCs w:val="18"/>
          <w:color w:val="auto"/>
        </w:rPr>
        <w:t>. The status of any ISO Shares shall be subject to approval of the Plan by the Company’s shareholders, such approval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12 months before or after the date of adoption of the Plan by the Board of Directors.</w:t>
      </w:r>
    </w:p>
    <w:p>
      <w:pPr>
        <w:spacing w:after="0" w:line="81" w:lineRule="exact"/>
        <w:rPr>
          <w:sz w:val="20"/>
          <w:szCs w:val="20"/>
          <w:color w:val="auto"/>
        </w:rPr>
      </w:pPr>
    </w:p>
    <w:p>
      <w:pPr>
        <w:ind w:left="973" w:right="40" w:hanging="534"/>
        <w:spacing w:after="0" w:line="275" w:lineRule="auto"/>
        <w:tabs>
          <w:tab w:leader="none" w:pos="952"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u w:val="single" w:color="auto"/>
          <w:color w:val="auto"/>
        </w:rPr>
        <w:t>Exercise Following Termination</w:t>
      </w:r>
      <w:r>
        <w:rPr>
          <w:rFonts w:ascii="Arial" w:cs="Arial" w:eastAsia="Arial" w:hAnsi="Arial"/>
          <w:sz w:val="17"/>
          <w:szCs w:val="17"/>
          <w:color w:val="auto"/>
        </w:rPr>
        <w:t>. Notwithstanding anything else in this Plan to the contrary, Incentive Stock Options that are not exercised</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within ninety (90) days following termination of Grantee’s employment in the Company or its Affiliates and Subsidiaries, or within one year in case of termination of Grantee’s employment in the Company or its Affiliates and Subsidiaries due to a disability (within the meaning of section 22(e)(3) of the Code), shall be deemed to be Nonqualified Stock Options.</w:t>
      </w:r>
    </w:p>
    <w:p>
      <w:pPr>
        <w:spacing w:after="0" w:line="80" w:lineRule="exact"/>
        <w:rPr>
          <w:sz w:val="20"/>
          <w:szCs w:val="20"/>
          <w:color w:val="auto"/>
        </w:rPr>
      </w:pPr>
    </w:p>
    <w:p>
      <w:pPr>
        <w:ind w:left="973" w:right="160" w:hanging="534"/>
        <w:spacing w:after="0" w:line="272" w:lineRule="auto"/>
        <w:tabs>
          <w:tab w:leader="none" w:pos="952"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u w:val="single" w:color="auto"/>
          <w:color w:val="auto"/>
        </w:rPr>
        <w:t>Adjustments to Incentive Stock Options</w:t>
      </w:r>
      <w:r>
        <w:rPr>
          <w:rFonts w:ascii="Arial" w:cs="Arial" w:eastAsia="Arial" w:hAnsi="Arial"/>
          <w:sz w:val="17"/>
          <w:szCs w:val="17"/>
          <w:color w:val="auto"/>
        </w:rPr>
        <w:t>. Any Option Agreement providing for the grant of Incentive Stock Options shall indicate that</w:t>
      </w:r>
      <w:r>
        <w:rPr>
          <w:rFonts w:ascii="Arial" w:cs="Arial" w:eastAsia="Arial" w:hAnsi="Arial"/>
          <w:sz w:val="17"/>
          <w:szCs w:val="17"/>
          <w:u w:val="single" w:color="auto"/>
          <w:color w:val="auto"/>
        </w:rPr>
        <w:t xml:space="preserve"> </w:t>
      </w:r>
      <w:r>
        <w:rPr>
          <w:rFonts w:ascii="Arial" w:cs="Arial" w:eastAsia="Arial" w:hAnsi="Arial"/>
          <w:sz w:val="17"/>
          <w:szCs w:val="17"/>
          <w:color w:val="auto"/>
        </w:rPr>
        <w:t>adjustments made pursuant to the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83" w:lineRule="exact"/>
        <w:rPr>
          <w:sz w:val="20"/>
          <w:szCs w:val="20"/>
          <w:color w:val="auto"/>
        </w:rPr>
      </w:pPr>
    </w:p>
    <w:p>
      <w:pPr>
        <w:ind w:left="973" w:hanging="534"/>
        <w:spacing w:after="0" w:line="252" w:lineRule="auto"/>
        <w:tabs>
          <w:tab w:leader="none" w:pos="952"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 Each Grantee who receives an Incentive Stock Option must agree to notify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writing immediately after the Grantee makes a Disqualifying Disposition of any ISO Shares. A “Disqualifying Disposition” is any disposition (including any sale) of such ISO Shares before the later of (i) two years after the date the Grantee was granted the Incentive Stock Option, or (ii) one year after the date the Grantee acquired Shares by exercising the Incentive Stock Option. If the Grantee dies before such ISO Shares are sold, these holding period requirements do not apply and no disposition of the ISO Shares will be deemed a Disqualifying Disposition.</w:t>
      </w:r>
    </w:p>
    <w:p>
      <w:pPr>
        <w:spacing w:after="0" w:line="337" w:lineRule="exact"/>
        <w:rPr>
          <w:sz w:val="20"/>
          <w:szCs w:val="20"/>
          <w:color w:val="auto"/>
        </w:rPr>
      </w:pPr>
    </w:p>
    <w:p>
      <w:pPr>
        <w:ind w:left="433" w:hanging="433"/>
        <w:spacing w:after="0"/>
        <w:tabs>
          <w:tab w:leader="none" w:pos="433"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102 OPTION AWARDS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7"/>
          <w:szCs w:val="17"/>
          <w:color w:val="auto"/>
        </w:rPr>
        <w:t>15.1.  Options granted pursuant to this Section 15 are intended to be granted pursuant to Section 102 of the Ordinance pursuant to either</w:t>
      </w:r>
    </w:p>
    <w:p>
      <w:pPr>
        <w:spacing w:after="0" w:line="31" w:lineRule="exact"/>
        <w:rPr>
          <w:rFonts w:ascii="Arial" w:cs="Arial" w:eastAsia="Arial" w:hAnsi="Arial"/>
          <w:sz w:val="18"/>
          <w:szCs w:val="18"/>
          <w:color w:val="auto"/>
        </w:rPr>
      </w:pPr>
    </w:p>
    <w:p>
      <w:pPr>
        <w:ind w:left="973" w:right="80" w:hanging="10"/>
        <w:spacing w:after="0" w:line="250" w:lineRule="auto"/>
        <w:tabs>
          <w:tab w:leader="none" w:pos="1215"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Section 102(b)(2) thereof as capital gains track options (“</w:t>
      </w:r>
      <w:r>
        <w:rPr>
          <w:rFonts w:ascii="Arial" w:cs="Arial" w:eastAsia="Arial" w:hAnsi="Arial"/>
          <w:sz w:val="18"/>
          <w:szCs w:val="18"/>
          <w:b w:val="1"/>
          <w:bCs w:val="1"/>
          <w:color w:val="auto"/>
        </w:rPr>
        <w:t>102 Capital Gains Track Options</w:t>
      </w:r>
      <w:r>
        <w:rPr>
          <w:rFonts w:ascii="Arial" w:cs="Arial" w:eastAsia="Arial" w:hAnsi="Arial"/>
          <w:sz w:val="18"/>
          <w:szCs w:val="18"/>
          <w:color w:val="auto"/>
        </w:rPr>
        <w:t>”), or (b) Section 102(b)(1) thereof as ordinary income track options (“</w:t>
      </w:r>
      <w:r>
        <w:rPr>
          <w:rFonts w:ascii="Arial" w:cs="Arial" w:eastAsia="Arial" w:hAnsi="Arial"/>
          <w:sz w:val="18"/>
          <w:szCs w:val="18"/>
          <w:b w:val="1"/>
          <w:bCs w:val="1"/>
          <w:color w:val="auto"/>
        </w:rPr>
        <w:t>102 Ordinary Income Track Options</w:t>
      </w:r>
      <w:r>
        <w:rPr>
          <w:rFonts w:ascii="Arial" w:cs="Arial" w:eastAsia="Arial" w:hAnsi="Arial"/>
          <w:sz w:val="18"/>
          <w:szCs w:val="18"/>
          <w:color w:val="auto"/>
        </w:rPr>
        <w:t>”; together with 102 Capital Gains Track Options, “</w:t>
      </w:r>
      <w:r>
        <w:rPr>
          <w:rFonts w:ascii="Arial" w:cs="Arial" w:eastAsia="Arial" w:hAnsi="Arial"/>
          <w:sz w:val="18"/>
          <w:szCs w:val="18"/>
          <w:b w:val="1"/>
          <w:bCs w:val="1"/>
          <w:color w:val="auto"/>
        </w:rPr>
        <w:t>102 Trustee</w:t>
      </w:r>
      <w:r>
        <w:rPr>
          <w:rFonts w:ascii="Arial" w:cs="Arial" w:eastAsia="Arial" w:hAnsi="Arial"/>
          <w:sz w:val="18"/>
          <w:szCs w:val="18"/>
          <w:color w:val="auto"/>
        </w:rPr>
        <w:t xml:space="preserve"> </w:t>
      </w:r>
      <w:r>
        <w:rPr>
          <w:rFonts w:ascii="Arial" w:cs="Arial" w:eastAsia="Arial" w:hAnsi="Arial"/>
          <w:sz w:val="18"/>
          <w:szCs w:val="18"/>
          <w:b w:val="1"/>
          <w:bCs w:val="1"/>
          <w:color w:val="auto"/>
        </w:rPr>
        <w:t>Options</w:t>
      </w:r>
      <w:r>
        <w:rPr>
          <w:rFonts w:ascii="Arial" w:cs="Arial" w:eastAsia="Arial" w:hAnsi="Arial"/>
          <w:sz w:val="18"/>
          <w:szCs w:val="18"/>
          <w:color w:val="auto"/>
        </w:rPr>
        <w:t>”). 102 Trustee Options shall be granted subject to the following special terms and conditions contained in this Section 15,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terms and conditions specified in Section 9 hereof and other provisions of the Plan, except for any provisions of the Plan applying to Options under different tax laws or regulations.</w:t>
      </w:r>
    </w:p>
    <w:p>
      <w:pPr>
        <w:sectPr>
          <w:pgSz w:w="11900" w:h="16838" w:orient="portrait"/>
          <w:cols w:equalWidth="0" w:num="1">
            <w:col w:w="10873"/>
          </w:cols>
          <w:pgMar w:left="487" w:top="419" w:right="539" w:bottom="1440" w:gutter="0" w:footer="0" w:header="0"/>
        </w:sectPr>
      </w:pPr>
    </w:p>
    <w:bookmarkStart w:id="361" w:name="page362"/>
    <w:bookmarkEnd w:id="361"/>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-15-</w:t>
      </w:r>
    </w:p>
    <w:p>
      <w:pPr>
        <w:spacing w:after="0" w:line="248" w:lineRule="exact"/>
        <w:rPr>
          <w:sz w:val="20"/>
          <w:szCs w:val="20"/>
          <w:color w:val="auto"/>
        </w:rPr>
      </w:pPr>
    </w:p>
    <w:p>
      <w:pPr>
        <w:ind w:left="540" w:right="80" w:hanging="534"/>
        <w:spacing w:after="0" w:line="269" w:lineRule="auto"/>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The Company may grant only one type of 102 Trustee Option at any given time to all Grantees who are to be granted 102 Trustee Options pursuant to this Plan, and shall file an election with the ITA regarding the type of 102 Trustee Option it elects to grant before the date of grant of any 102 Trustee Options (the “</w:t>
      </w:r>
      <w:r>
        <w:rPr>
          <w:rFonts w:ascii="Arial" w:cs="Arial" w:eastAsia="Arial" w:hAnsi="Arial"/>
          <w:sz w:val="17"/>
          <w:szCs w:val="17"/>
          <w:b w:val="1"/>
          <w:bCs w:val="1"/>
          <w:color w:val="auto"/>
        </w:rPr>
        <w:t>Election</w:t>
      </w:r>
      <w:r>
        <w:rPr>
          <w:rFonts w:ascii="Arial" w:cs="Arial" w:eastAsia="Arial" w:hAnsi="Arial"/>
          <w:sz w:val="17"/>
          <w:szCs w:val="17"/>
          <w:color w:val="auto"/>
        </w:rPr>
        <w:t>”). Such Election shall also apply to any bonus shares received by any Grantee as a result of holding the 102 Trustee Options. The Company may change the type of 102 Trustee Option that it elects to grant only after the passage of at least 12 months from the end of the year in which the first grant was made in accordance with the previous Election, or as otherwise provided by Applicable Law. Any Election shall not prevent the Company from granting Options, pursuant to Section 102(c) of the Ordinance without a Trustee (“</w:t>
      </w:r>
      <w:r>
        <w:rPr>
          <w:rFonts w:ascii="Arial" w:cs="Arial" w:eastAsia="Arial" w:hAnsi="Arial"/>
          <w:sz w:val="17"/>
          <w:szCs w:val="17"/>
          <w:b w:val="1"/>
          <w:bCs w:val="1"/>
          <w:color w:val="auto"/>
        </w:rPr>
        <w:t>102 Non- Trustee Options</w:t>
      </w:r>
      <w:r>
        <w:rPr>
          <w:rFonts w:ascii="Arial" w:cs="Arial" w:eastAsia="Arial" w:hAnsi="Arial"/>
          <w:sz w:val="17"/>
          <w:szCs w:val="17"/>
          <w:color w:val="auto"/>
        </w:rPr>
        <w:t>”).</w:t>
      </w:r>
    </w:p>
    <w:p>
      <w:pPr>
        <w:spacing w:after="0" w:line="85" w:lineRule="exact"/>
        <w:rPr>
          <w:sz w:val="20"/>
          <w:szCs w:val="20"/>
          <w:color w:val="auto"/>
        </w:rPr>
      </w:pPr>
    </w:p>
    <w:p>
      <w:pPr>
        <w:jc w:val="both"/>
        <w:ind w:left="540" w:right="80" w:hanging="534"/>
        <w:spacing w:after="0" w:line="259" w:lineRule="auto"/>
        <w:tabs>
          <w:tab w:leader="none" w:pos="520" w:val="left"/>
        </w:tabs>
        <w:rPr>
          <w:sz w:val="20"/>
          <w:szCs w:val="20"/>
          <w:color w:val="auto"/>
        </w:rPr>
      </w:pPr>
      <w:r>
        <w:rPr>
          <w:rFonts w:ascii="Arial" w:cs="Arial" w:eastAsia="Arial" w:hAnsi="Arial"/>
          <w:sz w:val="18"/>
          <w:szCs w:val="18"/>
          <w:color w:val="auto"/>
        </w:rPr>
        <w:t>15.3.</w:t>
        <w:tab/>
        <w:t>Each 102 Trustee Option will be deemed granted on the date stated in a written notice to be provided by the Company, provided that on or before such date (i) the Company has provided such notice to the Trustee and (ii) the Grantee has signed all documents required pursuant to Applicable Law and under the Plan.</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4"/>
          <w:szCs w:val="14"/>
          <w:color w:val="auto"/>
        </w:rPr>
        <w:t>Each 102 Trustee Option, each Share issued pursuant to the exercise of any 102 Trustee Option, and any rights granted thereunder,</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including, without limitation, bonus shares, shall be allotted and issued to and registered in the name of the Trustee and shall be held in</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trust for the benefit of the Grantee for a period of not less than the requisite period prescribed by the Ordinance and the Rules (the</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Holding Period</w:t>
      </w:r>
      <w:r>
        <w:rPr>
          <w:rFonts w:ascii="Arial" w:cs="Arial" w:eastAsia="Arial" w:hAnsi="Arial"/>
          <w:sz w:val="16"/>
          <w:szCs w:val="16"/>
          <w:color w:val="auto"/>
        </w:rPr>
        <w:t>”). In the event that the requirements under Section 102 to qualify an Option as a 102 Trustee Option are not</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met, then the Option may be treated as a 102 Non-Trustee Option, all in accordance with the provisions of Section 102 and the Rules. After</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termination of the Required Holding Period, the Trustee may release such 102 Trustee Option and any such Shares, provided that (i) the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Trustee has received an acknowledgment from the ITA that the Grantee has paid any applicable taxes due pursuant to the Ordinance or</w:t>
      </w:r>
    </w:p>
    <w:p>
      <w:pPr>
        <w:spacing w:after="0" w:line="30" w:lineRule="exact"/>
        <w:rPr>
          <w:sz w:val="20"/>
          <w:szCs w:val="20"/>
          <w:color w:val="auto"/>
        </w:rPr>
      </w:pPr>
    </w:p>
    <w:p>
      <w:pPr>
        <w:ind w:left="540" w:right="100" w:hanging="10"/>
        <w:spacing w:after="0" w:line="250" w:lineRule="auto"/>
        <w:tabs>
          <w:tab w:leader="none" w:pos="80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Trustee and/or the Company and/or its Affiliate withholds any applicable taxes due pursuant to the Ordinance arising from the 102 Trustee Options and/or any Shares allotted or issued upon exercise of such 102 Trustee Options. The Trustee shall not release any 102 Trustee Options or Shares issued upon exercise thereof prior to the payment in full of the Grantee’s tax liabilities arising from such 102 Trustee Options and/or Shares or the withholding referred to in (ii) above.</w:t>
      </w:r>
    </w:p>
    <w:p>
      <w:pPr>
        <w:spacing w:after="0" w:line="101" w:lineRule="exact"/>
        <w:rPr>
          <w:sz w:val="20"/>
          <w:szCs w:val="20"/>
          <w:color w:val="auto"/>
        </w:rPr>
      </w:pPr>
    </w:p>
    <w:p>
      <w:pPr>
        <w:ind w:left="540" w:right="80" w:hanging="534"/>
        <w:spacing w:after="0" w:line="251" w:lineRule="auto"/>
        <w:tabs>
          <w:tab w:leader="none" w:pos="520" w:val="left"/>
        </w:tabs>
        <w:rPr>
          <w:sz w:val="20"/>
          <w:szCs w:val="20"/>
          <w:color w:val="auto"/>
        </w:rPr>
      </w:pPr>
      <w:r>
        <w:rPr>
          <w:rFonts w:ascii="Arial" w:cs="Arial" w:eastAsia="Arial" w:hAnsi="Arial"/>
          <w:sz w:val="18"/>
          <w:szCs w:val="18"/>
          <w:color w:val="auto"/>
        </w:rPr>
        <w:t>15.5.</w:t>
        <w:tab/>
        <w:t>Each 102 Trustee Option shall be subject to the relevant terms of the Ordinance and the Rules, which shall be deemed an integral part of the 102 Trustee Option and shall prevail over any term contained in the Plan or Option Agreement which is not consistent therewith. Any provision of the Ordinance, the Rules and any approvals by the Income Tax Commissioner not expressly specified in this Plan or Option Agreement which, as determined by the Committee, are necessary to receive or maintain any tax benefit pursuant to Section 102 shall be binding on the Grantee. The Grantee granted a 102 Trustee Option shall comply with the Ordinance and the terms and conditions of the Trust Agreement entered into between the Company and the Trustee. The Grantee agrees to execute any and all documents, which the Company and/or its Affiliates and/or the Trustee may reasonably determine to be necessary in order to comply with the Ordinance and the Rules.</w:t>
      </w:r>
    </w:p>
    <w:p>
      <w:pPr>
        <w:sectPr>
          <w:pgSz w:w="11900" w:h="16838" w:orient="portrait"/>
          <w:cols w:equalWidth="0" w:num="1">
            <w:col w:w="10460"/>
          </w:cols>
          <w:pgMar w:left="920" w:top="419" w:right="519" w:bottom="1440" w:gutter="0" w:footer="0" w:header="0"/>
        </w:sectPr>
      </w:pPr>
    </w:p>
    <w:bookmarkStart w:id="362" w:name="page363"/>
    <w:bookmarkEnd w:id="362"/>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-16-</w:t>
      </w:r>
    </w:p>
    <w:p>
      <w:pPr>
        <w:spacing w:after="0" w:line="248" w:lineRule="exact"/>
        <w:rPr>
          <w:sz w:val="20"/>
          <w:szCs w:val="20"/>
          <w:color w:val="auto"/>
        </w:rPr>
      </w:pPr>
    </w:p>
    <w:p>
      <w:pPr>
        <w:ind w:left="973" w:hanging="534"/>
        <w:spacing w:after="0" w:line="267" w:lineRule="auto"/>
        <w:tabs>
          <w:tab w:leader="none" w:pos="952"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During the Required Holding Period, the Grantee shall not release from trust or sell, assign, transfer or give as collateral, the Shares issuable upon the exercise of a 102 Trustee Option and/or any securities issued or distributed with respect thereto, until the expiration of the Required Holding Period. Notwithstanding the above, if any such sale or release occurs during the Required Holding Period it will result in adverse tax consequences to the Grantee under Section 102 of the Ordinance and the Rules, which shall apply to and shall be borne solely by such Grantee. Subject to the foregoing, the Trustee may, pursuant to a written request from the Grantee, release and transfer such Shares to a designated third party, provided that both of the following conditions have been fulfilled prior to such release or transfer: (i) payment has been made to the ITA of all taxes required to be paid upon the release and transfer of the Shares, and confirmation of such payment has been received by the Trustee and (ii) the Trustee has received written confirmation from the Company that all requirements for such release and transfer have been fulfilled according to the terms of the Company’s corporate documents, the Plan, the Option Agreement and any Applicable Law.</w:t>
      </w:r>
    </w:p>
    <w:p>
      <w:pPr>
        <w:spacing w:after="0" w:line="86" w:lineRule="exact"/>
        <w:rPr>
          <w:sz w:val="20"/>
          <w:szCs w:val="20"/>
          <w:color w:val="auto"/>
        </w:rPr>
      </w:pPr>
    </w:p>
    <w:p>
      <w:pPr>
        <w:ind w:left="973" w:right="60" w:hanging="534"/>
        <w:spacing w:after="0" w:line="253" w:lineRule="auto"/>
        <w:tabs>
          <w:tab w:leader="none" w:pos="952" w:val="left"/>
        </w:tabs>
        <w:rPr>
          <w:sz w:val="20"/>
          <w:szCs w:val="20"/>
          <w:color w:val="auto"/>
        </w:rPr>
      </w:pPr>
      <w:r>
        <w:rPr>
          <w:rFonts w:ascii="Arial" w:cs="Arial" w:eastAsia="Arial" w:hAnsi="Arial"/>
          <w:sz w:val="18"/>
          <w:szCs w:val="18"/>
          <w:color w:val="auto"/>
        </w:rPr>
        <w:t>15.7.</w:t>
        <w:tab/>
        <w:t>If a 102 Trustee Option is exercised during the Required Holding Period, the Shares issued upon such exercise shall be issued in the name of the Trustee for the benefit of the Grantee. If such 102 Trustee Option is exercised after the expiration of the Required Holding Period, the Shares issued upon such exercise shall, at the election of the Grantee, either (i) be issued in the name of the Trustee, or (ii) be issued to the Grantee, provided that the Grantee first complies with all applicable provisions of the Plan and all taxes with respect thereto shall have been fully paid to the ITA.</w:t>
      </w:r>
    </w:p>
    <w:p>
      <w:pPr>
        <w:spacing w:after="0" w:line="99" w:lineRule="exact"/>
        <w:rPr>
          <w:sz w:val="20"/>
          <w:szCs w:val="20"/>
          <w:color w:val="auto"/>
        </w:rPr>
      </w:pPr>
    </w:p>
    <w:p>
      <w:pPr>
        <w:ind w:left="973" w:hanging="534"/>
        <w:spacing w:after="0" w:line="271" w:lineRule="auto"/>
        <w:tabs>
          <w:tab w:leader="none" w:pos="952" w:val="left"/>
        </w:tabs>
        <w:rPr>
          <w:sz w:val="20"/>
          <w:szCs w:val="20"/>
          <w:color w:val="auto"/>
        </w:rPr>
      </w:pPr>
      <w:r>
        <w:rPr>
          <w:rFonts w:ascii="Arial" w:cs="Arial" w:eastAsia="Arial" w:hAnsi="Arial"/>
          <w:sz w:val="18"/>
          <w:szCs w:val="18"/>
          <w:color w:val="auto"/>
        </w:rPr>
        <w:t>15.8.</w:t>
        <w:tab/>
        <w:t>The foregoing provisions of this Section 15 relating to 102 Trustee Options shall not apply with respect to 102 Non-Trustee Options, which shall, however, be subject to the relevant provisions of Section 102 and the Rules.</w:t>
      </w:r>
    </w:p>
    <w:p>
      <w:pPr>
        <w:spacing w:after="0" w:line="81" w:lineRule="exact"/>
        <w:rPr>
          <w:sz w:val="20"/>
          <w:szCs w:val="20"/>
          <w:color w:val="auto"/>
        </w:rPr>
      </w:pPr>
    </w:p>
    <w:p>
      <w:pPr>
        <w:ind w:left="973" w:right="120" w:hanging="534"/>
        <w:spacing w:after="0" w:line="259" w:lineRule="auto"/>
        <w:tabs>
          <w:tab w:leader="none" w:pos="952" w:val="left"/>
        </w:tabs>
        <w:rPr>
          <w:sz w:val="20"/>
          <w:szCs w:val="20"/>
          <w:color w:val="auto"/>
        </w:rPr>
      </w:pPr>
      <w:r>
        <w:rPr>
          <w:rFonts w:ascii="Arial" w:cs="Arial" w:eastAsia="Arial" w:hAnsi="Arial"/>
          <w:sz w:val="18"/>
          <w:szCs w:val="18"/>
          <w:color w:val="auto"/>
        </w:rPr>
        <w:t>15.9.</w:t>
        <w:tab/>
        <w:t>Upon receipt of a 102 Trustee Option, the Grantee will sign an undertaking to release the Trustee from any liability with respect to any action or decision duly taken and executed in good faith by the Trustee in relation to the Plan, or any 102 Trustee Option or Share granted to such Grantee thereunder.</w:t>
      </w:r>
    </w:p>
    <w:p>
      <w:pPr>
        <w:spacing w:after="0" w:line="329" w:lineRule="exact"/>
        <w:rPr>
          <w:sz w:val="20"/>
          <w:szCs w:val="20"/>
          <w:color w:val="auto"/>
        </w:rPr>
      </w:pPr>
    </w:p>
    <w:p>
      <w:pPr>
        <w:ind w:left="433" w:hanging="433"/>
        <w:spacing w:after="0"/>
        <w:tabs>
          <w:tab w:leader="none" w:pos="433"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3(9) OPTION AWARD</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hanging="535"/>
        <w:spacing w:after="0" w:line="259" w:lineRule="auto"/>
        <w:rPr>
          <w:rFonts w:ascii="Arial" w:cs="Arial" w:eastAsia="Arial" w:hAnsi="Arial"/>
          <w:sz w:val="18"/>
          <w:szCs w:val="18"/>
          <w:color w:val="auto"/>
        </w:rPr>
      </w:pPr>
      <w:r>
        <w:rPr>
          <w:rFonts w:ascii="Arial" w:cs="Arial" w:eastAsia="Arial" w:hAnsi="Arial"/>
          <w:sz w:val="18"/>
          <w:szCs w:val="18"/>
          <w:color w:val="auto"/>
        </w:rPr>
        <w:t>16.1. Options granted pursuant to this Section 16 are intended to constitute a 3(9) Option Award and shall be granted subject to the general terms and conditions specified in Section 9 hereof and other provisions of the Plan, except for any provisions of the Plan applying to Options under different tax laws or regulations.</w:t>
      </w:r>
    </w:p>
    <w:p>
      <w:pPr>
        <w:spacing w:after="0" w:line="92" w:lineRule="exact"/>
        <w:rPr>
          <w:rFonts w:ascii="Arial" w:cs="Arial" w:eastAsia="Arial" w:hAnsi="Arial"/>
          <w:sz w:val="18"/>
          <w:szCs w:val="18"/>
          <w:color w:val="auto"/>
        </w:rPr>
      </w:pPr>
    </w:p>
    <w:p>
      <w:pPr>
        <w:ind w:left="973" w:right="40" w:hanging="535"/>
        <w:spacing w:after="0" w:line="270" w:lineRule="auto"/>
        <w:rPr>
          <w:rFonts w:ascii="Arial" w:cs="Arial" w:eastAsia="Arial" w:hAnsi="Arial"/>
          <w:sz w:val="18"/>
          <w:szCs w:val="18"/>
          <w:color w:val="auto"/>
        </w:rPr>
      </w:pPr>
      <w:r>
        <w:rPr>
          <w:rFonts w:ascii="Arial" w:cs="Arial" w:eastAsia="Arial" w:hAnsi="Arial"/>
          <w:sz w:val="17"/>
          <w:szCs w:val="17"/>
          <w:color w:val="auto"/>
        </w:rPr>
        <w:t>16.2. To the extent required by the Ordinance or the ITA or otherwise deemed by the Committee prudent or advisable, the 3(9) Option Awards granted pursuant to the Plan shall be issued to a Trustee nominated by the Committee in accordance with the provisions of the Ordinance. In such event, the Trustee shall hold such Options in trust, until exercised by the Grantee, pursuant to the Company’s instructions from time to time as set forth in a trust agreement, which will be entered into between the Company and the Trustee. If determined by the Board of Directors or the Committee, and subject to such trust agreement the Trustee shall be responsible for withholding any taxes to which a Grantee may become liable upon the exercise of Options.</w:t>
      </w:r>
    </w:p>
    <w:p>
      <w:pPr>
        <w:sectPr>
          <w:pgSz w:w="11900" w:h="16838" w:orient="portrait"/>
          <w:cols w:equalWidth="0" w:num="1">
            <w:col w:w="10893"/>
          </w:cols>
          <w:pgMar w:left="487" w:top="419" w:right="519" w:bottom="1440" w:gutter="0" w:footer="0" w:header="0"/>
        </w:sectPr>
      </w:pPr>
    </w:p>
    <w:bookmarkStart w:id="363" w:name="page364"/>
    <w:bookmarkEnd w:id="363"/>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-17-</w:t>
      </w:r>
    </w:p>
    <w:p>
      <w:pPr>
        <w:spacing w:after="0" w:line="244" w:lineRule="exact"/>
        <w:rPr>
          <w:sz w:val="20"/>
          <w:szCs w:val="20"/>
          <w:color w:val="auto"/>
        </w:rPr>
      </w:pPr>
    </w:p>
    <w:p>
      <w:pPr>
        <w:ind w:left="433" w:hanging="433"/>
        <w:spacing w:after="0"/>
        <w:tabs>
          <w:tab w:leader="none" w:pos="433"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spacing w:after="0" w:line="255" w:lineRule="auto"/>
        <w:rPr>
          <w:rFonts w:ascii="Arial" w:cs="Arial" w:eastAsia="Arial" w:hAnsi="Arial"/>
          <w:sz w:val="18"/>
          <w:szCs w:val="18"/>
          <w:color w:val="auto"/>
        </w:rPr>
      </w:pPr>
      <w:r>
        <w:rPr>
          <w:rFonts w:ascii="Arial" w:cs="Arial" w:eastAsia="Arial" w:hAnsi="Arial"/>
          <w:sz w:val="18"/>
          <w:szCs w:val="18"/>
          <w:color w:val="auto"/>
        </w:rPr>
        <w:t>18. The Committee may award Restricted Shares to any eligible Grantee, including under Section 102 of the Ordinance. Each Award of Restricted Shares under the Plan shall be evidenced by a written agreement between the Company and the Grantee (the “</w:t>
      </w:r>
      <w:r>
        <w:rPr>
          <w:rFonts w:ascii="Arial" w:cs="Arial" w:eastAsia="Arial" w:hAnsi="Arial"/>
          <w:sz w:val="18"/>
          <w:szCs w:val="18"/>
          <w:b w:val="1"/>
          <w:bCs w:val="1"/>
          <w:color w:val="auto"/>
        </w:rPr>
        <w:t>Restricted Share Agreement</w:t>
      </w:r>
      <w:r>
        <w:rPr>
          <w:rFonts w:ascii="Arial" w:cs="Arial" w:eastAsia="Arial" w:hAnsi="Arial"/>
          <w:sz w:val="18"/>
          <w:szCs w:val="18"/>
          <w:color w:val="auto"/>
        </w:rPr>
        <w:t>”), in such form as the Committee shall from time to time approve. The Restricted Share Agreement shall comply with and be subject to the following terms and conditions, unless otherwise specifically provided in such Agreement:</w:t>
      </w:r>
    </w:p>
    <w:p>
      <w:pPr>
        <w:spacing w:after="0" w:line="97"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4"/>
          <w:szCs w:val="14"/>
          <w:u w:val="single" w:color="auto"/>
          <w:color w:val="auto"/>
        </w:rPr>
        <w:t>Number of Shares</w:t>
      </w:r>
      <w:r>
        <w:rPr>
          <w:rFonts w:ascii="Arial" w:cs="Arial" w:eastAsia="Arial" w:hAnsi="Arial"/>
          <w:sz w:val="14"/>
          <w:szCs w:val="14"/>
          <w:color w:val="auto"/>
        </w:rPr>
        <w:t>. Each Restricted Share Agreement shall state the number of Shares covered by an Award.</w:t>
      </w:r>
    </w:p>
    <w:p>
      <w:pPr>
        <w:spacing w:after="0" w:line="127" w:lineRule="exact"/>
        <w:rPr>
          <w:sz w:val="20"/>
          <w:szCs w:val="20"/>
          <w:color w:val="auto"/>
        </w:rPr>
      </w:pPr>
    </w:p>
    <w:p>
      <w:pPr>
        <w:jc w:val="both"/>
        <w:ind w:left="973" w:right="40" w:hanging="534"/>
        <w:spacing w:after="0" w:line="281" w:lineRule="auto"/>
        <w:tabs>
          <w:tab w:leader="none" w:pos="952"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u w:val="single" w:color="auto"/>
          <w:color w:val="auto"/>
        </w:rPr>
        <w:t>Purchase Price</w:t>
      </w:r>
      <w:r>
        <w:rPr>
          <w:rFonts w:ascii="Arial" w:cs="Arial" w:eastAsia="Arial" w:hAnsi="Arial"/>
          <w:sz w:val="17"/>
          <w:szCs w:val="17"/>
          <w:color w:val="auto"/>
        </w:rPr>
        <w:t>. Each Restricted Share Agreement may state an amount of purchase price to be paid by the Grantee in consideration for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issuance of the Restricted Shares and the terms of payment thereof, which may include, payment by issuance of promissory notes or other evidence of indebtedness on such terms and conditions as determined by the Committee.</w:t>
      </w:r>
    </w:p>
    <w:p>
      <w:pPr>
        <w:spacing w:after="0" w:line="76" w:lineRule="exact"/>
        <w:rPr>
          <w:sz w:val="20"/>
          <w:szCs w:val="20"/>
          <w:color w:val="auto"/>
        </w:rPr>
      </w:pPr>
    </w:p>
    <w:p>
      <w:pPr>
        <w:ind w:left="973" w:right="20" w:hanging="534"/>
        <w:spacing w:after="0" w:line="253" w:lineRule="auto"/>
        <w:tabs>
          <w:tab w:leader="none" w:pos="952"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u w:val="single" w:color="auto"/>
          <w:color w:val="auto"/>
        </w:rPr>
        <w:t>Vesting</w:t>
      </w:r>
      <w:r>
        <w:rPr>
          <w:rFonts w:ascii="Arial" w:cs="Arial" w:eastAsia="Arial" w:hAnsi="Arial"/>
          <w:sz w:val="18"/>
          <w:szCs w:val="18"/>
          <w:color w:val="auto"/>
        </w:rPr>
        <w:t>. Each Restricted Share Agreement shall provide the vesting schedule for the Restricted Shares as determined by the Committee,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that (to the extent permitted under Applicable Law) the Committee shall have the authority to determine the vesting schedule and accelerate the vesting of any outstanding Restricted Share at such time and under such circumstances as it, in its sole discretion, deems appropriate. Unless otherwise resolved by the Committee and stated in the Restricted Share Agreement, Restricted Shares shall vest in the same vesting schedule as set forth in Section 10.5 hereof.</w:t>
      </w:r>
    </w:p>
    <w:p>
      <w:pPr>
        <w:spacing w:after="0" w:line="99"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 disposed of, except by will or</w:t>
      </w:r>
    </w:p>
    <w:p>
      <w:pPr>
        <w:spacing w:after="0" w:line="2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the laws of descent and distribution, for such period as the Committee shall determine from the date on which the Award is granted (the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The Committee may also impose such additional or alternative restrictions and conditions on the Restricted Shares,</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as it deems appropriate, including the satisfaction of performance criteria. Such performance criteria may include, but are not limited to,</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sales, earnings before interest and taxes, return on investment, earnings per share, any combination of the foregoing or rate of growth of</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any of the foregoing, as determined by the Committee. Certificates for shares issued pursuant to Restricted Share Awards shall bear an</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appropriate legend referring to such restrictions, and any attempt to dispose of any such shares in contravention of such restrictions shall be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7"/>
          <w:szCs w:val="17"/>
          <w:color w:val="auto"/>
        </w:rPr>
        <w:t>null and void and without effect. Such certificates may, if so determined by the Committee, be held in escrow by an escrow agent</w:t>
      </w:r>
    </w:p>
    <w:p>
      <w:pPr>
        <w:spacing w:after="0" w:line="19"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appointed by the Committee, or, if a Restricted Share Award is made pursuant to Section 102, by the Trustee. In determining the Restricted</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Period of an Award the Committee may provide that the foregoing restrictions shall lapse with respect to specified percentages of the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awarded Restricted Shares on successive anniversaries of the date of such Award. To the extent required by the Ordinance or the ITA, the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Restricted Shares issued pursuant to Section 102 of the Ordinance shall be issued to the Trustee in accordance with the provisions of the</w:t>
      </w:r>
    </w:p>
    <w:p>
      <w:pPr>
        <w:spacing w:after="0" w:line="30" w:lineRule="exact"/>
        <w:rPr>
          <w:sz w:val="20"/>
          <w:szCs w:val="20"/>
          <w:color w:val="auto"/>
        </w:rPr>
      </w:pPr>
    </w:p>
    <w:p>
      <w:pPr>
        <w:ind w:left="973"/>
        <w:spacing w:after="0"/>
        <w:rPr>
          <w:sz w:val="20"/>
          <w:szCs w:val="20"/>
          <w:color w:val="auto"/>
        </w:rPr>
      </w:pPr>
      <w:r>
        <w:rPr>
          <w:rFonts w:ascii="Arial" w:cs="Arial" w:eastAsia="Arial" w:hAnsi="Arial"/>
          <w:sz w:val="16"/>
          <w:szCs w:val="16"/>
          <w:color w:val="auto"/>
        </w:rPr>
        <w:t>Ordinance and the Restricted Shares shall be held for the benefit of the Grantee for such period as may be required by the Ordinance.</w:t>
      </w:r>
    </w:p>
    <w:p>
      <w:pPr>
        <w:spacing w:after="0" w:line="138" w:lineRule="exact"/>
        <w:rPr>
          <w:sz w:val="20"/>
          <w:szCs w:val="20"/>
          <w:color w:val="auto"/>
        </w:rPr>
      </w:pPr>
    </w:p>
    <w:p>
      <w:pPr>
        <w:ind w:left="973" w:right="100" w:hanging="534"/>
        <w:spacing w:after="0" w:line="297" w:lineRule="auto"/>
        <w:tabs>
          <w:tab w:leader="none" w:pos="952"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Adjustment of Performance Goals</w:t>
      </w:r>
      <w:r>
        <w:rPr>
          <w:rFonts w:ascii="Arial" w:cs="Arial" w:eastAsia="Arial" w:hAnsi="Arial"/>
          <w:sz w:val="16"/>
          <w:szCs w:val="16"/>
          <w:color w:val="auto"/>
        </w:rPr>
        <w:t>. The Committee may adjust performance goals to take into account changes in law and accounting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tax rules and to make such adjustments as the Committee deems necessary or appropriate to reflect the inclusion or the exclusion of the impact of extraordinary or unusual items, events or circumstances. The Committee also may adjust the performance goals by reducing the amount to be received by any Grantee pursuant to an Award if and to the extent that the Committee deems it appropriate.</w:t>
      </w:r>
    </w:p>
    <w:p>
      <w:pPr>
        <w:sectPr>
          <w:pgSz w:w="11900" w:h="16838" w:orient="portrait"/>
          <w:cols w:equalWidth="0" w:num="1">
            <w:col w:w="10893"/>
          </w:cols>
          <w:pgMar w:left="487" w:top="419" w:right="519" w:bottom="1440" w:gutter="0" w:footer="0" w:header="0"/>
        </w:sectPr>
      </w:pPr>
    </w:p>
    <w:bookmarkStart w:id="364" w:name="page365"/>
    <w:bookmarkEnd w:id="364"/>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-18-</w:t>
      </w:r>
    </w:p>
    <w:p>
      <w:pPr>
        <w:spacing w:after="0" w:line="248" w:lineRule="exact"/>
        <w:rPr>
          <w:sz w:val="20"/>
          <w:szCs w:val="20"/>
          <w:color w:val="auto"/>
        </w:rPr>
      </w:pPr>
    </w:p>
    <w:p>
      <w:pPr>
        <w:ind w:left="973" w:right="20" w:hanging="534"/>
        <w:spacing w:after="0" w:line="269" w:lineRule="auto"/>
        <w:tabs>
          <w:tab w:leader="none" w:pos="952"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u w:val="single" w:color="auto"/>
          <w:color w:val="auto"/>
        </w:rPr>
        <w:t>Forfeiture</w:t>
      </w:r>
      <w:r>
        <w:rPr>
          <w:rFonts w:ascii="Arial" w:cs="Arial" w:eastAsia="Arial" w:hAnsi="Arial"/>
          <w:sz w:val="17"/>
          <w:szCs w:val="17"/>
          <w:color w:val="auto"/>
        </w:rPr>
        <w:t>. Subject to such exceptions as may be determined by the Committee, if the Grantee’s continuous employment with the Company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any Subsidiary or Affiliate shall terminate for any reason prior to the expiration of the vesting date or Restricted Period of an Award or prior to the payment in full of the purchase price of any Restricted Shares with respect to which the vesting date or the Restricted Period has expired, any shares remaining subject to vesting or restrictions or with respect to which the purchase price has not been paid in full, shall thereupon be forfeited and shall be deemed transferred to, and reacquired by, or cancelled by, as the case may be, the Company or a Subsidiary at no cost to the Company or Subsidiary, subject to all Applicable Laws. Upon forfeiture of Restricted Shares, the Grantee shall have no further rights with respect to such Restricted Shares.</w:t>
      </w:r>
    </w:p>
    <w:p>
      <w:pPr>
        <w:spacing w:after="0" w:line="85" w:lineRule="exact"/>
        <w:rPr>
          <w:sz w:val="20"/>
          <w:szCs w:val="20"/>
          <w:color w:val="auto"/>
        </w:rPr>
      </w:pPr>
    </w:p>
    <w:p>
      <w:pPr>
        <w:ind w:left="973" w:right="160" w:hanging="534"/>
        <w:spacing w:after="0" w:line="255" w:lineRule="auto"/>
        <w:tabs>
          <w:tab w:leader="none" w:pos="952"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 Restricted Shares, subject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 10.9 and Section 18.4, including the right to receive dividends with respect to such shares. All distributions, if any, received by a Grantee with respect to Restricted Shares as a result of any stock split, stock dividend, combination of shares, or other similar transaction shall be subject to the restrictions applicable to the original Award.</w:t>
      </w:r>
    </w:p>
    <w:p>
      <w:pPr>
        <w:spacing w:after="0" w:line="333" w:lineRule="exact"/>
        <w:rPr>
          <w:sz w:val="20"/>
          <w:szCs w:val="20"/>
          <w:color w:val="auto"/>
        </w:rPr>
      </w:pPr>
    </w:p>
    <w:p>
      <w:pPr>
        <w:ind w:left="433" w:hanging="433"/>
        <w:spacing w:after="0"/>
        <w:tabs>
          <w:tab w:leader="none" w:pos="433"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SHARE UNITS.</w:t>
      </w:r>
    </w:p>
    <w:p>
      <w:pPr>
        <w:spacing w:after="0" w:line="127" w:lineRule="exact"/>
        <w:rPr>
          <w:rFonts w:ascii="Arial" w:cs="Arial" w:eastAsia="Arial" w:hAnsi="Arial"/>
          <w:sz w:val="18"/>
          <w:szCs w:val="18"/>
          <w:b w:val="1"/>
          <w:bCs w:val="1"/>
          <w:color w:val="auto"/>
        </w:rPr>
      </w:pPr>
    </w:p>
    <w:p>
      <w:pPr>
        <w:ind w:left="973" w:right="40" w:hanging="535"/>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19.1. A Restricted Share Unit (an “</w:t>
      </w:r>
      <w:r>
        <w:rPr>
          <w:rFonts w:ascii="Arial" w:cs="Arial" w:eastAsia="Arial" w:hAnsi="Arial"/>
          <w:sz w:val="16"/>
          <w:szCs w:val="16"/>
          <w:b w:val="1"/>
          <w:bCs w:val="1"/>
          <w:color w:val="auto"/>
        </w:rPr>
        <w:t>RSU</w:t>
      </w:r>
      <w:r>
        <w:rPr>
          <w:rFonts w:ascii="Arial" w:cs="Arial" w:eastAsia="Arial" w:hAnsi="Arial"/>
          <w:sz w:val="16"/>
          <w:szCs w:val="16"/>
          <w:color w:val="auto"/>
        </w:rPr>
        <w:t>”) is an Award covering a number of Shares that is settled by issuance of those Shares. An RSU may be awarded to any eligible Grantee, including under Section 102 of the Ordinance. Each grant of RSUs under the Plan shall be evidenced by a written agreement between the Company and the Grantee (the “</w:t>
      </w:r>
      <w:r>
        <w:rPr>
          <w:rFonts w:ascii="Arial" w:cs="Arial" w:eastAsia="Arial" w:hAnsi="Arial"/>
          <w:sz w:val="16"/>
          <w:szCs w:val="16"/>
          <w:b w:val="1"/>
          <w:bCs w:val="1"/>
          <w:color w:val="auto"/>
        </w:rPr>
        <w:t>Restricted Share Unit Agreement</w:t>
      </w:r>
      <w:r>
        <w:rPr>
          <w:rFonts w:ascii="Arial" w:cs="Arial" w:eastAsia="Arial" w:hAnsi="Arial"/>
          <w:sz w:val="16"/>
          <w:szCs w:val="16"/>
          <w:color w:val="auto"/>
        </w:rPr>
        <w:t>”), in such form as the Committee shall from time to time approve. Such RSUs shall be subject to all applicable terms of the Plan and may be subject to any other terms that are not inconsistent with the Plan. The provisions of the various Restricted Share Unit Agreements entered into under the Plan need not be identical. RSUs may be granted in consideration of a reduction in the recipient’s other compensation.</w:t>
      </w:r>
    </w:p>
    <w:p>
      <w:pPr>
        <w:spacing w:after="0" w:line="69" w:lineRule="exact"/>
        <w:rPr>
          <w:rFonts w:ascii="Arial" w:cs="Arial" w:eastAsia="Arial" w:hAnsi="Arial"/>
          <w:sz w:val="18"/>
          <w:szCs w:val="18"/>
          <w:b w:val="1"/>
          <w:bCs w:val="1"/>
          <w:color w:val="auto"/>
        </w:rPr>
      </w:pPr>
    </w:p>
    <w:p>
      <w:pPr>
        <w:jc w:val="right"/>
        <w:ind w:left="973" w:hanging="535"/>
        <w:spacing w:after="0" w:line="335" w:lineRule="auto"/>
        <w:rPr>
          <w:rFonts w:ascii="Arial" w:cs="Arial" w:eastAsia="Arial" w:hAnsi="Arial"/>
          <w:sz w:val="18"/>
          <w:szCs w:val="18"/>
          <w:b w:val="1"/>
          <w:bCs w:val="1"/>
          <w:color w:val="auto"/>
        </w:rPr>
      </w:pPr>
      <w:r>
        <w:rPr>
          <w:rFonts w:ascii="Arial" w:cs="Arial" w:eastAsia="Arial" w:hAnsi="Arial"/>
          <w:sz w:val="16"/>
          <w:szCs w:val="16"/>
          <w:color w:val="auto"/>
        </w:rPr>
        <w:t>19.2.  Other than the par value of the Shares, no payment of cash shall be required as consideration for RSUs. RSUs may or may not be subject to vesting. Vesting shall occur, in full or in installments, upon satisfaction of the conditions specified in the Restricted Share Unit Agreement.</w:t>
      </w:r>
    </w:p>
    <w:p>
      <w:pPr>
        <w:spacing w:after="0" w:line="34" w:lineRule="exact"/>
        <w:rPr>
          <w:rFonts w:ascii="Arial" w:cs="Arial" w:eastAsia="Arial" w:hAnsi="Arial"/>
          <w:sz w:val="18"/>
          <w:szCs w:val="18"/>
          <w:b w:val="1"/>
          <w:bCs w:val="1"/>
          <w:color w:val="auto"/>
        </w:rPr>
      </w:pPr>
    </w:p>
    <w:p>
      <w:pPr>
        <w:jc w:val="both"/>
        <w:ind w:left="973" w:right="100" w:hanging="535"/>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19.3. Without limitation of Section 10.9, no voting or dividend rights as a shareholder shall exist prior to the actual issuance of Shares in the name of the Grantee. Notwithstanding anything else in this Plan (as may be amended from time to time) to the contrary, unless otherwise specified by the Committee, each RSU shall be for a term of seven (7) years. Each Restricted Share Unit Agreement shall specify its term and any conditions on the time or times for settlement, and provide for expiration prior to the end of its term in the event of termination of employment or service providing to the Company, and may provide for earlier settlement in the event of the Grantee’s death, Disability or other events.</w:t>
      </w:r>
    </w:p>
    <w:p>
      <w:pPr>
        <w:sectPr>
          <w:pgSz w:w="11900" w:h="16838" w:orient="portrait"/>
          <w:cols w:equalWidth="0" w:num="1">
            <w:col w:w="10913"/>
          </w:cols>
          <w:pgMar w:left="487" w:top="419" w:right="49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-19-</w:t>
      </w:r>
    </w:p>
    <w:p>
      <w:pPr>
        <w:spacing w:after="0" w:line="248" w:lineRule="exact"/>
        <w:rPr>
          <w:sz w:val="20"/>
          <w:szCs w:val="20"/>
          <w:color w:val="auto"/>
        </w:rPr>
      </w:pPr>
    </w:p>
    <w:p>
      <w:pPr>
        <w:ind w:left="980" w:right="160" w:hanging="534"/>
        <w:spacing w:after="0" w:line="255" w:lineRule="auto"/>
        <w:tabs>
          <w:tab w:leader="none" w:pos="960" w:val="left"/>
        </w:tabs>
        <w:rPr>
          <w:sz w:val="20"/>
          <w:szCs w:val="20"/>
          <w:color w:val="auto"/>
        </w:rPr>
      </w:pPr>
      <w:r>
        <w:rPr>
          <w:rFonts w:ascii="Arial" w:cs="Arial" w:eastAsia="Arial" w:hAnsi="Arial"/>
          <w:sz w:val="18"/>
          <w:szCs w:val="18"/>
          <w:color w:val="auto"/>
        </w:rPr>
        <w:t>19.4.</w:t>
        <w:tab/>
        <w:t>Settlement of vested RSUs shall be made in the form of Shares. Distribution to a Grantee of an amount (or amounts) from settlement of vested RSUs can be deferred to a date after settlement as determined by the Committee. The amount of a deferred distribution may be increased by an interest factor or by dividend equivalents. Until the grant of RSUs is settled, the number of such RSUs shall be subject to adjustment pursuant hereto.</w:t>
      </w:r>
    </w:p>
    <w:p>
      <w:pPr>
        <w:spacing w:after="0" w:line="333" w:lineRule="exact"/>
        <w:rPr>
          <w:sz w:val="20"/>
          <w:szCs w:val="20"/>
          <w:color w:val="auto"/>
        </w:rPr>
      </w:pPr>
    </w:p>
    <w:p>
      <w:pPr>
        <w:ind w:left="440" w:hanging="433"/>
        <w:spacing w:after="0"/>
        <w:tabs>
          <w:tab w:leader="none" w:pos="440"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SHARE OR SHARE-BASED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spacing w:after="0" w:line="287" w:lineRule="auto"/>
        <w:rPr>
          <w:rFonts w:ascii="Arial" w:cs="Arial" w:eastAsia="Arial" w:hAnsi="Arial"/>
          <w:sz w:val="18"/>
          <w:szCs w:val="18"/>
          <w:color w:val="auto"/>
        </w:rPr>
      </w:pPr>
      <w:r>
        <w:rPr>
          <w:rFonts w:ascii="Arial" w:cs="Arial" w:eastAsia="Arial" w:hAnsi="Arial"/>
          <w:sz w:val="16"/>
          <w:szCs w:val="16"/>
          <w:color w:val="auto"/>
        </w:rPr>
        <w:t>21. The Committee may grant other Awards under the Plan pursuant to which Shares (which may, but need not, be Restricted Shares pursuant to Section 17 hereof), cash or a combination thereof, are or may in the future be acquired or received, or Awards denominated in stock units, including units valued on the basis of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in respect to which the right was granted exceeds the exercise price thereof. The Committee may, and it is hereby deemed to be an Award under the terms of the Plan, grant to Grantees (including employees) the opportunity to purchase Shares of the Company in connection with any public offerings of the Company’s securities. Such other Share based Awards may be granted alone, in addition to, or in tandem with any Award of any type granted under the plan and must be consistent with the purposes of the Plan.</w:t>
      </w:r>
    </w:p>
    <w:p>
      <w:pPr>
        <w:spacing w:after="0" w:line="309" w:lineRule="exact"/>
        <w:rPr>
          <w:sz w:val="20"/>
          <w:szCs w:val="20"/>
          <w:color w:val="auto"/>
        </w:rPr>
      </w:pPr>
    </w:p>
    <w:p>
      <w:pPr>
        <w:ind w:left="440" w:hanging="433"/>
        <w:spacing w:after="0"/>
        <w:tabs>
          <w:tab w:leader="none" w:pos="440" w:val="left"/>
        </w:tabs>
        <w:numPr>
          <w:ilvl w:val="0"/>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CERTAIN CHANGES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80" w:right="20" w:hanging="535"/>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General</w:t>
      </w:r>
      <w:r>
        <w:rPr>
          <w:rFonts w:ascii="Arial" w:cs="Arial" w:eastAsia="Arial" w:hAnsi="Arial"/>
          <w:sz w:val="17"/>
          <w:szCs w:val="17"/>
          <w:color w:val="auto"/>
        </w:rPr>
        <w:t>. In the event of a subdivision of the outstanding share capital of the Company, any payment of a stock dividend (distribution of bonus shares), a recapitalization, a reorganization (which may include a combination or exchange of shares), a consolidation, a stock split, a reverse stock split, a spin-off or other corporate divestiture or division, a reclassification or other similar occurrence, the Committee shall have the authority to make, without the need for a consent of any holder of an Award, such adjustments as determined by the Committee to be appropriate, in its discretion, in order to adjust (i) the number and class of Shares available for grants of Awards, (ii) the number and class of Shares covered by outstanding Awards, (iii) the exercise price per share covered by any Award, (iv) the terms and conditions concerning vesting and exercisability and the term and duration of the outstanding Awards, and (v) any other terms of the Award that in the opinion of the Committee should be adjusted; provided, however, that any fractional shares resulting from such adjustment shall be rounded down to the nearest whole share and that the Company shall have no obligation to make any cash or other payment with respect to such fractional shares.</w:t>
      </w:r>
    </w:p>
    <w:p>
      <w:pPr>
        <w:spacing w:after="0" w:line="85" w:lineRule="exact"/>
        <w:rPr>
          <w:rFonts w:ascii="Arial" w:cs="Arial" w:eastAsia="Arial" w:hAnsi="Arial"/>
          <w:sz w:val="18"/>
          <w:szCs w:val="18"/>
          <w:color w:val="auto"/>
        </w:rPr>
      </w:pPr>
    </w:p>
    <w:p>
      <w:pPr>
        <w:ind w:left="980" w:right="160" w:hanging="535"/>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Merger and Sale of Company</w:t>
      </w:r>
      <w:r>
        <w:rPr>
          <w:rFonts w:ascii="Arial" w:cs="Arial" w:eastAsia="Arial" w:hAnsi="Arial"/>
          <w:sz w:val="18"/>
          <w:szCs w:val="18"/>
          <w:color w:val="auto"/>
        </w:rPr>
        <w:t>. In the event of (i) a sale of all or substantially all of the assets of the Company; or (ii) a sale (including an exchange) of all or substantially all of the shares of the Company, or an acquisition by a shareholder of the Company or by an Affiliate of such shareholder, of all the shares of the Company held by other shareholders or by other shareholders who are not Affiliated with such acquiring party; (ii) a merger, consolidation, amalgamation or like transaction of the Company with or into another corporation; (iv) a scheme of arrangement for the purpose of effecting such sale, merger or amalgamation; or (v) such other transaction or set of circumstances that is determined by the Committee, in its discretion, to be a transaction having a similar or comparable effect (all such transactions being herein referred to as a “</w:t>
      </w:r>
      <w:r>
        <w:rPr>
          <w:rFonts w:ascii="Arial" w:cs="Arial" w:eastAsia="Arial" w:hAnsi="Arial"/>
          <w:sz w:val="18"/>
          <w:szCs w:val="18"/>
          <w:b w:val="1"/>
          <w:bCs w:val="1"/>
          <w:color w:val="auto"/>
        </w:rPr>
        <w:t>Merger/Sale</w:t>
      </w:r>
      <w:r>
        <w:rPr>
          <w:rFonts w:ascii="Arial" w:cs="Arial" w:eastAsia="Arial" w:hAnsi="Arial"/>
          <w:sz w:val="18"/>
          <w:szCs w:val="18"/>
          <w:color w:val="auto"/>
        </w:rPr>
        <w:t>”), then, without the Grantee’s consent and action and without any prior notice requirement:</w:t>
      </w:r>
    </w:p>
    <w:p>
      <w:pPr>
        <w:sectPr>
          <w:pgSz w:w="11900" w:h="16838" w:orient="portrait"/>
          <w:cols w:equalWidth="0" w:num="1">
            <w:col w:w="10920"/>
          </w:cols>
          <w:pgMar w:left="480" w:top="419" w:right="499" w:bottom="1440" w:gutter="0" w:footer="0" w:header="0"/>
        </w:sectPr>
      </w:pPr>
    </w:p>
    <w:bookmarkStart w:id="366" w:name="page367"/>
    <w:bookmarkEnd w:id="366"/>
    <w:p>
      <w:pPr>
        <w:ind w:left="4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w:t>
      </w:r>
    </w:p>
    <w:p>
      <w:pPr>
        <w:spacing w:after="0" w:line="248" w:lineRule="exact"/>
        <w:rPr>
          <w:sz w:val="20"/>
          <w:szCs w:val="20"/>
          <w:color w:val="auto"/>
        </w:rPr>
      </w:pPr>
    </w:p>
    <w:p>
      <w:pPr>
        <w:ind w:left="780" w:right="60" w:hanging="641"/>
        <w:spacing w:after="0" w:line="307" w:lineRule="auto"/>
        <w:tabs>
          <w:tab w:leader="none" w:pos="76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6"/>
          <w:szCs w:val="16"/>
          <w:color w:val="auto"/>
        </w:rPr>
        <w:t>unless otherwise determined by the Committee in its sole and absolute discretion, any Award then outstanding shall be assumed or an equivalent Award shall be substituted by such successor corporation of the Merger/Sale or any parent or Affiliate thereof as determined by the Board in its discretion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under substantially the same terms as the Award;</w:t>
      </w:r>
    </w:p>
    <w:p>
      <w:pPr>
        <w:spacing w:after="0" w:line="43" w:lineRule="exact"/>
        <w:rPr>
          <w:sz w:val="20"/>
          <w:szCs w:val="20"/>
          <w:color w:val="auto"/>
        </w:rPr>
      </w:pPr>
    </w:p>
    <w:p>
      <w:pPr>
        <w:ind w:left="1440"/>
        <w:spacing w:after="0" w:line="266" w:lineRule="auto"/>
        <w:rPr>
          <w:sz w:val="20"/>
          <w:szCs w:val="20"/>
          <w:color w:val="auto"/>
        </w:rPr>
      </w:pPr>
      <w:r>
        <w:rPr>
          <w:rFonts w:ascii="Arial" w:cs="Arial" w:eastAsia="Arial" w:hAnsi="Arial"/>
          <w:sz w:val="17"/>
          <w:szCs w:val="17"/>
          <w:color w:val="auto"/>
        </w:rPr>
        <w:t>For the purposes of this Section 22.2.1, the Award shall be considered assumed if, following a Merger/Sale, the Award confers on the holder thereof the right to purchase or receive, for each Share underlying an Award immediately prior to the Merger/Sale, either (i) the consideration (whether stock, cash, or other securities or property) distributed to or received by holders of Shares in the Merger/Sale for each Share held on the effective date of the Merger/Sale (and if holders were offered a choice of consideration, the type of consideration chosen by the holders of a majority of the outstanding Shares), which may be subject to vesting and other terms as determined by the Committee in its discretion, or (ii) regardless of the consideration received by the holders of Shares in the Merger/Sale, solely shares (or their equivalent) of the Successor Corporation at a value to be determined by the Committee in its discretion, which may be subject to vesting and other terms as determined by the Committee in its discretion. The foregoing shall not limit the Committee authority to determine, in its sole discretion, that in lieu of such assumption or substitution of Awards for Awards of the Successor Corporation, such Award will be substituted for any other type of asset or property, including under Section 22.2.2 hereunder.</w:t>
      </w:r>
    </w:p>
    <w:p>
      <w:pPr>
        <w:spacing w:after="0" w:line="88" w:lineRule="exact"/>
        <w:rPr>
          <w:sz w:val="20"/>
          <w:szCs w:val="20"/>
          <w:color w:val="auto"/>
        </w:rPr>
      </w:pPr>
    </w:p>
    <w:p>
      <w:pPr>
        <w:ind w:left="780" w:right="40" w:hanging="641"/>
        <w:spacing w:after="0" w:line="282" w:lineRule="auto"/>
        <w:tabs>
          <w:tab w:leader="none" w:pos="76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6"/>
          <w:szCs w:val="16"/>
          <w:color w:val="auto"/>
        </w:rPr>
        <w:t>In the event that the Awards are not assumed or substituted by an equivalent Award, then the Committee may (but shall not be obligated to), in lieu of such assumption or substitution of the Award and in its sole discretion, (i) provide for the Grantee to have the right to exercise the Award, or otherwise for the acceleration of vesting of such Award, as to all or part of the Shares, including Shares covered by the Award which would not otherwise be exercisable or vested, under such terms and conditions as the Committee shall determine, including the cancellation of all unexercised Awards upon closing of the Merger/Sale; and/or</w:t>
      </w:r>
    </w:p>
    <w:p>
      <w:pPr>
        <w:spacing w:after="0" w:line="2" w:lineRule="exact"/>
        <w:rPr>
          <w:sz w:val="20"/>
          <w:szCs w:val="20"/>
          <w:color w:val="auto"/>
        </w:rPr>
      </w:pPr>
    </w:p>
    <w:p>
      <w:pPr>
        <w:ind w:left="780" w:right="40" w:hanging="7"/>
        <w:spacing w:after="0" w:line="292" w:lineRule="auto"/>
        <w:tabs>
          <w:tab w:leader="none" w:pos="104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provide for the cancellation of each outstanding Award at the closing of such Merger/Sale, and payment to the Grantee of an amount in cash as determined by the Committee to be fair in the circumstances (with full authority to determine the method for making such determination, which may be Black-Scholes model or any other method, and which determination shall be conclusive and binding on all parties), and subject to such terms and conditions as determined by the Committee.</w:t>
      </w:r>
    </w:p>
    <w:p>
      <w:pPr>
        <w:spacing w:after="0" w:line="68" w:lineRule="exact"/>
        <w:rPr>
          <w:sz w:val="20"/>
          <w:szCs w:val="20"/>
          <w:color w:val="auto"/>
        </w:rPr>
      </w:pPr>
    </w:p>
    <w:p>
      <w:pPr>
        <w:ind w:left="780" w:right="40" w:hanging="641"/>
        <w:spacing w:after="0" w:line="259" w:lineRule="auto"/>
        <w:tabs>
          <w:tab w:leader="none" w:pos="760" w:val="left"/>
        </w:tabs>
        <w:rPr>
          <w:sz w:val="20"/>
          <w:szCs w:val="20"/>
          <w:color w:val="auto"/>
        </w:rPr>
      </w:pPr>
      <w:r>
        <w:rPr>
          <w:rFonts w:ascii="Arial" w:cs="Arial" w:eastAsia="Arial" w:hAnsi="Arial"/>
          <w:sz w:val="18"/>
          <w:szCs w:val="18"/>
          <w:color w:val="auto"/>
        </w:rPr>
        <w:t>22.2.3.</w:t>
        <w:tab/>
        <w:t>Notwithstanding the foregoing, in the event of a Merger/Sale, the Committee may determine, in its sole discretion, that upon completion of such Merger/Sale, the terms of any Award be otherwise amended, modified or terminated, as the Committee shall deem in good faith to be appropriate, and</w:t>
      </w:r>
    </w:p>
    <w:p>
      <w:pPr>
        <w:sectPr>
          <w:pgSz w:w="11900" w:h="16838" w:orient="portrait"/>
          <w:cols w:equalWidth="0" w:num="1">
            <w:col w:w="9940"/>
          </w:cols>
          <w:pgMar w:left="1440" w:top="420" w:right="519" w:bottom="1440" w:gutter="0" w:footer="0" w:header="0"/>
        </w:sectPr>
      </w:pPr>
    </w:p>
    <w:bookmarkStart w:id="367" w:name="page368"/>
    <w:bookmarkEnd w:id="367"/>
    <w:p>
      <w:pPr>
        <w:jc w:val="center"/>
        <w:ind w:right="-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w:t>
      </w:r>
    </w:p>
    <w:p>
      <w:pPr>
        <w:spacing w:after="0" w:line="248" w:lineRule="exact"/>
        <w:rPr>
          <w:sz w:val="20"/>
          <w:szCs w:val="20"/>
          <w:color w:val="auto"/>
        </w:rPr>
      </w:pPr>
    </w:p>
    <w:p>
      <w:pPr>
        <w:ind w:left="1733" w:right="20"/>
        <w:spacing w:after="0" w:line="287" w:lineRule="auto"/>
        <w:rPr>
          <w:sz w:val="20"/>
          <w:szCs w:val="20"/>
          <w:color w:val="auto"/>
        </w:rPr>
      </w:pPr>
      <w:r>
        <w:rPr>
          <w:rFonts w:ascii="Arial" w:cs="Arial" w:eastAsia="Arial" w:hAnsi="Arial"/>
          <w:sz w:val="16"/>
          <w:szCs w:val="16"/>
          <w:color w:val="auto"/>
        </w:rPr>
        <w:t xml:space="preserve">if an Option Award, that the Option Award shall confer the right to purchase or receive any other security or asset, or any combination thereof, or that its terms be otherwise amended, modified or terminated, as the Committee shall deem in good faith to be appropriate. Neither the authorities and powers of the Committee under this Section 22.2, nor the exercise or implementation thereof, shall (i) be restricted or limited in any way by any adverse consequences (tax or otherwise) that may result to any holder of an Award, and (ii) as, </w:t>
      </w:r>
      <w:r>
        <w:rPr>
          <w:rFonts w:ascii="Arial" w:cs="Arial" w:eastAsia="Arial" w:hAnsi="Arial"/>
          <w:sz w:val="16"/>
          <w:szCs w:val="16"/>
          <w:i w:val="1"/>
          <w:iCs w:val="1"/>
          <w:color w:val="auto"/>
        </w:rPr>
        <w:t>inter alia</w:t>
      </w:r>
      <w:r>
        <w:rPr>
          <w:rFonts w:ascii="Arial" w:cs="Arial" w:eastAsia="Arial" w:hAnsi="Arial"/>
          <w:sz w:val="16"/>
          <w:szCs w:val="16"/>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w:t>
      </w:r>
    </w:p>
    <w:p>
      <w:pPr>
        <w:spacing w:after="0" w:line="72" w:lineRule="exact"/>
        <w:rPr>
          <w:sz w:val="20"/>
          <w:szCs w:val="20"/>
          <w:color w:val="auto"/>
        </w:rPr>
      </w:pPr>
    </w:p>
    <w:p>
      <w:pPr>
        <w:ind w:left="973" w:right="140" w:hanging="534"/>
        <w:spacing w:after="0" w:line="287" w:lineRule="auto"/>
        <w:tabs>
          <w:tab w:leader="none" w:pos="95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Reservation of Rights</w:t>
      </w:r>
      <w:r>
        <w:rPr>
          <w:rFonts w:ascii="Arial" w:cs="Arial" w:eastAsia="Arial" w:hAnsi="Arial"/>
          <w:sz w:val="16"/>
          <w:szCs w:val="16"/>
          <w:color w:val="auto"/>
        </w:rPr>
        <w:t>. Except as expressly provided in this Section 22, the Grantee of an Award hereunder shall have no rights by reason</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any subdivision or consolidation of shares of any class or the payment of any stock dividend (bonus shares), any other increase or decrease in the number of shares of any class or by reason of any dissolution, liquidation, Merger/Sale, or consolidation, divestiture or spin-off of assets or shares of another company.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the Plan shall not affect in any way the right of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309" w:lineRule="exact"/>
        <w:rPr>
          <w:sz w:val="20"/>
          <w:szCs w:val="20"/>
          <w:color w:val="auto"/>
        </w:rPr>
      </w:pPr>
    </w:p>
    <w:p>
      <w:pPr>
        <w:ind w:left="433" w:hanging="433"/>
        <w:spacing w:after="0"/>
        <w:tabs>
          <w:tab w:leader="none" w:pos="433"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AWARDS; SURVIVING BENEFICIARY</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hanging="535"/>
        <w:spacing w:after="0" w:line="284" w:lineRule="auto"/>
        <w:rPr>
          <w:rFonts w:ascii="Arial" w:cs="Arial" w:eastAsia="Arial" w:hAnsi="Arial"/>
          <w:sz w:val="18"/>
          <w:szCs w:val="18"/>
          <w:color w:val="auto"/>
        </w:rPr>
      </w:pPr>
      <w:r>
        <w:rPr>
          <w:rFonts w:ascii="Arial" w:cs="Arial" w:eastAsia="Arial" w:hAnsi="Arial"/>
          <w:sz w:val="16"/>
          <w:szCs w:val="16"/>
          <w:color w:val="auto"/>
        </w:rPr>
        <w:t>23.1. All Awards granted under the Plan shall not be transferable otherwise than by will or by the laws of descent and distribution, unless otherwise determined by the Board or under this Plan, provided that with respect to shares issued upon exercise of Options, the restrictions on transfer shall be the restrictions referred to in Section 24 (Conditions upon Issuance of Shares) hereof.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interest in any Award by, any party other than the Grantee shall be null and void and shall not confer upon any party or person, other than the Grantee, any rights. 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to transfer the Award to a family trust.</w:t>
      </w:r>
    </w:p>
    <w:p>
      <w:pPr>
        <w:sectPr>
          <w:pgSz w:w="11900" w:h="16838" w:orient="portrait"/>
          <w:cols w:equalWidth="0" w:num="1">
            <w:col w:w="10873"/>
          </w:cols>
          <w:pgMar w:left="487" w:top="419" w:right="5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w:t>
      </w:r>
    </w:p>
    <w:p>
      <w:pPr>
        <w:spacing w:after="0" w:line="248" w:lineRule="exact"/>
        <w:rPr>
          <w:sz w:val="20"/>
          <w:szCs w:val="20"/>
          <w:color w:val="auto"/>
        </w:rPr>
      </w:pPr>
    </w:p>
    <w:p>
      <w:pPr>
        <w:ind w:left="980" w:right="120" w:hanging="534"/>
        <w:spacing w:after="0" w:line="301" w:lineRule="auto"/>
        <w:tabs>
          <w:tab w:leader="none" w:pos="9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5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4"/>
          <w:szCs w:val="14"/>
          <w:color w:val="auto"/>
        </w:rPr>
        <w:t>The provisions of this Section 23 shall apply to the Grantee and to any purchaser, assignee or transferee of any Shares.</w:t>
      </w:r>
    </w:p>
    <w:p>
      <w:pPr>
        <w:spacing w:after="0" w:line="364" w:lineRule="exact"/>
        <w:rPr>
          <w:sz w:val="20"/>
          <w:szCs w:val="20"/>
          <w:color w:val="auto"/>
        </w:rPr>
      </w:pPr>
    </w:p>
    <w:p>
      <w:pPr>
        <w:ind w:left="440" w:hanging="433"/>
        <w:spacing w:after="0"/>
        <w:tabs>
          <w:tab w:leader="none" w:pos="4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UPON ISSUANCE OF SHARES</w:t>
      </w:r>
    </w:p>
    <w:p>
      <w:pPr>
        <w:spacing w:after="0" w:line="131" w:lineRule="exact"/>
        <w:rPr>
          <w:rFonts w:ascii="Arial" w:cs="Arial" w:eastAsia="Arial" w:hAnsi="Arial"/>
          <w:sz w:val="18"/>
          <w:szCs w:val="18"/>
          <w:b w:val="1"/>
          <w:bCs w:val="1"/>
          <w:color w:val="auto"/>
        </w:rPr>
      </w:pPr>
    </w:p>
    <w:p>
      <w:pPr>
        <w:ind w:left="980" w:hanging="535"/>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such Shares shall comply with Applicable Laws as determined by counsel to the Company. The inability of the Company to obtain authority from any regulatory body having jurisdiction, which authority is deemed by the Company’s counsel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Shares issued pursuant to an Awards shall be subject to the Articles of Association of the Company, any shareholders agreement applicable to all or substantially all of the Company’s holders of Shares (regardless of whether or not the Grantee is party to such shareholders agreement) and any other governing documents of the Company, including all policies, manuals and internal regulations adopted by the Company from time to time, as may be amended from time to time, including, without limitation, any provisions included therein concerning restrictions or limitations on transferability of Shares (such as, but not limited to, right of first refusal and lock up/market stand-off) or grant of any rights with respect thereto and any provisions concerning restrictions on the use of inside information and other provisions deemed by the Company to be appropriate in order to ensure compliance with Applicable Laws, statutes and regulations.</w:t>
      </w:r>
    </w:p>
    <w:p>
      <w:pPr>
        <w:spacing w:after="0" w:line="81" w:lineRule="exact"/>
        <w:rPr>
          <w:rFonts w:ascii="Arial" w:cs="Arial" w:eastAsia="Arial" w:hAnsi="Arial"/>
          <w:sz w:val="18"/>
          <w:szCs w:val="18"/>
          <w:b w:val="1"/>
          <w:bCs w:val="1"/>
          <w:color w:val="auto"/>
        </w:rPr>
      </w:pPr>
    </w:p>
    <w:p>
      <w:pPr>
        <w:ind w:left="980" w:right="280" w:hanging="535"/>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and make other representations as may be required under applicable securities laws if, in the opinion of counsel for the Company, such representations are required, all in form and content specified by the Company.</w:t>
      </w:r>
    </w:p>
    <w:p>
      <w:pPr>
        <w:spacing w:after="0" w:line="302" w:lineRule="exact"/>
        <w:rPr>
          <w:rFonts w:ascii="Arial" w:cs="Arial" w:eastAsia="Arial" w:hAnsi="Arial"/>
          <w:sz w:val="18"/>
          <w:szCs w:val="18"/>
          <w:b w:val="1"/>
          <w:bCs w:val="1"/>
          <w:color w:val="auto"/>
        </w:rPr>
      </w:pPr>
    </w:p>
    <w:p>
      <w:pPr>
        <w:ind w:left="440" w:hanging="433"/>
        <w:spacing w:after="0"/>
        <w:tabs>
          <w:tab w:leader="none" w:pos="4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w:t>
      </w:r>
    </w:p>
    <w:p>
      <w:pPr>
        <w:spacing w:after="0" w:line="131" w:lineRule="exact"/>
        <w:rPr>
          <w:rFonts w:ascii="Arial" w:cs="Arial" w:eastAsia="Arial" w:hAnsi="Arial"/>
          <w:sz w:val="18"/>
          <w:szCs w:val="18"/>
          <w:b w:val="1"/>
          <w:bCs w:val="1"/>
          <w:color w:val="auto"/>
        </w:rPr>
      </w:pPr>
    </w:p>
    <w:p>
      <w:pPr>
        <w:ind w:left="980" w:right="20" w:hanging="535"/>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25.1. In connection with any underwritten public offering by the Company of its equity securities pursuant to an effective registration statement filed under the United States Securities Act of 1933, as amended or equivalent law in another jurisdiction, the Grantee shall not directly or indirectly, without the prior written consent of the Company or its underwriters, (i) lend, offer, pledge, sell, contract to sell, sell any option or contract to purchase, purchase any option or contract to sell, grant any option, right or warrant to purchase, or otherwise transfer or dispose of, directly or indirectly, any Shares acquired under this Plan or any securities of the Company (whether or not such Shares acquired under this Plan), or (ii) enter into any swap or other arrangement that transfers to another, in whole or in part, any of the economic consequences of</w:t>
      </w:r>
    </w:p>
    <w:p>
      <w:pPr>
        <w:sectPr>
          <w:pgSz w:w="11900" w:h="16838" w:orient="portrait"/>
          <w:cols w:equalWidth="0" w:num="1">
            <w:col w:w="10920"/>
          </w:cols>
          <w:pgMar w:left="480" w:top="419" w:right="499" w:bottom="1440" w:gutter="0" w:footer="0" w:header="0"/>
        </w:sectPr>
      </w:pPr>
    </w:p>
    <w:bookmarkStart w:id="369" w:name="page370"/>
    <w:bookmarkEnd w:id="369"/>
    <w:p>
      <w:pPr>
        <w:jc w:val="center"/>
        <w:ind w:right="-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w:t>
      </w:r>
    </w:p>
    <w:p>
      <w:pPr>
        <w:spacing w:after="0" w:line="248" w:lineRule="exact"/>
        <w:rPr>
          <w:sz w:val="20"/>
          <w:szCs w:val="20"/>
          <w:color w:val="auto"/>
        </w:rPr>
      </w:pPr>
    </w:p>
    <w:p>
      <w:pPr>
        <w:ind w:left="973" w:right="80"/>
        <w:spacing w:after="0" w:line="252" w:lineRule="auto"/>
        <w:rPr>
          <w:sz w:val="20"/>
          <w:szCs w:val="20"/>
          <w:color w:val="auto"/>
        </w:rPr>
      </w:pPr>
      <w:r>
        <w:rPr>
          <w:rFonts w:ascii="Arial" w:cs="Arial" w:eastAsia="Arial" w:hAnsi="Arial"/>
          <w:sz w:val="18"/>
          <w:szCs w:val="18"/>
          <w:color w:val="auto"/>
        </w:rPr>
        <w:t>ownership of the Shares acquired under this Plan, whether any such transaction described in clause (i) or (ii) above is to be settled by delivery of Shares acquired under this Plan or such other securities, in cash or otherwise. Such restriction (the “</w:t>
      </w:r>
      <w:r>
        <w:rPr>
          <w:rFonts w:ascii="Arial" w:cs="Arial" w:eastAsia="Arial" w:hAnsi="Arial"/>
          <w:sz w:val="18"/>
          <w:szCs w:val="18"/>
          <w:b w:val="1"/>
          <w:bCs w:val="1"/>
          <w:color w:val="auto"/>
        </w:rPr>
        <w:t>Market Stand-Off</w:t>
      </w:r>
      <w:r>
        <w:rPr>
          <w:rFonts w:ascii="Arial" w:cs="Arial" w:eastAsia="Arial" w:hAnsi="Arial"/>
          <w:sz w:val="18"/>
          <w:szCs w:val="18"/>
          <w:color w:val="auto"/>
        </w:rPr>
        <w:t>”) shall be in effect for such period of time following the effective date of the registration statement relating to such offering, as may be requested by the Company or such underwriters, however in any event, such period shall not exceed 180 days (in the case of the Company’s first underwritten offering of its Shares) following the effective date of such registration statement; or 90 days (in the case of a registration statement thereafter).</w:t>
      </w:r>
    </w:p>
    <w:p>
      <w:pPr>
        <w:spacing w:after="0" w:line="100" w:lineRule="exact"/>
        <w:rPr>
          <w:sz w:val="20"/>
          <w:szCs w:val="20"/>
          <w:color w:val="auto"/>
        </w:rPr>
      </w:pPr>
    </w:p>
    <w:p>
      <w:pPr>
        <w:ind w:left="973" w:right="20" w:hanging="534"/>
        <w:spacing w:after="0" w:line="269" w:lineRule="auto"/>
        <w:tabs>
          <w:tab w:leader="none" w:pos="952"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color w:val="auto"/>
        </w:rPr>
        <w:t>In the event of a subdivision of the outstanding share capital of the Company, the declaration and payment of a stock dividend (distribution of bonus shares), the declaration and payment of an extraordinary dividend payable in a form other than stock, a recapitalization, a reorganization (which may include a combination or exchange of shares or a similar transaction affecting the Company’s outstanding securities without receipt of consideration), a consolidation, a stock split, a spin-off or other corporate divestiture or division, a reclassification or other similar occurrence, an adjustment in conversion ratio,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85" w:lineRule="exact"/>
        <w:rPr>
          <w:sz w:val="20"/>
          <w:szCs w:val="20"/>
          <w:color w:val="auto"/>
        </w:rPr>
      </w:pPr>
    </w:p>
    <w:p>
      <w:pPr>
        <w:ind w:left="973" w:right="260" w:hanging="534"/>
        <w:spacing w:after="0" w:line="271" w:lineRule="auto"/>
        <w:tabs>
          <w:tab w:leader="none" w:pos="952" w:val="left"/>
        </w:tabs>
        <w:rPr>
          <w:sz w:val="20"/>
          <w:szCs w:val="20"/>
          <w:color w:val="auto"/>
        </w:rPr>
      </w:pPr>
      <w:r>
        <w:rPr>
          <w:rFonts w:ascii="Arial" w:cs="Arial" w:eastAsia="Arial" w:hAnsi="Arial"/>
          <w:sz w:val="18"/>
          <w:szCs w:val="18"/>
          <w:color w:val="auto"/>
        </w:rPr>
        <w:t>25.3.</w:t>
        <w:tab/>
        <w:t>In order to enforce the Market Stand-Off, the Company may impose stop-transfer instructions with respect to the Shares acquired under this Plan until the end of the applicable stand-off period.</w:t>
      </w:r>
    </w:p>
    <w:p>
      <w:pPr>
        <w:spacing w:after="0" w:line="81" w:lineRule="exact"/>
        <w:rPr>
          <w:sz w:val="20"/>
          <w:szCs w:val="20"/>
          <w:color w:val="auto"/>
        </w:rPr>
      </w:pPr>
    </w:p>
    <w:p>
      <w:pPr>
        <w:ind w:left="973" w:hanging="534"/>
        <w:spacing w:after="0" w:line="271" w:lineRule="auto"/>
        <w:tabs>
          <w:tab w:leader="none" w:pos="952" w:val="left"/>
        </w:tabs>
        <w:rPr>
          <w:sz w:val="20"/>
          <w:szCs w:val="20"/>
          <w:color w:val="auto"/>
        </w:rPr>
      </w:pPr>
      <w:r>
        <w:rPr>
          <w:rFonts w:ascii="Arial" w:cs="Arial" w:eastAsia="Arial" w:hAnsi="Arial"/>
          <w:sz w:val="18"/>
          <w:szCs w:val="18"/>
          <w:color w:val="auto"/>
        </w:rPr>
        <w:t>25.4.</w:t>
        <w:tab/>
        <w:t>The underwriters in connection with a registration statement so filed are intended to be third party beneficiaries of this Section 25 and shall have the right, power and authority to enforce the provisions hereof as though they were a party hereto.</w:t>
      </w:r>
    </w:p>
    <w:p>
      <w:pPr>
        <w:spacing w:after="0" w:line="81"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4"/>
          <w:szCs w:val="14"/>
          <w:color w:val="auto"/>
        </w:rPr>
        <w:t>The provisions of this Section 25 shall apply to the Grantee and to any purchaser, assignee or transferee of any Shares.</w:t>
      </w:r>
    </w:p>
    <w:p>
      <w:pPr>
        <w:spacing w:after="0" w:line="364" w:lineRule="exact"/>
        <w:rPr>
          <w:sz w:val="20"/>
          <w:szCs w:val="20"/>
          <w:color w:val="auto"/>
        </w:rPr>
      </w:pPr>
    </w:p>
    <w:p>
      <w:pPr>
        <w:ind w:left="433" w:hanging="433"/>
        <w:spacing w:after="0"/>
        <w:tabs>
          <w:tab w:leader="none" w:pos="433" w:val="left"/>
        </w:tabs>
        <w:numPr>
          <w:ilvl w:val="0"/>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 BY GRANTEE REGARDING TAXES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right="20" w:hanging="535"/>
        <w:spacing w:after="0" w:line="255" w:lineRule="auto"/>
        <w:rPr>
          <w:rFonts w:ascii="Arial" w:cs="Arial" w:eastAsia="Arial" w:hAnsi="Arial"/>
          <w:sz w:val="18"/>
          <w:szCs w:val="18"/>
          <w:color w:val="auto"/>
        </w:rPr>
      </w:pPr>
      <w:r>
        <w:rPr>
          <w:rFonts w:ascii="Arial" w:cs="Arial" w:eastAsia="Arial" w:hAnsi="Arial"/>
          <w:sz w:val="18"/>
          <w:szCs w:val="18"/>
          <w:color w:val="auto"/>
        </w:rPr>
        <w:t>26.1. If the Committee shall so require, as a condition of exercise of an Award, the release of Shares by the Trustee or the expiration of the Restricted Period, a Grantee shall agree that, no later than the date of such occurrence, he will pay to the Company or make arrangements satisfactory to the Committee and the Trustee (if applicable) regarding payment of any applicable taxes of any kind required by Applicable Law to be withheld or paid.</w:t>
      </w:r>
    </w:p>
    <w:p>
      <w:pPr>
        <w:spacing w:after="0" w:line="96" w:lineRule="exact"/>
        <w:rPr>
          <w:rFonts w:ascii="Arial" w:cs="Arial" w:eastAsia="Arial" w:hAnsi="Arial"/>
          <w:sz w:val="18"/>
          <w:szCs w:val="18"/>
          <w:color w:val="auto"/>
        </w:rPr>
      </w:pPr>
    </w:p>
    <w:p>
      <w:pPr>
        <w:ind w:left="973" w:right="60" w:hanging="535"/>
        <w:spacing w:after="0" w:line="269" w:lineRule="auto"/>
        <w:rPr>
          <w:rFonts w:ascii="Arial" w:cs="Arial" w:eastAsia="Arial" w:hAnsi="Arial"/>
          <w:sz w:val="18"/>
          <w:szCs w:val="18"/>
          <w:color w:val="auto"/>
        </w:rPr>
      </w:pPr>
      <w:r>
        <w:rPr>
          <w:rFonts w:ascii="Arial" w:cs="Arial" w:eastAsia="Arial" w:hAnsi="Arial"/>
          <w:sz w:val="17"/>
          <w:szCs w:val="17"/>
          <w:color w:val="auto"/>
        </w:rPr>
        <w:t>26.2. ALL TAX CONSEQUENCES UNDER ANY APPLICABLE LAW WHICH MAY ARISE FROM THE GRANT OF ANY AWARDS OR THE EXERCISE THEREOF, THE SALE OR DISPOSITION OF ANY SHARES GRANTED HEREUNDER OR ISSUED UPON EXERCISE OF ANY AWARD OR FROM ANY OTHER ACTION OF THE GRANTEE IN CONNECTION WITH THE FOREGOING (INCLUDING WITHOUT LIMITATION ANY TAXES OR COMPULSORY PAYMENTS, SUCH AS SOCIAL SECURITY, PAYABLE BY THE COMPANY IN CONNECTION THEREWITH) SHALL BE BORNE AND PAID SOLELY BY THE GRANTEE, AND THE GRANTEE SHALL INDEMNIFY THE COMPANY, ITS SUBSIDIARIES AND AFFILIATES AND THE TRUSTEE, AND SHALL HOLD THEM HARMLESS AGAINST AND FROM ANY LIABILITY FOR ANY SUCH TAX OR PENALTY,</w:t>
      </w:r>
    </w:p>
    <w:p>
      <w:pPr>
        <w:sectPr>
          <w:pgSz w:w="11900" w:h="16838" w:orient="portrait"/>
          <w:cols w:equalWidth="0" w:num="1">
            <w:col w:w="10893"/>
          </w:cols>
          <w:pgMar w:left="487" w:top="419" w:right="519" w:bottom="1440" w:gutter="0" w:footer="0" w:header="0"/>
        </w:sectPr>
      </w:pPr>
    </w:p>
    <w:bookmarkStart w:id="370" w:name="page371"/>
    <w:bookmarkEnd w:id="370"/>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-24-</w:t>
      </w:r>
    </w:p>
    <w:p>
      <w:pPr>
        <w:spacing w:after="0" w:line="248"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79" w:lineRule="exact"/>
        <w:rPr>
          <w:sz w:val="20"/>
          <w:szCs w:val="20"/>
          <w:color w:val="auto"/>
        </w:rPr>
      </w:pPr>
    </w:p>
    <w:p>
      <w:pPr>
        <w:ind w:left="980"/>
        <w:spacing w:after="0" w:line="251" w:lineRule="auto"/>
        <w:rPr>
          <w:sz w:val="20"/>
          <w:szCs w:val="20"/>
          <w:color w:val="auto"/>
        </w:rPr>
      </w:pPr>
      <w:r>
        <w:rPr>
          <w:rFonts w:ascii="Arial" w:cs="Arial" w:eastAsia="Arial" w:hAnsi="Arial"/>
          <w:sz w:val="18"/>
          <w:szCs w:val="18"/>
          <w:color w:val="auto"/>
        </w:rPr>
        <w:t>THE GRANTEE IS ADVISED TO CONSULT WITH A TAX ADVISOR WITH RESPECT TO THE TAX CONSEQUENCES OF RECEIVING OR EXERCISING AWARDS HEREUNDER. THE COMPANY DOES NOT ASSUME ANY RESPONSIBILITY TO ADVISE THE GRANTEE ON SUCH MATTERS, WHICH SHALL REMAIN SOLELY THE RESPONSIBILITY OF THE GRANTEE. IN ADDITION, THE COMPANY DOES NOT UNDERTAKE OR ASSUME ANY RESPONSIBILITY TO THE EFFECT THAT ANY AWARD SHALL BENEFIT FROM ANY PARTICULAR TAX TREATMENT OR TAX ADVANTAGE OF ANY TYPE AND THE COMPANY SHALL BEAR NO LIABILITY IN CONNECTION WITH THE MANNER IN WHICH ANY AWARD IS EVENTUALLY TREATED FOR TAX PURPOSES.</w:t>
      </w:r>
    </w:p>
    <w:p>
      <w:pPr>
        <w:spacing w:after="0" w:line="103" w:lineRule="exact"/>
        <w:rPr>
          <w:sz w:val="20"/>
          <w:szCs w:val="20"/>
          <w:color w:val="auto"/>
        </w:rPr>
      </w:pPr>
    </w:p>
    <w:p>
      <w:pPr>
        <w:ind w:left="540" w:right="40" w:hanging="534"/>
        <w:spacing w:after="0" w:line="284" w:lineRule="auto"/>
        <w:tabs>
          <w:tab w:leader="none" w:pos="52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The Company or any Subsidiary or Affiliate may take such action as it may deem necessary or appropriate, in its discretion, for the purpose of or in connection with withholding of any taxes which the Company or any Subsidiary or Affiliate is required by any Applicable Law to withhold in connection with any Awards (collectively, “</w:t>
      </w:r>
      <w:r>
        <w:rPr>
          <w:rFonts w:ascii="Arial" w:cs="Arial" w:eastAsia="Arial" w:hAnsi="Arial"/>
          <w:sz w:val="16"/>
          <w:szCs w:val="16"/>
          <w:b w:val="1"/>
          <w:bCs w:val="1"/>
          <w:color w:val="auto"/>
        </w:rPr>
        <w:t>Withholding Obligations</w:t>
      </w:r>
      <w:r>
        <w:rPr>
          <w:rFonts w:ascii="Arial" w:cs="Arial" w:eastAsia="Arial" w:hAnsi="Arial"/>
          <w:sz w:val="16"/>
          <w:szCs w:val="16"/>
          <w:color w:val="auto"/>
        </w:rPr>
        <w:t>”). Such actions may include, without limitation,</w:t>
      </w:r>
    </w:p>
    <w:p>
      <w:pPr>
        <w:spacing w:after="0" w:line="2" w:lineRule="exact"/>
        <w:rPr>
          <w:sz w:val="20"/>
          <w:szCs w:val="20"/>
          <w:color w:val="auto"/>
        </w:rPr>
      </w:pPr>
    </w:p>
    <w:p>
      <w:pPr>
        <w:ind w:left="540" w:right="140" w:hanging="10"/>
        <w:spacing w:after="0" w:line="279" w:lineRule="auto"/>
        <w:tabs>
          <w:tab w:leader="none" w:pos="75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requiring a Grantees to remit to the Company in cash an amount sufficient to satisfy such Withholding Obligations and any other taxes and compulsory payments, such as social security, payable by the Company in connection with the Award or the exercise thereof;</w:t>
      </w:r>
    </w:p>
    <w:p>
      <w:pPr>
        <w:ind w:left="540" w:right="220" w:hanging="10"/>
        <w:spacing w:after="0" w:line="279" w:lineRule="auto"/>
        <w:tabs>
          <w:tab w:leader="none" w:pos="80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subject to Applicable Law, allowing the Grantees to provide Shares to the Company,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w:t>
      </w:r>
    </w:p>
    <w:p>
      <w:pPr>
        <w:ind w:left="540" w:hanging="10"/>
        <w:spacing w:after="0" w:line="285" w:lineRule="auto"/>
        <w:tabs>
          <w:tab w:leader="none" w:pos="842"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7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Each Grantee shall notify the Company in writing promptly and in any event within ten (10) days after the date on which such Grantee first</w:t>
      </w:r>
    </w:p>
    <w:p>
      <w:pPr>
        <w:spacing w:after="0" w:line="20"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73" w:lineRule="exact"/>
        <w:rPr>
          <w:sz w:val="20"/>
          <w:szCs w:val="20"/>
          <w:color w:val="auto"/>
        </w:rPr>
      </w:pPr>
    </w:p>
    <w:p>
      <w:pPr>
        <w:jc w:val="both"/>
        <w:ind w:left="540" w:right="80" w:hanging="534"/>
        <w:spacing w:after="0" w:line="281" w:lineRule="auto"/>
        <w:tabs>
          <w:tab w:leader="none" w:pos="52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7"/>
          <w:szCs w:val="17"/>
          <w:color w:val="auto"/>
        </w:rPr>
        <w:t>With respect to 102 Non-Trustee Options, if the Grantee ceases to be employed by the Company or any Affiliate, the Grantee shall extend to the Company and/or its Affiliate with whom the Grantee is employed a security or guarantee for the payment of taxes due at the time of sale of Shares, all in accordance with the provisions of Section 102 of the Ordinance and the Rules.</w:t>
      </w:r>
    </w:p>
    <w:p>
      <w:pPr>
        <w:sectPr>
          <w:pgSz w:w="11900" w:h="16838" w:orient="portrait"/>
          <w:cols w:equalWidth="0" w:num="1">
            <w:col w:w="10480"/>
          </w:cols>
          <w:pgMar w:left="920" w:top="419" w:right="499" w:bottom="1440" w:gutter="0" w:footer="0" w:header="0"/>
        </w:sectPr>
      </w:pPr>
    </w:p>
    <w:bookmarkStart w:id="371" w:name="page372"/>
    <w:bookmarkEnd w:id="371"/>
    <w:p>
      <w:pPr>
        <w:jc w:val="center"/>
        <w:ind w:righ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w:t>
      </w:r>
    </w:p>
    <w:p>
      <w:pPr>
        <w:spacing w:after="0" w:line="244" w:lineRule="exact"/>
        <w:rPr>
          <w:sz w:val="20"/>
          <w:szCs w:val="20"/>
          <w:color w:val="auto"/>
        </w:rPr>
      </w:pPr>
    </w:p>
    <w:p>
      <w:pPr>
        <w:ind w:left="433" w:hanging="433"/>
        <w:spacing w:after="0"/>
        <w:tabs>
          <w:tab w:leader="none" w:pos="433"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SHAREHOLDER; VOTING AND DIVIDENDS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hanging="545"/>
        <w:spacing w:after="0" w:line="287" w:lineRule="auto"/>
        <w:tabs>
          <w:tab w:leader="none" w:pos="973" w:val="left"/>
        </w:tabs>
        <w:numPr>
          <w:ilvl w:val="1"/>
          <w:numId w:val="314"/>
        </w:numPr>
        <w:rPr>
          <w:rFonts w:ascii="Arial" w:cs="Arial" w:eastAsia="Arial" w:hAnsi="Arial"/>
          <w:sz w:val="16"/>
          <w:szCs w:val="16"/>
          <w:color w:val="auto"/>
        </w:rPr>
      </w:pPr>
      <w:r>
        <w:rPr>
          <w:rFonts w:ascii="Arial" w:cs="Arial" w:eastAsia="Arial" w:hAnsi="Arial"/>
          <w:sz w:val="16"/>
          <w:szCs w:val="16"/>
          <w:color w:val="auto"/>
        </w:rPr>
        <w:t>Subject to Section 18.7, a Grantee shall have no rights as a shareholder of the Company with respect to any Shares covered by the Award until the date of the issuance of a share certificate to the Grantee for such Shares. In the case of 102 Option Awards or 3(9) Option Awards (if such Share Options are being held by a Trustee), the Trustee shall have no rights as a shareholder of the Company with respect to any Shares covered by such Award until the date of the issuance of a share certificate to the Trustee for such Shares for the Grantee’s benefit, and the Grantee shall have no rights as a shareholder of the Company with respect to any Shares covered by the Award until the date of the release of such Shares from the Trustee to the Grantee and the issuance of a share certificate to the Grantee for such Shares. No adjustment shall be made for dividends (ordinary or extraordinary, whether in cash, securities or other property) or distribution of other rights for which the record date is prior to the date such share certificate is issued, except as provided in Section 22 hereof.</w:t>
      </w:r>
    </w:p>
    <w:p>
      <w:pPr>
        <w:spacing w:after="0" w:line="72" w:lineRule="exact"/>
        <w:rPr>
          <w:rFonts w:ascii="Arial" w:cs="Arial" w:eastAsia="Arial" w:hAnsi="Arial"/>
          <w:sz w:val="16"/>
          <w:szCs w:val="16"/>
          <w:color w:val="auto"/>
        </w:rPr>
      </w:pPr>
    </w:p>
    <w:p>
      <w:pPr>
        <w:ind w:left="973" w:right="200" w:hanging="545"/>
        <w:spacing w:after="0" w:line="255" w:lineRule="auto"/>
        <w:tabs>
          <w:tab w:leader="none" w:pos="97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With respect to all Shares issued in the form of Awards hereunder or upon the exercise of Awards hereunder, any and all voting rights attached to such Shares shall be subject to Section 10.9, and the Grantee shall be entitled to receive dividends distributed with respect to such Shares, subject to the provisions of the Company’s Articles of Association, as amended from time to time, and subject to any Applicable Law.</w:t>
      </w:r>
    </w:p>
    <w:p>
      <w:pPr>
        <w:spacing w:after="0" w:line="96" w:lineRule="exact"/>
        <w:rPr>
          <w:rFonts w:ascii="Arial" w:cs="Arial" w:eastAsia="Arial" w:hAnsi="Arial"/>
          <w:sz w:val="18"/>
          <w:szCs w:val="18"/>
          <w:color w:val="auto"/>
        </w:rPr>
      </w:pPr>
    </w:p>
    <w:p>
      <w:pPr>
        <w:ind w:left="973" w:right="360" w:hanging="545"/>
        <w:spacing w:after="0" w:line="271" w:lineRule="auto"/>
        <w:tabs>
          <w:tab w:leader="none" w:pos="97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Company may, but shall not be obligated to, register or qualify the sale of Shares under any applicable securities law or any other applicable law.</w:t>
      </w:r>
    </w:p>
    <w:p>
      <w:pPr>
        <w:spacing w:after="0" w:line="317" w:lineRule="exact"/>
        <w:rPr>
          <w:rFonts w:ascii="Arial" w:cs="Arial" w:eastAsia="Arial" w:hAnsi="Arial"/>
          <w:sz w:val="18"/>
          <w:szCs w:val="18"/>
          <w:color w:val="auto"/>
        </w:rPr>
      </w:pPr>
    </w:p>
    <w:p>
      <w:pPr>
        <w:ind w:left="433" w:hanging="433"/>
        <w:spacing w:after="0"/>
        <w:tabs>
          <w:tab w:leader="none" w:pos="433"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REPRESENTATION BY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0" w:firstLine="4"/>
        <w:spacing w:after="0" w:line="271" w:lineRule="auto"/>
        <w:tabs>
          <w:tab w:leader="none" w:pos="7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By granting the Awards, the Company is not, and shall not be deemed as, granting any representation or warranties to the Grantee regarding the Company, its business affairs, its prospects or the future value of its Shares.</w:t>
      </w:r>
    </w:p>
    <w:p>
      <w:pPr>
        <w:spacing w:after="0" w:line="318" w:lineRule="exact"/>
        <w:rPr>
          <w:sz w:val="20"/>
          <w:szCs w:val="20"/>
          <w:color w:val="auto"/>
        </w:rPr>
      </w:pPr>
    </w:p>
    <w:p>
      <w:pPr>
        <w:ind w:left="433" w:hanging="433"/>
        <w:spacing w:after="0"/>
        <w:tabs>
          <w:tab w:leader="none" w:pos="433"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RETENTION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20"/>
        <w:spacing w:after="0" w:line="270" w:lineRule="auto"/>
        <w:rPr>
          <w:rFonts w:ascii="Arial" w:cs="Arial" w:eastAsia="Arial" w:hAnsi="Arial"/>
          <w:sz w:val="18"/>
          <w:szCs w:val="18"/>
          <w:color w:val="auto"/>
        </w:rPr>
      </w:pPr>
      <w:r>
        <w:rPr>
          <w:rFonts w:ascii="Arial" w:cs="Arial" w:eastAsia="Arial" w:hAnsi="Arial"/>
          <w:sz w:val="17"/>
          <w:szCs w:val="17"/>
          <w:color w:val="auto"/>
        </w:rPr>
        <w:t>31. Nothing in the Plan or in any Award granted or agreement entered into pursuant hereto shall confer upon any Grantee the right to continue in the employ of, or be in a consultant, advisor, director, officer or supplier relationship with, the Company or any Subsidiary or Affiliate or to be entitled to any remuneration or benefits not set forth in the Plan or such agreement or to interfere with or limit in any way the right of the Company or any such Subsidiary or Affiliate to terminate such Grantee’s employment or service. Awards granted under the Plan shall not be affected by any change in duties or position of a Grantee as long as such Grantee continues to be employed by, or be in a consultant, advisor, director, officer or supplier relationship with, the Company or any Subsidiary or Affiliate.</w:t>
      </w:r>
    </w:p>
    <w:p>
      <w:pPr>
        <w:spacing w:after="0" w:line="322" w:lineRule="exact"/>
        <w:rPr>
          <w:sz w:val="20"/>
          <w:szCs w:val="20"/>
          <w:color w:val="auto"/>
        </w:rPr>
      </w:pPr>
    </w:p>
    <w:p>
      <w:pPr>
        <w:ind w:left="433" w:hanging="433"/>
        <w:spacing w:after="0"/>
        <w:tabs>
          <w:tab w:leader="none" w:pos="433"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PERIOD DURING WHICH AWARDS MAY BE GRANTED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33" w:right="40"/>
        <w:spacing w:after="0" w:line="255" w:lineRule="auto"/>
        <w:rPr>
          <w:rFonts w:ascii="Arial" w:cs="Arial" w:eastAsia="Arial" w:hAnsi="Arial"/>
          <w:sz w:val="18"/>
          <w:szCs w:val="18"/>
          <w:color w:val="auto"/>
        </w:rPr>
      </w:pPr>
      <w:r>
        <w:rPr>
          <w:rFonts w:ascii="Arial" w:cs="Arial" w:eastAsia="Arial" w:hAnsi="Arial"/>
          <w:sz w:val="18"/>
          <w:szCs w:val="18"/>
          <w:color w:val="auto"/>
        </w:rPr>
        <w:t>33. Awards may be granted pursuant to the Plan from time to time within a period of ten (10) years from the Effective Date. From the tenth (10</w:t>
      </w:r>
      <w:r>
        <w:rPr>
          <w:rFonts w:ascii="Arial" w:cs="Arial" w:eastAsia="Arial" w:hAnsi="Arial"/>
          <w:sz w:val="15"/>
          <w:szCs w:val="15"/>
          <w:color w:val="auto"/>
        </w:rPr>
        <w:t>th</w:t>
      </w:r>
      <w:r>
        <w:rPr>
          <w:rFonts w:ascii="Arial" w:cs="Arial" w:eastAsia="Arial" w:hAnsi="Arial"/>
          <w:sz w:val="18"/>
          <w:szCs w:val="18"/>
          <w:color w:val="auto"/>
        </w:rPr>
        <w:t>) anniversary of the Effective Date no grants of Awards may be made and the Plan shall continue to be in full force and effect solely with respect to such Awards that remain outstanding. The Plan shall terminate at such time after the tenth (10</w:t>
      </w:r>
      <w:r>
        <w:rPr>
          <w:rFonts w:ascii="Arial" w:cs="Arial" w:eastAsia="Arial" w:hAnsi="Arial"/>
          <w:sz w:val="15"/>
          <w:szCs w:val="15"/>
          <w:color w:val="auto"/>
        </w:rPr>
        <w:t>th</w:t>
      </w:r>
      <w:r>
        <w:rPr>
          <w:rFonts w:ascii="Arial" w:cs="Arial" w:eastAsia="Arial" w:hAnsi="Arial"/>
          <w:sz w:val="18"/>
          <w:szCs w:val="18"/>
          <w:color w:val="auto"/>
        </w:rPr>
        <w:t>) anniversary of the Effective Date that no Awards remain outstanding.</w:t>
      </w:r>
    </w:p>
    <w:p>
      <w:pPr>
        <w:spacing w:after="0" w:line="333" w:lineRule="exact"/>
        <w:rPr>
          <w:sz w:val="20"/>
          <w:szCs w:val="20"/>
          <w:color w:val="auto"/>
        </w:rPr>
      </w:pPr>
    </w:p>
    <w:p>
      <w:pPr>
        <w:ind w:left="433" w:hanging="433"/>
        <w:spacing w:after="0"/>
        <w:tabs>
          <w:tab w:leader="none" w:pos="433"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AWARD</w:t>
      </w:r>
    </w:p>
    <w:p>
      <w:pPr>
        <w:spacing w:after="0" w:line="117" w:lineRule="exact"/>
        <w:rPr>
          <w:rFonts w:ascii="Arial" w:cs="Arial" w:eastAsia="Arial" w:hAnsi="Arial"/>
          <w:sz w:val="18"/>
          <w:szCs w:val="18"/>
          <w:b w:val="1"/>
          <w:bCs w:val="1"/>
          <w:color w:val="auto"/>
        </w:rPr>
      </w:pPr>
    </w:p>
    <w:p>
      <w:pPr>
        <w:ind w:left="433"/>
        <w:spacing w:after="0"/>
        <w:rPr>
          <w:rFonts w:ascii="Arial" w:cs="Arial" w:eastAsia="Arial" w:hAnsi="Arial"/>
          <w:sz w:val="18"/>
          <w:szCs w:val="18"/>
          <w:b w:val="1"/>
          <w:bCs w:val="1"/>
          <w:color w:val="auto"/>
        </w:rPr>
      </w:pPr>
      <w:r>
        <w:rPr>
          <w:rFonts w:ascii="Arial" w:cs="Arial" w:eastAsia="Arial" w:hAnsi="Arial"/>
          <w:sz w:val="18"/>
          <w:szCs w:val="18"/>
          <w:color w:val="auto"/>
        </w:rPr>
        <w:t>35. Anything herein to the contrary notwithstanding, but without derogating from the</w:t>
      </w:r>
    </w:p>
    <w:p>
      <w:pPr>
        <w:sectPr>
          <w:pgSz w:w="11900" w:h="16838" w:orient="portrait"/>
          <w:cols w:equalWidth="0" w:num="1">
            <w:col w:w="10873"/>
          </w:cols>
          <w:pgMar w:left="487" w:top="419" w:right="539" w:bottom="1440" w:gutter="0" w:footer="0" w:header="0"/>
        </w:sectPr>
      </w:pPr>
    </w:p>
    <w:bookmarkStart w:id="372" w:name="page373"/>
    <w:bookmarkEnd w:id="372"/>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-26-</w:t>
      </w:r>
    </w:p>
    <w:p>
      <w:pPr>
        <w:spacing w:after="0" w:line="248" w:lineRule="exact"/>
        <w:rPr>
          <w:sz w:val="20"/>
          <w:szCs w:val="20"/>
          <w:color w:val="auto"/>
        </w:rPr>
      </w:pPr>
    </w:p>
    <w:p>
      <w:pPr>
        <w:ind w:left="433" w:right="60"/>
        <w:spacing w:after="0" w:line="293" w:lineRule="auto"/>
        <w:rPr>
          <w:sz w:val="20"/>
          <w:szCs w:val="20"/>
          <w:color w:val="auto"/>
        </w:rPr>
      </w:pPr>
      <w:r>
        <w:rPr>
          <w:rFonts w:ascii="Arial" w:cs="Arial" w:eastAsia="Arial" w:hAnsi="Arial"/>
          <w:sz w:val="16"/>
          <w:szCs w:val="16"/>
          <w:color w:val="auto"/>
        </w:rPr>
        <w:t>provisions of Sections 10.6, 10.7 or 14.2 hereof, if any Award, or any part thereof, has not been exercised and the Shares covered thereby not paid for within the term of the Award as determined by the Committee, which in any event shall not exceed ten (10) years after the date on which the Award was granted, as set forth in the Notice of Grant in the Grantee’s Award, such Award, or such part thereof, and the right to acquire such Shares shall terminate, and all interests and rights of the Grantee in and to the same shall expire. In the case of Shares held by a Trustee, the Grantee shall elect whether to release such Shares from trust or sell the Shares and upon such release or sale such trust shall expire.</w:t>
      </w:r>
    </w:p>
    <w:p>
      <w:pPr>
        <w:spacing w:after="0" w:line="304" w:lineRule="exact"/>
        <w:rPr>
          <w:sz w:val="20"/>
          <w:szCs w:val="20"/>
          <w:color w:val="auto"/>
        </w:rPr>
      </w:pPr>
    </w:p>
    <w:p>
      <w:pPr>
        <w:ind w:left="433" w:hanging="433"/>
        <w:spacing w:after="0"/>
        <w:tabs>
          <w:tab w:leader="none" w:pos="433"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0"/>
        <w:spacing w:after="0" w:line="290" w:lineRule="auto"/>
        <w:rPr>
          <w:rFonts w:ascii="Arial" w:cs="Arial" w:eastAsia="Arial" w:hAnsi="Arial"/>
          <w:sz w:val="18"/>
          <w:szCs w:val="18"/>
          <w:color w:val="auto"/>
        </w:rPr>
      </w:pPr>
      <w:r>
        <w:rPr>
          <w:rFonts w:ascii="Arial" w:cs="Arial" w:eastAsia="Arial" w:hAnsi="Arial"/>
          <w:sz w:val="16"/>
          <w:szCs w:val="16"/>
          <w:color w:val="auto"/>
        </w:rPr>
        <w:t>37. The Board at any time and from time to time may suspend, terminate, modify or amend the Plan, whether retroactively or prospectively; provided, however, that, unless otherwise determined by the Board, an amendment which requires shareholder approval in order for the Plan to continue to comply with any Applicable Law shall not be effective unless approved by the requisite vote of shareholders, and provided further that except as provided herein, no suspension, termination, modification or amendment of the Plan may adversely affect any Award previously granted, without the written consent of Grantees holding a majority in interest of the Awards so affected, and in the event that such consent is obtained, all Awards so affected and the holders thereof shall be bound by and be deemed amended as set forth in, such consent.</w:t>
      </w:r>
    </w:p>
    <w:p>
      <w:pPr>
        <w:spacing w:after="0" w:line="307" w:lineRule="exact"/>
        <w:rPr>
          <w:sz w:val="20"/>
          <w:szCs w:val="20"/>
          <w:color w:val="auto"/>
        </w:rPr>
      </w:pPr>
    </w:p>
    <w:p>
      <w:pPr>
        <w:ind w:left="433" w:hanging="433"/>
        <w:spacing w:after="0"/>
        <w:tabs>
          <w:tab w:leader="none" w:pos="433"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APPROVAL</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73" w:hanging="535"/>
        <w:spacing w:after="0" w:line="268" w:lineRule="auto"/>
        <w:rPr>
          <w:rFonts w:ascii="Arial" w:cs="Arial" w:eastAsia="Arial" w:hAnsi="Arial"/>
          <w:sz w:val="18"/>
          <w:szCs w:val="18"/>
          <w:color w:val="auto"/>
        </w:rPr>
      </w:pPr>
      <w:r>
        <w:rPr>
          <w:rFonts w:ascii="Arial" w:cs="Arial" w:eastAsia="Arial" w:hAnsi="Arial"/>
          <w:sz w:val="17"/>
          <w:szCs w:val="17"/>
          <w:color w:val="auto"/>
        </w:rPr>
        <w:t>38.1. The Plan shall take effect upon its adoption by the Board (the “</w:t>
      </w:r>
      <w:r>
        <w:rPr>
          <w:rFonts w:ascii="Arial" w:cs="Arial" w:eastAsia="Arial" w:hAnsi="Arial"/>
          <w:sz w:val="17"/>
          <w:szCs w:val="17"/>
          <w:b w:val="1"/>
          <w:bCs w:val="1"/>
          <w:color w:val="auto"/>
        </w:rPr>
        <w:t>Effective Date</w:t>
      </w:r>
      <w:r>
        <w:rPr>
          <w:rFonts w:ascii="Arial" w:cs="Arial" w:eastAsia="Arial" w:hAnsi="Arial"/>
          <w:sz w:val="17"/>
          <w:szCs w:val="17"/>
          <w:color w:val="auto"/>
        </w:rPr>
        <w:t>”), except that solely with respect to grants of Incentive Stock Options the Plan shall also be subject to approval within one year of the Effective Date, by a majority of the votes cast on the proposal at a meeting or a written consent of shareholders. Failure to obtain approval by the shareholders shall not in any way derogate from the valid and binding effect of any grant of an Award, which is not an Incentive Stock Option. Upon approval of the Plan by the shareholders of the Company as set forth above, all Incentive Stock Options granted under the Plan on or after the Effective Date shall be fully effective as if the shareholders of the Company had approved the Plan on the Effective Date. Notwithstanding the foregoing, in the event that approval of the Plan by the shareholders of the Company is required under Applicable Law, in connection with the application of certain tax treatment or pursuant to applicable stock exchange rules or regulations or otherwise, such approval shall be obtained within the time required under the Applicable Law.</w:t>
      </w:r>
    </w:p>
    <w:p>
      <w:pPr>
        <w:spacing w:after="0" w:line="85"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8"/>
          <w:szCs w:val="18"/>
          <w:color w:val="auto"/>
        </w:rPr>
        <w:t>38.2.  The 102 Awards are subject to the approval, if required, of the ITA and receipt by the Company of all approvals thereof.</w:t>
      </w:r>
    </w:p>
    <w:p>
      <w:pPr>
        <w:spacing w:after="0" w:line="364" w:lineRule="exact"/>
        <w:rPr>
          <w:rFonts w:ascii="Arial" w:cs="Arial" w:eastAsia="Arial" w:hAnsi="Arial"/>
          <w:sz w:val="18"/>
          <w:szCs w:val="18"/>
          <w:color w:val="auto"/>
        </w:rPr>
      </w:pPr>
    </w:p>
    <w:p>
      <w:pPr>
        <w:ind w:left="433" w:hanging="433"/>
        <w:spacing w:after="0"/>
        <w:tabs>
          <w:tab w:leader="none" w:pos="433"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RULES PARTICULAR TO SPECIFIC COUNTRIES; SECTION 409A</w:t>
      </w:r>
    </w:p>
    <w:p>
      <w:pPr>
        <w:spacing w:after="0" w:line="117" w:lineRule="exact"/>
        <w:rPr>
          <w:rFonts w:ascii="Arial" w:cs="Arial" w:eastAsia="Arial" w:hAnsi="Arial"/>
          <w:sz w:val="18"/>
          <w:szCs w:val="18"/>
          <w:b w:val="1"/>
          <w:bCs w:val="1"/>
          <w:color w:val="auto"/>
        </w:rPr>
      </w:pPr>
    </w:p>
    <w:p>
      <w:pPr>
        <w:ind w:left="433"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Notwithstanding anything herein to the contrary, the terms and conditions of the Plan may be amended with respect to a particular country by means of an appendix to the Plan, and to the extent that the terms and conditions set forth in any appendix conflict with any provisions of the Plan, the provisions of the appendix shall govern. Terms and conditions set forth in the Appendix shall apply only to Award granted to a Grantee under the jurisdiction of the specific country that is the subject of the appendix and shall not apply to Awards issued to a Grantee not under the jurisdiction of such country. The adoption of any such appendix</w:t>
      </w:r>
    </w:p>
    <w:p>
      <w:pPr>
        <w:sectPr>
          <w:pgSz w:w="11900" w:h="16838" w:orient="portrait"/>
          <w:cols w:equalWidth="0" w:num="1">
            <w:col w:w="10913"/>
          </w:cols>
          <w:pgMar w:left="487" w:top="419" w:right="499" w:bottom="1440" w:gutter="0" w:footer="0" w:header="0"/>
        </w:sectPr>
      </w:pPr>
    </w:p>
    <w:bookmarkStart w:id="373" w:name="page374"/>
    <w:bookmarkEnd w:id="373"/>
    <w:p>
      <w:pPr>
        <w:jc w:val="center"/>
        <w:ind w:righ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-27-</w:t>
      </w:r>
    </w:p>
    <w:p>
      <w:pPr>
        <w:spacing w:after="0" w:line="248" w:lineRule="exact"/>
        <w:rPr>
          <w:sz w:val="20"/>
          <w:szCs w:val="20"/>
          <w:color w:val="auto"/>
        </w:rPr>
      </w:pPr>
    </w:p>
    <w:p>
      <w:pPr>
        <w:jc w:val="both"/>
        <w:ind w:left="433" w:right="20"/>
        <w:spacing w:after="0" w:line="284" w:lineRule="auto"/>
        <w:rPr>
          <w:sz w:val="20"/>
          <w:szCs w:val="20"/>
          <w:color w:val="auto"/>
        </w:rPr>
      </w:pPr>
      <w:r>
        <w:rPr>
          <w:rFonts w:ascii="Arial" w:cs="Arial" w:eastAsia="Arial" w:hAnsi="Arial"/>
          <w:sz w:val="16"/>
          <w:szCs w:val="16"/>
          <w:color w:val="auto"/>
        </w:rPr>
        <w:t>shall be subject to the approval of the Board of Directors or Committee, and if required in connection with the application of certain tax treatment, pursuant to applicable stock exchange rules or regulations or otherwise, then also the approval of the shareholders of the Company at the required majority. To the extent applicable, the Plan and any agreement hereunder shall be interpreted in accordance with Section 409A of the Code.</w:t>
      </w:r>
    </w:p>
    <w:p>
      <w:pPr>
        <w:spacing w:after="0" w:line="2" w:lineRule="exact"/>
        <w:rPr>
          <w:sz w:val="20"/>
          <w:szCs w:val="20"/>
          <w:color w:val="auto"/>
        </w:rPr>
      </w:pPr>
    </w:p>
    <w:p>
      <w:pPr>
        <w:ind w:left="433" w:right="200"/>
        <w:spacing w:after="0" w:line="268" w:lineRule="auto"/>
        <w:rPr>
          <w:sz w:val="20"/>
          <w:szCs w:val="20"/>
          <w:color w:val="auto"/>
        </w:rPr>
      </w:pPr>
      <w:r>
        <w:rPr>
          <w:rFonts w:ascii="Arial" w:cs="Arial" w:eastAsia="Arial" w:hAnsi="Arial"/>
          <w:sz w:val="17"/>
          <w:szCs w:val="17"/>
          <w:color w:val="auto"/>
        </w:rPr>
        <w:t>Notwithstanding any provision of the Plan to the contrary, in the event that, following the Effective Date, the Board determines that any Award may be subject to Section 409A of the Code, the Board may adopt such amendments to the Plan and such agreement or adopt other policies and procedures (including amendments, policies and procedures with retroactive effect), or take any other actions, that the Board determines are necessary or appropriate to (a) exempt the Award from Section 409A of the Code and/or preserve the intended tax treatment of the benefits provided with respect to the Award or (b) comply with the requirements of Section 409A of the Code.</w:t>
      </w:r>
    </w:p>
    <w:p>
      <w:pPr>
        <w:spacing w:after="0" w:line="323" w:lineRule="exact"/>
        <w:rPr>
          <w:sz w:val="20"/>
          <w:szCs w:val="20"/>
          <w:color w:val="auto"/>
        </w:rPr>
      </w:pPr>
    </w:p>
    <w:p>
      <w:pPr>
        <w:ind w:left="433" w:hanging="433"/>
        <w:spacing w:after="0"/>
        <w:tabs>
          <w:tab w:leader="none" w:pos="433"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120"/>
        <w:spacing w:after="0" w:line="270" w:lineRule="auto"/>
        <w:rPr>
          <w:rFonts w:ascii="Arial" w:cs="Arial" w:eastAsia="Arial" w:hAnsi="Arial"/>
          <w:sz w:val="18"/>
          <w:szCs w:val="18"/>
          <w:color w:val="auto"/>
        </w:rPr>
      </w:pPr>
      <w:r>
        <w:rPr>
          <w:rFonts w:ascii="Arial" w:cs="Arial" w:eastAsia="Arial" w:hAnsi="Arial"/>
          <w:sz w:val="17"/>
          <w:szCs w:val="17"/>
          <w:color w:val="auto"/>
        </w:rPr>
        <w:t>41. The Plan and all determinations made and actions taken pursuant hereto shall be governed by the laws of the State of Israel, except with respect to matters that are subject to tax laws, regulations and rules in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and by signing any agreement relating to an Award hereunder each Grantee irrevocably submits to such exclusive jurisdiction.</w:t>
      </w:r>
    </w:p>
    <w:p>
      <w:pPr>
        <w:spacing w:after="0" w:line="322" w:lineRule="exact"/>
        <w:rPr>
          <w:sz w:val="20"/>
          <w:szCs w:val="20"/>
          <w:color w:val="auto"/>
        </w:rPr>
      </w:pPr>
    </w:p>
    <w:p>
      <w:pPr>
        <w:ind w:left="433" w:hanging="433"/>
        <w:spacing w:after="0"/>
        <w:tabs>
          <w:tab w:leader="none" w:pos="433"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spacing w:after="0" w:line="290" w:lineRule="auto"/>
        <w:rPr>
          <w:rFonts w:ascii="Arial" w:cs="Arial" w:eastAsia="Arial" w:hAnsi="Arial"/>
          <w:sz w:val="18"/>
          <w:szCs w:val="18"/>
          <w:color w:val="auto"/>
        </w:rPr>
      </w:pPr>
      <w:r>
        <w:rPr>
          <w:rFonts w:ascii="Arial" w:cs="Arial" w:eastAsia="Arial" w:hAnsi="Arial"/>
          <w:sz w:val="16"/>
          <w:szCs w:val="16"/>
          <w:color w:val="auto"/>
        </w:rPr>
        <w:t>43. Neither the adoption of the Plan by the Board nor the submission of the Plan to shareholders of the Company for approval (to the extent required under Applicable Law), shall be construed as creating any limitations on the power or authority of the Board to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generally, or to any class or group of employees, which the Company or any Subsidiary now has lawfully put into effect, including, without limitation, any retirement, pension, savings and stock purchase plan, insurance, death and disability benefits and executive short-term or long-term incentive plans.</w:t>
      </w:r>
    </w:p>
    <w:p>
      <w:pPr>
        <w:spacing w:after="0" w:line="307" w:lineRule="exact"/>
        <w:rPr>
          <w:sz w:val="20"/>
          <w:szCs w:val="20"/>
          <w:color w:val="auto"/>
        </w:rPr>
      </w:pPr>
    </w:p>
    <w:p>
      <w:pPr>
        <w:ind w:left="433" w:hanging="433"/>
        <w:spacing w:after="0"/>
        <w:tabs>
          <w:tab w:leader="none" w:pos="433"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973" w:right="60" w:hanging="535"/>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Additional Terms</w:t>
      </w:r>
      <w:r>
        <w:rPr>
          <w:rFonts w:ascii="Arial" w:cs="Arial" w:eastAsia="Arial" w:hAnsi="Arial"/>
          <w:sz w:val="18"/>
          <w:szCs w:val="18"/>
          <w:color w:val="auto"/>
        </w:rPr>
        <w:t>. Each Award awarded under the Plan may contain such other terms and conditions not inconsistent with the Plan as may be determined by the Committee, in its sole discretion.</w:t>
      </w:r>
    </w:p>
    <w:p>
      <w:pPr>
        <w:spacing w:after="0" w:line="80" w:lineRule="exact"/>
        <w:rPr>
          <w:rFonts w:ascii="Arial" w:cs="Arial" w:eastAsia="Arial" w:hAnsi="Arial"/>
          <w:sz w:val="18"/>
          <w:szCs w:val="18"/>
          <w:color w:val="auto"/>
        </w:rPr>
      </w:pPr>
    </w:p>
    <w:p>
      <w:pPr>
        <w:ind w:left="973" w:hanging="535"/>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Agreement shall for any reason be held to be excessively broad as to duration, geographic scope, activity or subject, it shall be construed by limiting and reducing such provision as to such characteristic so that the provision is enforceable to fullest extent compatible with the applicable law as it shall then appear.</w:t>
      </w:r>
    </w:p>
    <w:p>
      <w:pPr>
        <w:sectPr>
          <w:pgSz w:w="11900" w:h="16838" w:orient="portrait"/>
          <w:cols w:equalWidth="0" w:num="1">
            <w:col w:w="10893"/>
          </w:cols>
          <w:pgMar w:left="487" w:top="419" w:right="519" w:bottom="1440" w:gutter="0" w:footer="0" w:header="0"/>
        </w:sectPr>
      </w:pPr>
    </w:p>
    <w:bookmarkStart w:id="374" w:name="page375"/>
    <w:bookmarkEnd w:id="374"/>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-28-</w:t>
      </w:r>
    </w:p>
    <w:p>
      <w:pPr>
        <w:spacing w:after="0" w:line="248" w:lineRule="exact"/>
        <w:rPr>
          <w:sz w:val="20"/>
          <w:szCs w:val="20"/>
          <w:color w:val="auto"/>
        </w:rPr>
      </w:pPr>
    </w:p>
    <w:p>
      <w:pPr>
        <w:ind w:left="540" w:hanging="534"/>
        <w:spacing w:after="0" w:line="335" w:lineRule="auto"/>
        <w:tabs>
          <w:tab w:leader="none" w:pos="5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Captions and Titles</w:t>
      </w:r>
      <w:r>
        <w:rPr>
          <w:rFonts w:ascii="Arial" w:cs="Arial" w:eastAsia="Arial" w:hAnsi="Arial"/>
          <w:sz w:val="16"/>
          <w:szCs w:val="16"/>
          <w:color w:val="auto"/>
        </w:rPr>
        <w:t>. The use of captions and titles in this Plan or any Option Agreement, Restricted Share Agreement or other Award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related agreement is for the convenience of reference only and shall not affect the meaning of any provision of the Plan or such agreement.</w:t>
      </w:r>
    </w:p>
    <w:p>
      <w:pPr>
        <w:spacing w:after="0" w:line="128" w:lineRule="exact"/>
        <w:rPr>
          <w:sz w:val="20"/>
          <w:szCs w:val="20"/>
          <w:color w:val="auto"/>
        </w:rPr>
      </w:pPr>
    </w:p>
    <w:p>
      <w:pPr>
        <w:jc w:val="center"/>
        <w:ind w:right="360"/>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0420"/>
          </w:cols>
          <w:pgMar w:left="920" w:top="419" w:right="559" w:bottom="1440" w:gutter="0" w:footer="0" w:header="0"/>
        </w:sectPr>
      </w:pPr>
    </w:p>
    <w:bookmarkStart w:id="375" w:name="page376"/>
    <w:bookmarkEnd w:id="375"/>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GLOBAL-E ONLINE LTD.</w:t>
      </w: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2013 SHARE INCENTIVE PLAN</w:t>
      </w:r>
    </w:p>
    <w:p>
      <w:pPr>
        <w:spacing w:after="0" w:line="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ADDENDUM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shall have the meaning ascribed to them in the Global-E Online Ltd. 2013 Share Incentive Plan.</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terms of the Plan and the requirements of Section 422 of the U.S. Internal Revenue Code and the regulations thereunder, the Board shall obtain the approval of the shareholders of the Company with respect to any increase in the number of Shares reserved for the grant of Awards under the Plan.</w:t>
      </w:r>
    </w:p>
    <w:p>
      <w:pPr>
        <w:sectPr>
          <w:pgSz w:w="11900" w:h="16838" w:orient="portrait"/>
          <w:cols w:equalWidth="0" w:num="1">
            <w:col w:w="10520"/>
          </w:cols>
          <w:pgMar w:left="480" w:top="268" w:right="89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236855</wp:posOffset>
            </wp:positionV>
            <wp:extent cx="1460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234950</wp:posOffset>
            </wp:positionV>
            <wp:extent cx="1460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defined, terms used herein shall have the meaning ascribed to them in Section 2 hereof.</w:t>
      </w:r>
    </w:p>
    <w:p>
      <w:pPr>
        <w:spacing w:after="0" w:line="221" w:lineRule="exact"/>
        <w:rPr>
          <w:sz w:val="20"/>
          <w:szCs w:val="20"/>
          <w:color w:val="auto"/>
        </w:rPr>
      </w:pPr>
    </w:p>
    <w:p>
      <w:pPr>
        <w:ind w:left="180" w:hanging="173"/>
        <w:spacing w:after="0"/>
        <w:tabs>
          <w:tab w:leader="none" w:pos="18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PURPOSE; TYPES OF AWARDS; CONSTRUCTION</w:t>
      </w:r>
      <w:r>
        <w:rPr>
          <w:rFonts w:ascii="Arial" w:cs="Arial" w:eastAsia="Arial" w:hAnsi="Arial"/>
          <w:sz w:val="18"/>
          <w:szCs w:val="18"/>
          <w:color w:val="auto"/>
        </w:rPr>
        <w:t>.</w:t>
      </w:r>
    </w:p>
    <w:p>
      <w:pPr>
        <w:spacing w:after="0" w:line="114"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2021 Share Incentive Plan (as amended, this “</w:t>
      </w:r>
      <w:r>
        <w:rPr>
          <w:rFonts w:ascii="Arial" w:cs="Arial" w:eastAsia="Arial" w:hAnsi="Arial"/>
          <w:sz w:val="16"/>
          <w:szCs w:val="16"/>
          <w:u w:val="single" w:color="auto"/>
          <w:color w:val="auto"/>
        </w:rPr>
        <w:t>Plan</w:t>
      </w:r>
      <w:r>
        <w:rPr>
          <w:rFonts w:ascii="Arial" w:cs="Arial" w:eastAsia="Arial" w:hAnsi="Arial"/>
          <w:sz w:val="16"/>
          <w:szCs w:val="16"/>
          <w:color w:val="auto"/>
        </w:rPr>
        <w:t>”) is to afford an incentive to Service Providers of Global-E Online Ltd., an Israeli company (together with any successor corporation thereto, the “</w:t>
      </w:r>
      <w:r>
        <w:rPr>
          <w:rFonts w:ascii="Arial" w:cs="Arial" w:eastAsia="Arial" w:hAnsi="Arial"/>
          <w:sz w:val="16"/>
          <w:szCs w:val="16"/>
          <w:u w:val="single" w:color="auto"/>
          <w:color w:val="auto"/>
        </w:rPr>
        <w:t>Company</w:t>
      </w:r>
      <w:r>
        <w:rPr>
          <w:rFonts w:ascii="Arial" w:cs="Arial" w:eastAsia="Arial" w:hAnsi="Arial"/>
          <w:sz w:val="16"/>
          <w:szCs w:val="16"/>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of the Company, Options, Restricted Shares Units (“</w:t>
      </w:r>
      <w:r>
        <w:rPr>
          <w:rFonts w:ascii="Arial" w:cs="Arial" w:eastAsia="Arial" w:hAnsi="Arial"/>
          <w:sz w:val="16"/>
          <w:szCs w:val="16"/>
          <w:u w:val="single" w:color="auto"/>
          <w:color w:val="auto"/>
        </w:rPr>
        <w:t>RSUs</w:t>
      </w:r>
      <w:r>
        <w:rPr>
          <w:rFonts w:ascii="Arial" w:cs="Arial" w:eastAsia="Arial" w:hAnsi="Arial"/>
          <w:sz w:val="16"/>
          <w:szCs w:val="16"/>
          <w:color w:val="auto"/>
        </w:rPr>
        <w:t>”), share appreciation rights and other Share-based Awards pursuant to Sections 11 through 13 of this Plan.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 This Plan is intended to enable the Company to issue Awards under various tax regimes, including:</w:t>
      </w:r>
    </w:p>
    <w:p>
      <w:pPr>
        <w:spacing w:after="0" w:line="114" w:lineRule="exact"/>
        <w:rPr>
          <w:sz w:val="20"/>
          <w:szCs w:val="20"/>
          <w:color w:val="auto"/>
        </w:rPr>
      </w:pPr>
    </w:p>
    <w:p>
      <w:pPr>
        <w:ind w:left="440" w:right="180" w:firstLine="423"/>
        <w:spacing w:after="0" w:line="253" w:lineRule="auto"/>
        <w:tabs>
          <w:tab w:leader="none" w:pos="10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Arial" w:cs="Arial" w:eastAsia="Arial" w:hAnsi="Arial"/>
          <w:sz w:val="18"/>
          <w:szCs w:val="18"/>
          <w:u w:val="single" w:color="auto"/>
          <w:color w:val="auto"/>
        </w:rPr>
        <w:t>ITA</w:t>
      </w:r>
      <w:r>
        <w:rPr>
          <w:rFonts w:ascii="Arial" w:cs="Arial" w:eastAsia="Arial" w:hAnsi="Arial"/>
          <w:sz w:val="18"/>
          <w:szCs w:val="18"/>
          <w:color w:val="auto"/>
        </w:rPr>
        <w:t>”), including the Income Tax Rules (Tax Benefits in Stock Issuance to Employees) 5763-2003 or such other rules so adopted from time to time (the “</w:t>
      </w:r>
      <w:r>
        <w:rPr>
          <w:rFonts w:ascii="Arial" w:cs="Arial" w:eastAsia="Arial" w:hAnsi="Arial"/>
          <w:sz w:val="18"/>
          <w:szCs w:val="18"/>
          <w:u w:val="single" w:color="auto"/>
          <w:color w:val="auto"/>
        </w:rPr>
        <w:t>Rules</w:t>
      </w:r>
      <w:r>
        <w:rPr>
          <w:rFonts w:ascii="Arial" w:cs="Arial" w:eastAsia="Arial" w:hAnsi="Arial"/>
          <w:sz w:val="18"/>
          <w:szCs w:val="18"/>
          <w:color w:val="auto"/>
        </w:rPr>
        <w:t>”) (such Awards that are intended to be (as set forth in the Award Agreement) and which qualify as such under Section 102 of the Ordinance and the Rules, “</w:t>
      </w:r>
      <w:r>
        <w:rPr>
          <w:rFonts w:ascii="Arial" w:cs="Arial" w:eastAsia="Arial" w:hAnsi="Arial"/>
          <w:sz w:val="18"/>
          <w:szCs w:val="18"/>
          <w:u w:val="single" w:color="auto"/>
          <w:color w:val="auto"/>
        </w:rPr>
        <w:t>102 Awards</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40" w:right="200" w:firstLine="423"/>
        <w:spacing w:after="0" w:line="271" w:lineRule="auto"/>
        <w:tabs>
          <w:tab w:leader="none" w:pos="112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pursuant to Section 3(i) of the Ordinance or the corresponding provision of any subsequently enacted statute, as amended from time to time (such Awards, “</w:t>
      </w:r>
      <w:r>
        <w:rPr>
          <w:rFonts w:ascii="Arial" w:cs="Arial" w:eastAsia="Arial" w:hAnsi="Arial"/>
          <w:sz w:val="18"/>
          <w:szCs w:val="18"/>
          <w:u w:val="single" w:color="auto"/>
          <w:color w:val="auto"/>
        </w:rPr>
        <w:t>3(i) Awards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160" w:firstLine="423"/>
        <w:spacing w:after="0" w:line="297" w:lineRule="auto"/>
        <w:tabs>
          <w:tab w:leader="none" w:pos="117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440" w:right="180" w:firstLine="423"/>
        <w:spacing w:after="0" w:line="271" w:lineRule="auto"/>
        <w:tabs>
          <w:tab w:leader="none" w:pos="116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Options not intended to be (as set forth in the Award Agreement) or which do not qualify as an Incentive Stock Option (“</w:t>
      </w:r>
      <w:r>
        <w:rPr>
          <w:rFonts w:ascii="Arial" w:cs="Arial" w:eastAsia="Arial" w:hAnsi="Arial"/>
          <w:sz w:val="18"/>
          <w:szCs w:val="18"/>
          <w:u w:val="single" w:color="auto"/>
          <w:color w:val="auto"/>
        </w:rPr>
        <w:t>Nonqualified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120" w:hanging="257"/>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Share appreciation rights; and</w:t>
      </w:r>
    </w:p>
    <w:p>
      <w:pPr>
        <w:spacing w:after="0" w:line="113" w:lineRule="exact"/>
        <w:rPr>
          <w:rFonts w:ascii="Arial" w:cs="Arial" w:eastAsia="Arial" w:hAnsi="Arial"/>
          <w:sz w:val="18"/>
          <w:szCs w:val="18"/>
          <w:color w:val="auto"/>
        </w:rPr>
      </w:pPr>
    </w:p>
    <w:p>
      <w:pPr>
        <w:ind w:left="1160" w:hanging="29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Restricted Shares, RSUs and other forms of Share-based Awards.</w:t>
      </w:r>
    </w:p>
    <w:p>
      <w:pPr>
        <w:spacing w:after="0" w:line="2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 respect to which the Committee is empowered, but is not required, to make the requisite adjustments in this Plan and set forth the relevant conditions in an appendix to this Plan or in the Company’s agreement with the Grantee in order to comply with the requirements of such other tax regimes.</w:t>
      </w:r>
    </w:p>
    <w:p>
      <w:pPr>
        <w:sectPr>
          <w:pgSz w:w="11900" w:h="16838" w:orient="portrait"/>
          <w:cols w:equalWidth="0" w:num="1">
            <w:col w:w="10920"/>
          </w:cols>
          <w:pgMar w:left="480" w:top="121" w:right="499" w:bottom="1440" w:gutter="0" w:footer="0" w:header="0"/>
        </w:sectPr>
      </w:pPr>
    </w:p>
    <w:bookmarkStart w:id="377" w:name="page378"/>
    <w:bookmarkEnd w:id="377"/>
    <w:p>
      <w:pPr>
        <w:ind w:right="20" w:firstLine="436"/>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 </w:t>
      </w:r>
      <w:r>
        <w:rPr>
          <w:rFonts w:ascii="Arial" w:cs="Arial" w:eastAsia="Arial" w:hAnsi="Arial"/>
          <w:sz w:val="18"/>
          <w:szCs w:val="18"/>
          <w:u w:val="single" w:color="auto"/>
          <w:color w:val="auto"/>
        </w:rPr>
        <w:t>Construction</w:t>
      </w:r>
      <w:r>
        <w:rPr>
          <w:rFonts w:ascii="Arial" w:cs="Arial" w:eastAsia="Arial" w:hAnsi="Arial"/>
          <w:sz w:val="18"/>
          <w:szCs w:val="18"/>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 With respect to 102 Awards, if and to the extent any action or the exercise or application of any provision hereof or authority granted hereby is conditioned or subject to obtaining a ruling or tax determination from the ITA, to the extent required by Applicable Law, then the taking of any such action or 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 such ruling or tax determination (which shall be in the sole discretion of the Committee) and no assurance is made that if applied any such ruling or tax determination will be obtained (or the conditions thereof).</w:t>
      </w:r>
    </w:p>
    <w:p>
      <w:pPr>
        <w:spacing w:after="0" w:line="199" w:lineRule="exact"/>
        <w:rPr>
          <w:sz w:val="20"/>
          <w:szCs w:val="20"/>
          <w:color w:val="auto"/>
        </w:rPr>
      </w:pPr>
    </w:p>
    <w:p>
      <w:pPr>
        <w:ind w:left="180" w:hanging="173"/>
        <w:spacing w:after="0"/>
        <w:tabs>
          <w:tab w:leader="none" w:pos="18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4"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Terms Generally</w:t>
      </w:r>
      <w:r>
        <w:rPr>
          <w:rFonts w:ascii="Arial" w:cs="Arial" w:eastAsia="Arial" w:hAnsi="Arial"/>
          <w:sz w:val="17"/>
          <w:szCs w:val="17"/>
          <w:color w:val="auto"/>
        </w:rPr>
        <w:t>. Except when otherwise indicated by the context, (i) the singular shall include the plural and the plural shall 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ascribed to them in this Section 2:</w:t>
      </w:r>
    </w:p>
    <w:p>
      <w:pPr>
        <w:spacing w:after="0" w:line="114"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(i)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 or (ii) Employer.</w:t>
      </w:r>
    </w:p>
    <w:p>
      <w:pPr>
        <w:spacing w:after="0" w:line="62" w:lineRule="exact"/>
        <w:rPr>
          <w:sz w:val="20"/>
          <w:szCs w:val="20"/>
          <w:color w:val="auto"/>
        </w:rPr>
      </w:pPr>
    </w:p>
    <w:p>
      <w:pPr>
        <w:ind w:right="60" w:firstLine="436"/>
        <w:spacing w:after="0" w:line="281"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62"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w:t>
      </w:r>
      <w:r>
        <w:rPr>
          <w:rFonts w:ascii="Arial" w:cs="Arial" w:eastAsia="Arial" w:hAnsi="Arial"/>
          <w:sz w:val="18"/>
          <w:szCs w:val="18"/>
          <w:color w:val="auto"/>
        </w:rPr>
        <w:t>” shall mean any issuance of Shares or Restricted Share, Options, RSUs, share appreciation rights and other Share-based Awards granted under this Plan.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4"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Change in Board Event</w:t>
      </w:r>
      <w:r>
        <w:rPr>
          <w:rFonts w:ascii="Arial" w:cs="Arial" w:eastAsia="Arial" w:hAnsi="Arial"/>
          <w:sz w:val="16"/>
          <w:szCs w:val="16"/>
          <w:color w:val="auto"/>
        </w:rPr>
        <w:t>” shall mean any time at which individuals who, as of the Effective Date, constitute the Board (the “</w:t>
      </w:r>
      <w:r>
        <w:rPr>
          <w:rFonts w:ascii="Arial" w:cs="Arial" w:eastAsia="Arial" w:hAnsi="Arial"/>
          <w:sz w:val="16"/>
          <w:szCs w:val="16"/>
          <w:u w:val="single" w:color="auto"/>
          <w:color w:val="auto"/>
        </w:rPr>
        <w:t>Incumbent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378" w:name="page379"/>
    <w:bookmarkEnd w:id="37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2.9. “</w:t>
      </w:r>
      <w:r>
        <w:rPr>
          <w:rFonts w:ascii="Arial" w:cs="Arial" w:eastAsia="Arial" w:hAnsi="Arial"/>
          <w:sz w:val="16"/>
          <w:szCs w:val="16"/>
          <w:u w:val="single" w:color="auto"/>
          <w:color w:val="auto"/>
        </w:rPr>
        <w:t>Code</w:t>
      </w:r>
      <w:r>
        <w:rPr>
          <w:rFonts w:ascii="Arial" w:cs="Arial" w:eastAsia="Arial" w:hAnsi="Arial"/>
          <w:sz w:val="16"/>
          <w:szCs w:val="16"/>
          <w:color w:val="auto"/>
        </w:rPr>
        <w:t>” shall mean the United States Internal Revenue Code of 1986, and any applicable regulations promulgated thereunder, all as amended.</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 committee established or appointed by the Board to administer this Plan, subject to Section 3.1.</w:t>
      </w:r>
    </w:p>
    <w:p>
      <w:pPr>
        <w:spacing w:after="0" w:line="11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Companies Law</w:t>
      </w:r>
      <w:r>
        <w:rPr>
          <w:rFonts w:ascii="Arial" w:cs="Arial" w:eastAsia="Arial" w:hAnsi="Arial"/>
          <w:sz w:val="18"/>
          <w:szCs w:val="18"/>
          <w:color w:val="auto"/>
        </w:rPr>
        <w:t>” shall mean the Israel Companies Law, 5759-1999, and the regulations promulgated thereunder, all as amended from time to time.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Controlling Shareholder</w:t>
      </w:r>
      <w:r>
        <w:rPr>
          <w:rFonts w:ascii="Arial" w:cs="Arial" w:eastAsia="Arial" w:hAnsi="Arial"/>
          <w:sz w:val="18"/>
          <w:szCs w:val="18"/>
          <w:color w:val="auto"/>
        </w:rPr>
        <w:t>” shall have the meaning set forth in Section 32(9) of the Ordinance.</w:t>
      </w:r>
    </w:p>
    <w:p>
      <w:pPr>
        <w:spacing w:after="0" w:line="114"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(i)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(ii) if applicable, a “permanent and total disability” as defined in Section 22(e)(3) of the Code or Section 409A(a)(2) (c)(i) of the Code, as amended from time to time, or (iii) as defined in a policy of the Company that the Committee deems applicable to this Plan, or that makes reference to this Plan, for purposes of this definition.</w:t>
      </w:r>
    </w:p>
    <w:p>
      <w:pPr>
        <w:spacing w:after="0" w:line="71"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shall mean any person treated as an employee (including an officer or a director who is also treated as an employee) in the records of the Company or any of its Affiliates (and in the case of 102 Awards, subject to Section 9.3 or in the case of Incentive Stock Options, who is an employee for purposes of Section 422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73"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Employer</w:t>
      </w:r>
      <w:r>
        <w:rPr>
          <w:rFonts w:ascii="Arial" w:cs="Arial" w:eastAsia="Arial" w:hAnsi="Arial"/>
          <w:sz w:val="18"/>
          <w:szCs w:val="18"/>
          <w:color w:val="auto"/>
        </w:rPr>
        <w:t>” means, for purpose of a 102 Trustee Award, the Company or an Affiliate, Subsidiary or Parent thereof, which is an “employing company” within the meaning and subject to the conditions of Section 102(a) of the Ordinance.</w:t>
      </w:r>
    </w:p>
    <w:p>
      <w:pPr>
        <w:spacing w:after="0" w:line="6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employment</w:t>
      </w:r>
      <w:r>
        <w:rPr>
          <w:rFonts w:ascii="Arial" w:cs="Arial" w:eastAsia="Arial" w:hAnsi="Arial"/>
          <w:sz w:val="18"/>
          <w:szCs w:val="18"/>
          <w:color w:val="auto"/>
        </w:rPr>
        <w:t>”, “</w:t>
      </w:r>
      <w:r>
        <w:rPr>
          <w:rFonts w:ascii="Arial" w:cs="Arial" w:eastAsia="Arial" w:hAnsi="Arial"/>
          <w:sz w:val="18"/>
          <w:szCs w:val="18"/>
          <w:u w:val="single" w:color="auto"/>
          <w:color w:val="auto"/>
        </w:rPr>
        <w:t>employed</w:t>
      </w:r>
      <w:r>
        <w:rPr>
          <w:rFonts w:ascii="Arial" w:cs="Arial" w:eastAsia="Arial" w:hAnsi="Arial"/>
          <w:sz w:val="18"/>
          <w:szCs w:val="18"/>
          <w:color w:val="auto"/>
        </w:rPr>
        <w:t>” and words of similar import shall be deemed to refer to the employment of Employees or to the services of any other Service Provider, as the case may be.</w:t>
      </w:r>
    </w:p>
    <w:p>
      <w:pPr>
        <w:spacing w:after="0" w:line="68"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and all regulations, guidance and other interpretative authority issued thereunder.</w:t>
      </w:r>
    </w:p>
    <w:p>
      <w:pPr>
        <w:spacing w:after="0" w:line="68"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exercise</w:t>
      </w:r>
      <w:r>
        <w:rPr>
          <w:rFonts w:ascii="Arial" w:cs="Arial" w:eastAsia="Arial" w:hAnsi="Arial"/>
          <w:sz w:val="18"/>
          <w:szCs w:val="18"/>
          <w:color w:val="auto"/>
        </w:rPr>
        <w:t>,” “</w:t>
      </w:r>
      <w:r>
        <w:rPr>
          <w:rFonts w:ascii="Arial" w:cs="Arial" w:eastAsia="Arial" w:hAnsi="Arial"/>
          <w:sz w:val="18"/>
          <w:szCs w:val="18"/>
          <w:u w:val="single" w:color="auto"/>
          <w:color w:val="auto"/>
        </w:rPr>
        <w:t>exercised</w:t>
      </w:r>
      <w:r>
        <w:rPr>
          <w:rFonts w:ascii="Arial" w:cs="Arial" w:eastAsia="Arial" w:hAnsi="Arial"/>
          <w:sz w:val="18"/>
          <w:szCs w:val="18"/>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79" w:lineRule="exact"/>
        <w:rPr>
          <w:sz w:val="20"/>
          <w:szCs w:val="20"/>
          <w:color w:val="auto"/>
        </w:rPr>
      </w:pPr>
    </w:p>
    <w:p>
      <w:pPr>
        <w:ind w:right="20" w:firstLine="436"/>
        <w:spacing w:after="0" w:line="301"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Exercise Period</w:t>
      </w:r>
      <w:r>
        <w:rPr>
          <w:rFonts w:ascii="Arial" w:cs="Arial" w:eastAsia="Arial" w:hAnsi="Arial"/>
          <w:sz w:val="17"/>
          <w:szCs w:val="17"/>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45"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the exercise price for each Share covered by an Option or the purchase price for each Share covered by any other Award.</w:t>
      </w:r>
    </w:p>
    <w:p>
      <w:pPr>
        <w:spacing w:after="0" w:line="68" w:lineRule="exact"/>
        <w:rPr>
          <w:sz w:val="20"/>
          <w:szCs w:val="20"/>
          <w:color w:val="auto"/>
        </w:rPr>
      </w:pPr>
    </w:p>
    <w:p>
      <w:pPr>
        <w:ind w:right="80" w:firstLine="436"/>
        <w:spacing w:after="0" w:line="269"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as of any date, the value of a Share or other securities, property or rights as determined by the Board, in its discretion, subject to the following: (i) if, on such date, the Shares are listed on any securities exchange, the closing sales price per Share on which the Shares are principally traded on such date, or if no sale occurred on such date, the last day preceding such date on which a sale occurred, as reported in The Wall Street Journal or such other source as the Company deems reliable; (ii) if, on such date, the Shares are then quoted in an over-the-counter market, the average of the closing bid and asked prices for the Shares in that market on such date, or if there are no bid and asked prices on such date, the last day preceding such date on which there are bid and asked prices, as reported in The Wall Street Journal or such other source as the Company deems reliable; or (iii) if, on such date, the Shares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379" w:name="page380"/>
    <w:bookmarkEnd w:id="3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Grantee</w:t>
      </w:r>
      <w:r>
        <w:rPr>
          <w:rFonts w:ascii="Arial" w:cs="Arial" w:eastAsia="Arial" w:hAnsi="Arial"/>
          <w:sz w:val="18"/>
          <w:szCs w:val="18"/>
          <w:color w:val="auto"/>
        </w:rPr>
        <w:t>” shall mean a person who has been granted an Award(s) under this Plan.</w:t>
      </w:r>
    </w:p>
    <w:p>
      <w:pPr>
        <w:spacing w:after="0" w:line="11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Option</w:t>
      </w:r>
      <w:r>
        <w:rPr>
          <w:rFonts w:ascii="Arial" w:cs="Arial" w:eastAsia="Arial" w:hAnsi="Arial"/>
          <w:sz w:val="18"/>
          <w:szCs w:val="18"/>
          <w:color w:val="auto"/>
        </w:rPr>
        <w:t>” shall mean a grant of options to purchase Shares, including, for the avoidance of doubt, Incentive Stock Options and Nonqualified Stock Options.</w:t>
      </w:r>
    </w:p>
    <w:p>
      <w:pPr>
        <w:spacing w:after="0" w:line="68"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Ordinance</w:t>
      </w:r>
      <w:r>
        <w:rPr>
          <w:rFonts w:ascii="Arial" w:cs="Arial" w:eastAsia="Arial" w:hAnsi="Arial"/>
          <w:sz w:val="18"/>
          <w:szCs w:val="18"/>
          <w:color w:val="auto"/>
        </w:rPr>
        <w:t>” shall mean the Israeli Income Tax Ordinance (New Version) 5271-1961, and the regulations and rules (including the Rules) promulgated thereunder, all as amended from time to time.</w:t>
      </w:r>
    </w:p>
    <w:p>
      <w:pPr>
        <w:spacing w:after="0" w:line="68"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Parent</w:t>
      </w:r>
      <w:r>
        <w:rPr>
          <w:rFonts w:ascii="Arial" w:cs="Arial" w:eastAsia="Arial" w:hAnsi="Arial"/>
          <w:sz w:val="16"/>
          <w:szCs w:val="16"/>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that is a “parent corporation” of the Company, as defined in Section 424(e) of the Code.</w:t>
      </w:r>
    </w:p>
    <w:p>
      <w:pPr>
        <w:spacing w:after="0" w:line="52"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68"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U.S. Securities Act of 1933, and the rules and regulations promulgated thereunder, all as amended from time to time.</w:t>
      </w:r>
    </w:p>
    <w:p>
      <w:pPr>
        <w:spacing w:after="0" w:line="68"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Service Provider</w:t>
      </w:r>
      <w:r>
        <w:rPr>
          <w:rFonts w:ascii="Arial" w:cs="Arial" w:eastAsia="Arial" w:hAnsi="Arial"/>
          <w:sz w:val="16"/>
          <w:szCs w:val="16"/>
          <w:color w:val="auto"/>
        </w:rPr>
        <w:t xml:space="preserve">” shall mean an Employee, director, officer, consultant, advisor and any other person or entity who provides services to the Company or any Parent, Subsidiary or other Affiliate thereof. Service Providers shall include prospective Service Providers to whom Awards are granted in connection with written offers of an employment or other service relationship with the Company or any Parent, Subsidiary or any other Affiliates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employment or service shall have actually commenced. Notwithstanding the foregoing, unless otherwise determined by the Committee, each Service Provider shall be an “employee” as defined in the General Instructions to Form S-8 Registration Statement under the Securities Act (or any successor form thereto) at the time the Award is granted to the Service Provider.</w:t>
      </w:r>
    </w:p>
    <w:p>
      <w:pPr>
        <w:spacing w:after="0" w:line="57" w:lineRule="exact"/>
        <w:rPr>
          <w:sz w:val="20"/>
          <w:szCs w:val="20"/>
          <w:color w:val="auto"/>
        </w:rPr>
      </w:pPr>
    </w:p>
    <w:p>
      <w:pPr>
        <w:ind w:right="80" w:firstLine="436"/>
        <w:spacing w:after="0" w:line="307"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Share(s)</w:t>
      </w:r>
      <w:r>
        <w:rPr>
          <w:rFonts w:ascii="Arial" w:cs="Arial" w:eastAsia="Arial" w:hAnsi="Arial"/>
          <w:sz w:val="16"/>
          <w:szCs w:val="16"/>
          <w:color w:val="auto"/>
        </w:rPr>
        <w:t>” shall mean Ordinary Share(s), of no par value, of the Company (including Ordinary Shares resulting or issued as a result of share split, reverse share split, bonus shares, combination or other recapitalization events), or shares of such other class of shares of the Company as shall be designated by the Board in respect of the relevant Award(s). “</w:t>
      </w:r>
      <w:r>
        <w:rPr>
          <w:rFonts w:ascii="Arial" w:cs="Arial" w:eastAsia="Arial" w:hAnsi="Arial"/>
          <w:sz w:val="16"/>
          <w:szCs w:val="16"/>
          <w:u w:val="single" w:color="auto"/>
          <w:color w:val="auto"/>
        </w:rPr>
        <w:t>Shares</w:t>
      </w:r>
      <w:r>
        <w:rPr>
          <w:rFonts w:ascii="Arial" w:cs="Arial" w:eastAsia="Arial" w:hAnsi="Arial"/>
          <w:sz w:val="16"/>
          <w:szCs w:val="16"/>
          <w:color w:val="auto"/>
        </w:rPr>
        <w:t>” include any securities or property issued or distributed with respect thereto.</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company (other than the Company), which now exists or is hereafter organized or acquired by the Company,</w:t>
      </w:r>
    </w:p>
    <w:p>
      <w:pPr>
        <w:spacing w:after="0" w:line="43" w:lineRule="exact"/>
        <w:rPr>
          <w:sz w:val="20"/>
          <w:szCs w:val="20"/>
          <w:color w:val="auto"/>
        </w:rPr>
      </w:pPr>
    </w:p>
    <w:p>
      <w:pPr>
        <w:ind w:firstLine="7"/>
        <w:spacing w:after="0" w:line="250" w:lineRule="auto"/>
        <w:tabs>
          <w:tab w:leader="none" w:pos="213"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that is a “subsidiary corporation” of the Company, as defined in Section 424(f) of the Code.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380" w:name="page381"/>
    <w:bookmarkEnd w:id="380"/>
    <w:p>
      <w:pPr>
        <w:ind w:right="120" w:firstLine="43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2.31. “</w:t>
      </w:r>
      <w:r>
        <w:rPr>
          <w:rFonts w:ascii="Arial" w:cs="Arial" w:eastAsia="Arial" w:hAnsi="Arial"/>
          <w:sz w:val="16"/>
          <w:szCs w:val="16"/>
          <w:u w:val="single" w:color="auto"/>
          <w:color w:val="auto"/>
        </w:rPr>
        <w:t>tax(es)</w:t>
      </w:r>
      <w:r>
        <w:rPr>
          <w:rFonts w:ascii="Arial" w:cs="Arial" w:eastAsia="Arial" w:hAnsi="Arial"/>
          <w:sz w:val="16"/>
          <w:szCs w:val="16"/>
          <w:color w:val="auto"/>
        </w:rPr>
        <w:t>” shall mean (a) all federal, state, local or foreign taxes, charges, fees, imposts, levies or other assessments, including all income, capital gains, alternative or add-on minimum, transfer, value added tax, real and personal property, withholding, payroll, employment, escheat, social security, disability, national security, health tax, wealth surtax, stamp, registration and estimated taxes, customs duties, fees, assessments and charges of any similar kind whatsoever (including under Section 280G of the Code) or other tax of any kind whatsoever,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or other group for any taxable period, including under U.S. Treasury Regulations Section 1.1502-6(a) (or any predecessor or successor thereof of any analogous or similar provision under Applicable Law) or otherwise.</w:t>
      </w:r>
    </w:p>
    <w:p>
      <w:pPr>
        <w:spacing w:after="0" w:line="62"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422(b)(6) of the Code.</w:t>
      </w:r>
    </w:p>
    <w:p>
      <w:pPr>
        <w:spacing w:after="0" w:line="79"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appointed by the Committee to hold the Awards (and, in relation with 102 Trustee Awards, approved by the ITA), if so appointed.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The following terms shall have the meanings ascribed to them in the Sections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spacing w:after="0"/>
              <w:rPr>
                <w:sz w:val="20"/>
                <w:szCs w:val="20"/>
                <w:color w:val="auto"/>
              </w:rPr>
            </w:pPr>
            <w:r>
              <w:rPr>
                <w:rFonts w:ascii="Arial" w:cs="Arial" w:eastAsia="Arial" w:hAnsi="Arial"/>
                <w:sz w:val="14"/>
                <w:szCs w:val="14"/>
                <w:color w:val="auto"/>
              </w:rPr>
              <w:t>Term</w:t>
            </w:r>
          </w:p>
        </w:tc>
        <w:tc>
          <w:tcPr>
            <w:tcW w:w="638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w w:val="98"/>
              </w:rPr>
              <w:t>Section</w:t>
            </w:r>
          </w:p>
        </w:tc>
      </w:tr>
      <w:tr>
        <w:trPr>
          <w:trHeight w:val="186"/>
        </w:trPr>
        <w:tc>
          <w:tcPr>
            <w:tcW w:w="32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9"/>
              </w:rPr>
              <w:t>102</w:t>
            </w:r>
          </w:p>
        </w:tc>
        <w:tc>
          <w:tcPr>
            <w:tcW w:w="3680" w:type="dxa"/>
            <w:vAlign w:val="bottom"/>
          </w:tcPr>
          <w:p>
            <w:pPr>
              <w:spacing w:after="0" w:line="187" w:lineRule="exact"/>
              <w:rPr>
                <w:sz w:val="20"/>
                <w:szCs w:val="20"/>
                <w:color w:val="auto"/>
              </w:rPr>
            </w:pPr>
            <w:r>
              <w:rPr>
                <w:rFonts w:ascii="Arial" w:cs="Arial" w:eastAsia="Arial" w:hAnsi="Arial"/>
                <w:sz w:val="18"/>
                <w:szCs w:val="18"/>
                <w:color w:val="auto"/>
              </w:rPr>
              <w:t>Awards</w:t>
            </w:r>
          </w:p>
        </w:tc>
        <w:tc>
          <w:tcPr>
            <w:tcW w:w="6380" w:type="dxa"/>
            <w:vAlign w:val="bottom"/>
          </w:tcPr>
          <w:p>
            <w:pPr>
              <w:spacing w:after="0"/>
              <w:rPr>
                <w:sz w:val="16"/>
                <w:szCs w:val="16"/>
                <w:color w:val="auto"/>
              </w:rPr>
            </w:pPr>
          </w:p>
        </w:tc>
        <w:tc>
          <w:tcPr>
            <w:tcW w:w="5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1.2(i)</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102 Capital Gains Track Awards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102 Non-Trustee Awards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102 Ordinary Income Track Awards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102 Trustee Awards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3(i) Awards</w:t>
            </w:r>
          </w:p>
        </w:tc>
        <w:tc>
          <w:tcPr>
            <w:tcW w:w="6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1.2(ii)</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Award Agreement</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6</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Cause</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w w:val="94"/>
              </w:rPr>
              <w:t>6.6.4.4</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24.1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Election</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Eligible 102 Grantees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9.3.1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Incentive Stock Options</w:t>
            </w:r>
          </w:p>
        </w:tc>
        <w:tc>
          <w:tcPr>
            <w:tcW w:w="6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1.2(iii)</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16.4</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ITA</w:t>
            </w:r>
          </w:p>
        </w:tc>
        <w:tc>
          <w:tcPr>
            <w:tcW w:w="6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1.1(i)</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Merger/Sale</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14.2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Nonqualified Stock Options</w:t>
            </w:r>
          </w:p>
        </w:tc>
        <w:tc>
          <w:tcPr>
            <w:tcW w:w="6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1.2(iv)</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Plan</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Prior Plan(s)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5.2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Pool</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Recapitalization</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14.1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Required Holding Period</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9.5</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Restricted Period</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Restricted Share Agreement</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Restricted Share Unit Agreement</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12</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Restricted Share</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RSUs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Rules</w:t>
            </w:r>
          </w:p>
        </w:tc>
        <w:tc>
          <w:tcPr>
            <w:tcW w:w="63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1.1(i)</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17.1</w:t>
            </w:r>
          </w:p>
        </w:tc>
      </w:tr>
      <w:tr>
        <w:trPr>
          <w:trHeight w:val="214"/>
        </w:trPr>
        <w:tc>
          <w:tcPr>
            <w:tcW w:w="4000" w:type="dxa"/>
            <w:vAlign w:val="bottom"/>
            <w:gridSpan w:val="2"/>
          </w:tcPr>
          <w:p>
            <w:pPr>
              <w:spacing w:after="0"/>
              <w:rPr>
                <w:sz w:val="20"/>
                <w:szCs w:val="20"/>
                <w:color w:val="auto"/>
              </w:rPr>
            </w:pPr>
            <w:r>
              <w:rPr>
                <w:rFonts w:ascii="Arial" w:cs="Arial" w:eastAsia="Arial" w:hAnsi="Arial"/>
                <w:sz w:val="18"/>
                <w:szCs w:val="18"/>
                <w:color w:val="auto"/>
              </w:rPr>
              <w:t>Successor Corporation</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14.2.1</w:t>
            </w:r>
          </w:p>
        </w:tc>
      </w:tr>
      <w:tr>
        <w:trPr>
          <w:trHeight w:val="227"/>
        </w:trPr>
        <w:tc>
          <w:tcPr>
            <w:tcW w:w="4000" w:type="dxa"/>
            <w:vAlign w:val="bottom"/>
            <w:gridSpan w:val="2"/>
          </w:tcPr>
          <w:p>
            <w:pPr>
              <w:spacing w:after="0"/>
              <w:rPr>
                <w:sz w:val="20"/>
                <w:szCs w:val="20"/>
                <w:color w:val="auto"/>
              </w:rPr>
            </w:pPr>
            <w:r>
              <w:rPr>
                <w:rFonts w:ascii="Arial" w:cs="Arial" w:eastAsia="Arial" w:hAnsi="Arial"/>
                <w:sz w:val="18"/>
                <w:szCs w:val="18"/>
                <w:color w:val="auto"/>
              </w:rPr>
              <w:t>Withholding Obligations</w:t>
            </w:r>
          </w:p>
        </w:tc>
        <w:tc>
          <w:tcPr>
            <w:tcW w:w="6920" w:type="dxa"/>
            <w:vAlign w:val="bottom"/>
            <w:gridSpan w:val="2"/>
          </w:tcPr>
          <w:p>
            <w:pPr>
              <w:ind w:left="6380"/>
              <w:spacing w:after="0"/>
              <w:rPr>
                <w:sz w:val="20"/>
                <w:szCs w:val="20"/>
                <w:color w:val="auto"/>
              </w:rPr>
            </w:pPr>
            <w:r>
              <w:rPr>
                <w:rFonts w:ascii="Arial" w:cs="Arial" w:eastAsia="Arial" w:hAnsi="Arial"/>
                <w:sz w:val="18"/>
                <w:szCs w:val="18"/>
                <w:color w:val="auto"/>
              </w:rPr>
              <w:t>18.5</w:t>
            </w:r>
          </w:p>
        </w:tc>
      </w:tr>
      <w:tr>
        <w:trPr>
          <w:trHeight w:val="361"/>
        </w:trPr>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80" w:type="dxa"/>
            <w:vAlign w:val="bottom"/>
          </w:tcPr>
          <w:p>
            <w:pPr>
              <w:ind w:left="14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381" w:name="page382"/>
    <w:bookmarkEnd w:id="381"/>
    <w:p>
      <w:pPr>
        <w:ind w:left="180" w:hanging="173"/>
        <w:spacing w:after="0"/>
        <w:tabs>
          <w:tab w:leader="none" w:pos="18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ADMINISTRATION.</w:t>
      </w:r>
    </w:p>
    <w:p>
      <w:pPr>
        <w:spacing w:after="0" w:line="114"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3.1. To the extent permitted under Applicable Law, the Company’s Amended and Restated Articles of Association (as may be amended and supplemented from time to time, the “</w:t>
      </w:r>
      <w:r>
        <w:rPr>
          <w:rFonts w:ascii="Arial" w:cs="Arial" w:eastAsia="Arial" w:hAnsi="Arial"/>
          <w:sz w:val="17"/>
          <w:szCs w:val="17"/>
          <w:u w:val="single" w:color="auto"/>
          <w:color w:val="auto"/>
        </w:rPr>
        <w:t>Articles of Association</w:t>
      </w:r>
      <w:r>
        <w:rPr>
          <w:rFonts w:ascii="Arial" w:cs="Arial" w:eastAsia="Arial" w:hAnsi="Arial"/>
          <w:sz w:val="17"/>
          <w:szCs w:val="17"/>
          <w:color w:val="auto"/>
        </w:rPr>
        <w:t>”) and any other governing document of the Company, this Plan shall be administered by the Committee. In the event that the Board does not appoint or establish a committee to administer 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actions that are stated to be vested in the Committee, and shall not be restricted or limited from exercising all rights, powers and authorities under this Plan or Applicable Law.</w:t>
      </w:r>
    </w:p>
    <w:p>
      <w:pPr>
        <w:spacing w:after="0" w:line="76"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3.2.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87"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83" w:lineRule="exact"/>
        <w:rPr>
          <w:sz w:val="20"/>
          <w:szCs w:val="20"/>
          <w:color w:val="auto"/>
        </w:rPr>
      </w:pPr>
    </w:p>
    <w:p>
      <w:pPr>
        <w:ind w:left="1080" w:hanging="217"/>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113" w:lineRule="exact"/>
        <w:rPr>
          <w:rFonts w:ascii="Arial" w:cs="Arial" w:eastAsia="Arial" w:hAnsi="Arial"/>
          <w:sz w:val="18"/>
          <w:szCs w:val="18"/>
          <w:color w:val="auto"/>
        </w:rPr>
      </w:pPr>
    </w:p>
    <w:p>
      <w:pPr>
        <w:ind w:left="440" w:right="140" w:firstLine="423"/>
        <w:spacing w:after="0" w:line="259" w:lineRule="auto"/>
        <w:tabs>
          <w:tab w:leader="none" w:pos="112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w:t>
      </w:r>
    </w:p>
    <w:p>
      <w:pPr>
        <w:spacing w:after="0" w:line="78" w:lineRule="exact"/>
        <w:rPr>
          <w:rFonts w:ascii="Arial" w:cs="Arial" w:eastAsia="Arial" w:hAnsi="Arial"/>
          <w:sz w:val="18"/>
          <w:szCs w:val="18"/>
          <w:color w:val="auto"/>
        </w:rPr>
      </w:pPr>
    </w:p>
    <w:p>
      <w:pPr>
        <w:ind w:left="1180" w:hanging="317"/>
        <w:spacing w:after="0"/>
        <w:tabs>
          <w:tab w:leader="none" w:pos="1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113" w:lineRule="exact"/>
        <w:rPr>
          <w:rFonts w:ascii="Arial" w:cs="Arial" w:eastAsia="Arial" w:hAnsi="Arial"/>
          <w:sz w:val="18"/>
          <w:szCs w:val="18"/>
          <w:color w:val="auto"/>
        </w:rPr>
      </w:pPr>
    </w:p>
    <w:p>
      <w:pPr>
        <w:ind w:left="440" w:right="20" w:firstLine="423"/>
        <w:spacing w:after="0" w:line="269" w:lineRule="auto"/>
        <w:tabs>
          <w:tab w:leader="none" w:pos="1161"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terms, conditions and restrictions applicable to each Award (which need not be identical) and any Shares acquired upon the exercise or (if applicable) vesting thereof, including,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71" w:lineRule="exact"/>
        <w:rPr>
          <w:rFonts w:ascii="Arial" w:cs="Arial" w:eastAsia="Arial" w:hAnsi="Arial"/>
          <w:sz w:val="17"/>
          <w:szCs w:val="17"/>
          <w:color w:val="auto"/>
        </w:rPr>
      </w:pPr>
    </w:p>
    <w:p>
      <w:pPr>
        <w:ind w:left="440" w:right="540" w:firstLine="423"/>
        <w:spacing w:after="0" w:line="271" w:lineRule="auto"/>
        <w:tabs>
          <w:tab w:leader="none" w:pos="11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the vesting thereof, including with respect to the period following a Grantee’s termination of employment or other service,</w:t>
      </w:r>
    </w:p>
    <w:p>
      <w:pPr>
        <w:spacing w:after="0" w:line="67" w:lineRule="exact"/>
        <w:rPr>
          <w:rFonts w:ascii="Arial" w:cs="Arial" w:eastAsia="Arial" w:hAnsi="Arial"/>
          <w:sz w:val="18"/>
          <w:szCs w:val="18"/>
          <w:color w:val="auto"/>
        </w:rPr>
      </w:pPr>
    </w:p>
    <w:p>
      <w:pPr>
        <w:ind w:left="440" w:right="560" w:firstLine="423"/>
        <w:spacing w:after="0" w:line="271" w:lineRule="auto"/>
        <w:tabs>
          <w:tab w:leader="none" w:pos="116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interpretation of this Plan and any Award Agreement and the meaning, interpretation and applicability of terms referred to in Applicable Law,</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480" w:top="272" w:right="539" w:bottom="1440" w:gutter="0" w:footer="0" w:header="0"/>
        </w:sectPr>
      </w:pPr>
    </w:p>
    <w:bookmarkStart w:id="382" w:name="page383"/>
    <w:bookmarkEnd w:id="382"/>
    <w:p>
      <w:pPr>
        <w:ind w:left="440" w:right="480" w:firstLine="423"/>
        <w:spacing w:after="0" w:line="271" w:lineRule="auto"/>
        <w:tabs>
          <w:tab w:leader="none" w:pos="1210"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policies, guidelines, rules and regulations relating to and for carrying out this Plan, and any amendment, supplement or rescission thereof, as it may deem appropriate,</w:t>
      </w:r>
    </w:p>
    <w:p>
      <w:pPr>
        <w:spacing w:after="0" w:line="67" w:lineRule="exact"/>
        <w:rPr>
          <w:rFonts w:ascii="Arial" w:cs="Arial" w:eastAsia="Arial" w:hAnsi="Arial"/>
          <w:sz w:val="18"/>
          <w:szCs w:val="18"/>
          <w:color w:val="auto"/>
        </w:rPr>
      </w:pPr>
    </w:p>
    <w:p>
      <w:pPr>
        <w:ind w:left="440" w:right="20" w:firstLine="423"/>
        <w:spacing w:after="0" w:line="335" w:lineRule="auto"/>
        <w:tabs>
          <w:tab w:leader="none" w:pos="12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21" w:lineRule="exact"/>
        <w:rPr>
          <w:rFonts w:ascii="Arial" w:cs="Arial" w:eastAsia="Arial" w:hAnsi="Arial"/>
          <w:sz w:val="16"/>
          <w:szCs w:val="16"/>
          <w:color w:val="auto"/>
        </w:rPr>
      </w:pPr>
    </w:p>
    <w:p>
      <w:pPr>
        <w:ind w:left="1160" w:hanging="297"/>
        <w:spacing w:after="0"/>
        <w:tabs>
          <w:tab w:leader="none" w:pos="1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Fair Market Value of the Shares or other securities property or rights,</w:t>
      </w:r>
    </w:p>
    <w:p>
      <w:pPr>
        <w:spacing w:after="0" w:line="113" w:lineRule="exact"/>
        <w:rPr>
          <w:rFonts w:ascii="Arial" w:cs="Arial" w:eastAsia="Arial" w:hAnsi="Arial"/>
          <w:sz w:val="18"/>
          <w:szCs w:val="18"/>
          <w:color w:val="auto"/>
        </w:rPr>
      </w:pPr>
    </w:p>
    <w:p>
      <w:pPr>
        <w:ind w:left="440" w:right="40" w:firstLine="423"/>
        <w:spacing w:after="0" w:line="271" w:lineRule="auto"/>
        <w:tabs>
          <w:tab w:leader="none" w:pos="111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w:t>
      </w:r>
    </w:p>
    <w:p>
      <w:pPr>
        <w:spacing w:after="0" w:line="67" w:lineRule="exact"/>
        <w:rPr>
          <w:rFonts w:ascii="Arial" w:cs="Arial" w:eastAsia="Arial" w:hAnsi="Arial"/>
          <w:sz w:val="18"/>
          <w:szCs w:val="18"/>
          <w:color w:val="auto"/>
        </w:rPr>
      </w:pPr>
    </w:p>
    <w:p>
      <w:pPr>
        <w:ind w:left="440" w:right="180" w:firstLine="423"/>
        <w:spacing w:after="0" w:line="271" w:lineRule="auto"/>
        <w:tabs>
          <w:tab w:leader="none" w:pos="116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authorization and approval of conversion, substitution, cancellation or suspension under and in accordance with this Plan of any or all Awards or Shares,</w:t>
      </w:r>
    </w:p>
    <w:p>
      <w:pPr>
        <w:spacing w:after="0" w:line="67" w:lineRule="exact"/>
        <w:rPr>
          <w:rFonts w:ascii="Arial" w:cs="Arial" w:eastAsia="Arial" w:hAnsi="Arial"/>
          <w:sz w:val="18"/>
          <w:szCs w:val="18"/>
          <w:color w:val="auto"/>
        </w:rPr>
      </w:pPr>
    </w:p>
    <w:p>
      <w:pPr>
        <w:ind w:left="440" w:right="180" w:firstLine="423"/>
        <w:spacing w:after="0" w:line="297" w:lineRule="auto"/>
        <w:tabs>
          <w:tab w:leader="none" w:pos="121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unless otherwise provided under the terms of this Plan, the amendment, modification, waiver or supplement of the terms of any outstanding Award (including reducing the Exercise Price of an Award), provided, however, that if such amendments increase the Exercise Price of an Award or reduce the number of Shares underlying an Award, then such amendments shall require the consent of the applicable Grantee, unless such amendment is made pursuant to the exercise of rights or authorities in accordance with Sections 14 or 25,</w:t>
      </w:r>
    </w:p>
    <w:p>
      <w:pPr>
        <w:spacing w:after="0" w:line="52" w:lineRule="exact"/>
        <w:rPr>
          <w:rFonts w:ascii="Arial" w:cs="Arial" w:eastAsia="Arial" w:hAnsi="Arial"/>
          <w:sz w:val="16"/>
          <w:szCs w:val="16"/>
          <w:color w:val="auto"/>
        </w:rPr>
      </w:pPr>
    </w:p>
    <w:p>
      <w:pPr>
        <w:ind w:left="440" w:firstLine="423"/>
        <w:spacing w:after="0" w:line="275" w:lineRule="auto"/>
        <w:tabs>
          <w:tab w:leader="none" w:pos="126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pacing w:after="0" w:line="66" w:lineRule="exact"/>
        <w:rPr>
          <w:rFonts w:ascii="Arial" w:cs="Arial" w:eastAsia="Arial" w:hAnsi="Arial"/>
          <w:sz w:val="17"/>
          <w:szCs w:val="17"/>
          <w:color w:val="auto"/>
        </w:rPr>
      </w:pPr>
    </w:p>
    <w:p>
      <w:pPr>
        <w:ind w:left="440" w:right="120" w:firstLine="423"/>
        <w:spacing w:after="0" w:line="259" w:lineRule="auto"/>
        <w:tabs>
          <w:tab w:leader="none" w:pos="125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78" w:lineRule="exact"/>
        <w:rPr>
          <w:rFonts w:ascii="Arial" w:cs="Arial" w:eastAsia="Arial" w:hAnsi="Arial"/>
          <w:sz w:val="18"/>
          <w:szCs w:val="18"/>
          <w:color w:val="auto"/>
        </w:rPr>
      </w:pPr>
    </w:p>
    <w:p>
      <w:pPr>
        <w:ind w:left="1200" w:hanging="337"/>
        <w:spacing w:after="0"/>
        <w:tabs>
          <w:tab w:leader="none" w:pos="12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any other matter which is necessary or desirable for, or incidental to, the administration of this Plan and any Award thereunder.</w:t>
      </w:r>
    </w:p>
    <w:p>
      <w:pPr>
        <w:spacing w:after="0" w:line="125"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3.4. The authority granted hereunder includes the authority to modify Awards to eligible individuals who are foreign nationals or are individuals who are employed outside the State of Israel or the United States of America, to recognize differences in local law, tax policy or custom, in order to effectuate the purposes of this Plan but without amending this Plan.</w:t>
      </w:r>
    </w:p>
    <w:p>
      <w:pPr>
        <w:spacing w:after="0" w:line="79"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3.5.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83"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3.6.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383" w:name="page384"/>
    <w:bookmarkEnd w:id="383"/>
    <w:p>
      <w:pPr>
        <w:ind w:right="2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3.7. Any officer or authorized signatory of the Company shall have the authority to act on behalf of the Company with respect to any matter, right, obligation, determination or election which is the responsibility of or which is allocated to the Company herein, provided such 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pacing w:after="0" w:line="174" w:lineRule="exact"/>
        <w:rPr>
          <w:sz w:val="20"/>
          <w:szCs w:val="20"/>
          <w:color w:val="auto"/>
        </w:rPr>
      </w:pPr>
    </w:p>
    <w:p>
      <w:pPr>
        <w:ind w:left="180" w:hanging="173"/>
        <w:spacing w:after="0"/>
        <w:tabs>
          <w:tab w:leader="none" w:pos="1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Awards may be granted to Service Providers of the Company or any Affiliate thereof, taking into account, at the Committee’s discretion and without an obligation to do so, the qualification under each tax regime pursuant to which such Awards are granted, subject to the limitation on the granting of Incentive Stock Options set forth in Section 8.1.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86" w:lineRule="exact"/>
        <w:rPr>
          <w:sz w:val="20"/>
          <w:szCs w:val="20"/>
          <w:color w:val="auto"/>
        </w:rPr>
      </w:pPr>
    </w:p>
    <w:p>
      <w:pPr>
        <w:ind w:left="180" w:hanging="173"/>
        <w:spacing w:after="0"/>
        <w:tabs>
          <w:tab w:leader="none" w:pos="18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SHARES.</w:t>
      </w:r>
    </w:p>
    <w:p>
      <w:pPr>
        <w:spacing w:after="0" w:line="114"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5.1. The maximum aggregate number of Shares that may be issued pursuant to Awards under this Plan (the “</w:t>
      </w:r>
      <w:r>
        <w:rPr>
          <w:rFonts w:ascii="Arial" w:cs="Arial" w:eastAsia="Arial" w:hAnsi="Arial"/>
          <w:sz w:val="17"/>
          <w:szCs w:val="17"/>
          <w:u w:val="single" w:color="auto"/>
          <w:color w:val="auto"/>
        </w:rPr>
        <w:t>Pool</w:t>
      </w:r>
      <w:r>
        <w:rPr>
          <w:rFonts w:ascii="Arial" w:cs="Arial" w:eastAsia="Arial" w:hAnsi="Arial"/>
          <w:sz w:val="17"/>
          <w:szCs w:val="17"/>
          <w:color w:val="auto"/>
        </w:rPr>
        <w:t xml:space="preserve">”) shall be the sum of (a) 13,500,000 Shares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(and without the need to further amend the Plan) (b) on January 1</w:t>
      </w:r>
      <w:r>
        <w:rPr>
          <w:rFonts w:ascii="Arial" w:cs="Arial" w:eastAsia="Arial" w:hAnsi="Arial"/>
          <w:sz w:val="14"/>
          <w:szCs w:val="14"/>
          <w:color w:val="auto"/>
        </w:rPr>
        <w:t>st</w:t>
      </w:r>
      <w:r>
        <w:rPr>
          <w:rFonts w:ascii="Arial" w:cs="Arial" w:eastAsia="Arial" w:hAnsi="Arial"/>
          <w:sz w:val="17"/>
          <w:szCs w:val="17"/>
          <w:color w:val="auto"/>
        </w:rPr>
        <w:t>, 2022 and on January 1</w:t>
      </w:r>
      <w:r>
        <w:rPr>
          <w:rFonts w:ascii="Arial" w:cs="Arial" w:eastAsia="Arial" w:hAnsi="Arial"/>
          <w:sz w:val="14"/>
          <w:szCs w:val="14"/>
          <w:color w:val="auto"/>
        </w:rPr>
        <w:t>st</w:t>
      </w:r>
      <w:r>
        <w:rPr>
          <w:rFonts w:ascii="Arial" w:cs="Arial" w:eastAsia="Arial" w:hAnsi="Arial"/>
          <w:sz w:val="17"/>
          <w:szCs w:val="17"/>
          <w:color w:val="auto"/>
        </w:rPr>
        <w:t xml:space="preserve"> of each calendar year thereafter during the term of the Plan, a number of Shares equal to the lesser of: (i) five percent (5%) of the total number of Shares outstanding as of the end of the last day of the immediately preceding calendar year, and (ii) such smaller amount of Shares as is determined by the Board, if so determined prior to the January 1</w:t>
      </w:r>
      <w:r>
        <w:rPr>
          <w:rFonts w:ascii="Arial" w:cs="Arial" w:eastAsia="Arial" w:hAnsi="Arial"/>
          <w:sz w:val="14"/>
          <w:szCs w:val="14"/>
          <w:color w:val="auto"/>
        </w:rPr>
        <w:t>st</w:t>
      </w:r>
      <w:r>
        <w:rPr>
          <w:rFonts w:ascii="Arial" w:cs="Arial" w:eastAsia="Arial" w:hAnsi="Arial"/>
          <w:sz w:val="17"/>
          <w:szCs w:val="17"/>
          <w:color w:val="auto"/>
        </w:rPr>
        <w:t xml:space="preserve"> of the calendar year in which the increase will occur (in each case, without the need to amend the Plan in case of such determination); in all events subject to adjustment as provided in Section 14.1. Notwithstanding the foregoing, the total number of Shares that may be issued pursuant to Incentive Stock Options granted under this Plan shall be 13,500,000, subject to adjustment as provided in Section 14.1. The Board may, at its discretion, reduce the number of Shares that may be issued pursuant to Awards under this Plan, at any time (provided that such reduction does not derogate from any issuance of Shares in respect of Awards then outstanding).</w:t>
      </w:r>
    </w:p>
    <w:p>
      <w:pPr>
        <w:spacing w:after="0" w:line="76"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5.2. Any Shares (a) underlying an Award granted hereunder or an award granted under the Company’s 2013 Share Incentive Plan, as amended (the “</w:t>
      </w:r>
      <w:r>
        <w:rPr>
          <w:rFonts w:ascii="Arial" w:cs="Arial" w:eastAsia="Arial" w:hAnsi="Arial"/>
          <w:sz w:val="16"/>
          <w:szCs w:val="16"/>
          <w:b w:val="1"/>
          <w:bCs w:val="1"/>
          <w:color w:val="auto"/>
        </w:rPr>
        <w:t>Prior Plan(s)</w:t>
      </w:r>
      <w:r>
        <w:rPr>
          <w:rFonts w:ascii="Arial" w:cs="Arial" w:eastAsia="Arial" w:hAnsi="Arial"/>
          <w:sz w:val="16"/>
          <w:szCs w:val="16"/>
          <w:color w:val="auto"/>
        </w:rPr>
        <w:t>”) (in an amount not to exceed 575,400 Shares under the Prior Plan(s)) that has expired, or was cancelled, terminated, forfeited, or settled in cash in lieu of issuance of Shares, for any reason, without having been exercised; (b) if permitted by the Company, tendered to pay the Exercise Price of an Award (or the exercise price or other purchase price of any option or other award under the Prior Plan(s)), or withholding tax obligations with respect to an Award (or any awards under the Prior Plan(s)); or (c) if permitted by the Company, subject to an Award (or any award under the Prior Plan(s)) that are not delivered to a Grantee because such Shares are withheld to pay the Exercise Price of such Award (or any award under the Prior Plan(s)), or withholding tax obligations with respect to such Award (or such award); shall automatically, and without any further action on the part of the Company or any Grantee, again be available for grant of Awards and for issuance upon exercise or (if applicable) vesting thereof for the purposes of this Plan (unless this Plan shall have been terminated), unless the Board determines otherwise. Such Shares may be, in whole or in part, authorized but unissued Shares, (and, subject to obtaining a ruling as it applies to 102 Awards) treasury shares (dormant shares) or otherwise Shares that shall have been or may be repurchased by the Company (to the extent permitted pursuant to the Companies Law).</w:t>
      </w:r>
    </w:p>
    <w:p>
      <w:pPr>
        <w:spacing w:after="0" w:line="66"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5.3. Any Shares under the Pool that are not subject to outstanding or exercised Awards at the termination of this Plan shall cease to be reserved for the purpose of this Plan.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384" w:name="page385"/>
    <w:bookmarkEnd w:id="384"/>
    <w:p>
      <w:pPr>
        <w:ind w:right="18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5.4. From and after the Effective Date, no further grants or awards shall be made under the Prior Plan(s); however, Awards made under the Prior Plan(s) before the Effective Date shall continue in effect in accordance with their terms.</w:t>
      </w:r>
    </w:p>
    <w:p>
      <w:pPr>
        <w:spacing w:after="0" w:line="175" w:lineRule="exact"/>
        <w:rPr>
          <w:sz w:val="20"/>
          <w:szCs w:val="20"/>
          <w:color w:val="auto"/>
        </w:rPr>
      </w:pPr>
    </w:p>
    <w:p>
      <w:pPr>
        <w:ind w:left="180" w:hanging="173"/>
        <w:spacing w:after="0"/>
        <w:tabs>
          <w:tab w:leader="none" w:pos="18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p>
    <w:p>
      <w:pPr>
        <w:spacing w:after="0" w:line="1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Each Award granted pursuant to this Plan shall be evidenced by a written or electronic agreement between the Company and the Grantee or a written or electronic notice delivered by the Company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Shares covered by the Award.</w:t>
      </w:r>
    </w:p>
    <w:p>
      <w:pPr>
        <w:spacing w:after="0" w:line="114" w:lineRule="exact"/>
        <w:rPr>
          <w:sz w:val="20"/>
          <w:szCs w:val="20"/>
          <w:color w:val="auto"/>
        </w:rPr>
      </w:pPr>
    </w:p>
    <w:p>
      <w:pPr>
        <w:ind w:right="560" w:firstLine="436"/>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Type of Award</w:t>
      </w:r>
      <w:r>
        <w:rPr>
          <w:rFonts w:ascii="Arial" w:cs="Arial" w:eastAsia="Arial" w:hAnsi="Arial"/>
          <w:sz w:val="18"/>
          <w:szCs w:val="18"/>
          <w:color w:val="auto"/>
        </w:rPr>
        <w:t>. Each Award Agreement may state the type of Award granted thereunder, provided that the tax treatment of any Award, whether or not stated in the Award Agreement, shall be as determined in accordance with Applicable Law.</w:t>
      </w:r>
    </w:p>
    <w:p>
      <w:pPr>
        <w:spacing w:after="0" w:line="68" w:lineRule="exact"/>
        <w:rPr>
          <w:sz w:val="20"/>
          <w:szCs w:val="20"/>
          <w:color w:val="auto"/>
        </w:rPr>
      </w:pPr>
    </w:p>
    <w:p>
      <w:pPr>
        <w:ind w:right="160" w:firstLine="43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Price</w:t>
      </w:r>
      <w:r>
        <w:rPr>
          <w:rFonts w:ascii="Arial" w:cs="Arial" w:eastAsia="Arial" w:hAnsi="Arial"/>
          <w:sz w:val="16"/>
          <w:szCs w:val="16"/>
          <w:color w:val="auto"/>
        </w:rPr>
        <w:t>. Each Award Agreement shall state the Exercise Price, if applicable. Unless otherwise set forth in this Plan, an Exercise Price of an Award of less than the par value of the Shares (if shares bear a par value) shall comply with Section 304 of the Companies Law. Subject to Sections 3, 7.2 and 8.2 and to the foregoing, the Committee may reduce the Exercise Price of any outstanding Award, on terms and subject to such conditions as it deems advisable. The Exercise Price shall also be subject to adjustment as provided in Section 14 hereof. The Exercise Price of any Award granted to a Grantee who is subject to U.S. federal income tax shall be determined in accordance with Section 409A of the Code.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4" w:lineRule="exact"/>
        <w:rPr>
          <w:sz w:val="20"/>
          <w:szCs w:val="20"/>
          <w:color w:val="auto"/>
        </w:rPr>
      </w:pPr>
    </w:p>
    <w:p>
      <w:pPr>
        <w:ind w:left="440" w:firstLine="419"/>
        <w:spacing w:after="0" w:line="282" w:lineRule="auto"/>
        <w:rPr>
          <w:sz w:val="20"/>
          <w:szCs w:val="20"/>
          <w:color w:val="auto"/>
        </w:rPr>
      </w:pPr>
      <w:r>
        <w:rPr>
          <w:rFonts w:ascii="Arial" w:cs="Arial" w:eastAsia="Arial" w:hAnsi="Arial"/>
          <w:sz w:val="16"/>
          <w:szCs w:val="16"/>
          <w:color w:val="auto"/>
        </w:rPr>
        <w:t>6.4.1 An Award may be exercised, as to any or all Shares as to which the Award has become exercisable, (a) by written notice delivered in person or by mail (or such other methods of delivery prescribed by the Company) to the General Counsel of the Company or, if no such officer is then incumbent, to the Chief Financial Officer of the Company or to such other person as determined by the Committee, (b) by way of an exercise order submitted via the online service operated and maintained by the Company or any of its service providers, or (c)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and as a condition therefor, either (i) in cash, (ii)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(iv) by applying the Cashless Exercise Mechanism set forth in Section 6.4.3 below, or (v) in such other manner as the Committee shall determine, which may include procedures for cashless exercise.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85" w:name="page386"/>
    <w:bookmarkEnd w:id="385"/>
    <w:p>
      <w:pPr>
        <w:ind w:firstLine="419"/>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6.4.2 The application of Cashless Exercise Mechanism with respect to any 102 Awards shall be subject to obtaining a ruling from the ITA, to the extent required by Applicable Law.</w:t>
      </w:r>
    </w:p>
    <w:p>
      <w:pPr>
        <w:spacing w:after="0" w:line="68" w:lineRule="exact"/>
        <w:rPr>
          <w:sz w:val="20"/>
          <w:szCs w:val="20"/>
          <w:color w:val="auto"/>
        </w:rPr>
      </w:pPr>
    </w:p>
    <w:p>
      <w:pPr>
        <w:ind w:right="280" w:firstLine="419"/>
        <w:spacing w:after="0" w:line="259" w:lineRule="auto"/>
        <w:rPr>
          <w:sz w:val="20"/>
          <w:szCs w:val="20"/>
          <w:color w:val="auto"/>
        </w:rPr>
      </w:pPr>
      <w:r>
        <w:rPr>
          <w:rFonts w:ascii="Arial" w:cs="Arial" w:eastAsia="Arial" w:hAnsi="Arial"/>
          <w:sz w:val="18"/>
          <w:szCs w:val="18"/>
          <w:color w:val="auto"/>
        </w:rPr>
        <w:t>6.4.3 Unless otherwise determined by the Committee, any and all Options (other than Incentive Stock Options) may be exercised using a cashless exercise mechanism, in which case the number of the Shares to be issued by the Company upon such exercise shall be calculated pursuant to the following formula (the “</w:t>
      </w:r>
      <w:r>
        <w:rPr>
          <w:rFonts w:ascii="Arial" w:cs="Arial" w:eastAsia="Arial" w:hAnsi="Arial"/>
          <w:sz w:val="18"/>
          <w:szCs w:val="18"/>
          <w:u w:val="single" w:color="auto"/>
          <w:color w:val="auto"/>
        </w:rPr>
        <w:t>Cashless Exercise Mechanism</w:t>
      </w:r>
      <w:r>
        <w:rPr>
          <w:rFonts w:ascii="Arial" w:cs="Arial" w:eastAsia="Arial" w:hAnsi="Arial"/>
          <w:sz w:val="18"/>
          <w:szCs w:val="18"/>
          <w:color w:val="auto"/>
        </w:rPr>
        <w: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 (A – B)</w:t>
      </w:r>
    </w:p>
    <w:p>
      <w:pPr>
        <w:spacing w:after="0" w:line="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 X = the number of Shares to be issued to the Grantee.</w:t>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Y = the number of Shares, as adjusted to the date of such calculation, underlying the number of Options being exercised.</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 the Fair Market Value of one Share at the exercise date.</w:t>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 the Exercise Price of the Options being exercised.</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Upon the completion of the calculation, if X is a negative number, then X shall be deemed to equal 0 (zero).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 and Vesting of Awards</w:t>
      </w:r>
      <w:r>
        <w:rPr>
          <w:rFonts w:ascii="Arial" w:cs="Arial" w:eastAsia="Arial" w:hAnsi="Arial"/>
          <w:sz w:val="18"/>
          <w:szCs w:val="18"/>
          <w:color w:val="auto"/>
        </w:rPr>
        <w:t>.</w:t>
      </w:r>
    </w:p>
    <w:p>
      <w:pPr>
        <w:spacing w:after="0" w:line="114" w:lineRule="exact"/>
        <w:rPr>
          <w:sz w:val="20"/>
          <w:szCs w:val="20"/>
          <w:color w:val="auto"/>
        </w:rPr>
      </w:pPr>
    </w:p>
    <w:p>
      <w:pPr>
        <w:ind w:right="80" w:firstLine="419"/>
        <w:spacing w:after="0" w:line="287" w:lineRule="auto"/>
        <w:rPr>
          <w:sz w:val="20"/>
          <w:szCs w:val="20"/>
          <w:color w:val="auto"/>
        </w:rPr>
      </w:pPr>
      <w:r>
        <w:rPr>
          <w:rFonts w:ascii="Arial" w:cs="Arial" w:eastAsia="Arial" w:hAnsi="Arial"/>
          <w:sz w:val="16"/>
          <w:szCs w:val="16"/>
          <w:color w:val="auto"/>
        </w:rPr>
        <w:t>6.5.1 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determined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59" w:lineRule="exact"/>
        <w:rPr>
          <w:sz w:val="20"/>
          <w:szCs w:val="20"/>
          <w:color w:val="auto"/>
        </w:rPr>
      </w:pPr>
    </w:p>
    <w:p>
      <w:pPr>
        <w:ind w:firstLine="419"/>
        <w:spacing w:after="0" w:line="288" w:lineRule="auto"/>
        <w:rPr>
          <w:sz w:val="20"/>
          <w:szCs w:val="20"/>
          <w:color w:val="auto"/>
        </w:rPr>
      </w:pPr>
      <w:r>
        <w:rPr>
          <w:rFonts w:ascii="Arial" w:cs="Arial" w:eastAsia="Arial" w:hAnsi="Arial"/>
          <w:sz w:val="16"/>
          <w:szCs w:val="16"/>
          <w:color w:val="auto"/>
        </w:rPr>
        <w:t>6.5.2 The Award Agreement may contain performance goals and measurements (which, in case of 102 Trustee Awards, may, if then required, be subject to obtaining a specific tax ruling or determination from the ITA), and the provisions with respect to any Award need not be the same as the provisions with respect to any other Award. Such performance goals may include, but are not limited to, revenues, sales, operating income, earnings before interest and taxes, return on investment, earnings per share,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59" w:lineRule="exact"/>
        <w:rPr>
          <w:sz w:val="20"/>
          <w:szCs w:val="20"/>
          <w:color w:val="auto"/>
        </w:rPr>
      </w:pPr>
    </w:p>
    <w:p>
      <w:pPr>
        <w:ind w:firstLine="419"/>
        <w:spacing w:after="0" w:line="272" w:lineRule="auto"/>
        <w:rPr>
          <w:sz w:val="20"/>
          <w:szCs w:val="20"/>
          <w:color w:val="auto"/>
        </w:rPr>
      </w:pPr>
      <w:r>
        <w:rPr>
          <w:rFonts w:ascii="Arial" w:cs="Arial" w:eastAsia="Arial" w:hAnsi="Arial"/>
          <w:sz w:val="17"/>
          <w:szCs w:val="17"/>
          <w:color w:val="auto"/>
        </w:rPr>
        <w:t>6.5.3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920" w:top="272" w:right="51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6.6.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4" w:lineRule="exact"/>
        <w:rPr>
          <w:sz w:val="20"/>
          <w:szCs w:val="20"/>
          <w:color w:val="auto"/>
        </w:rPr>
      </w:pPr>
    </w:p>
    <w:p>
      <w:pPr>
        <w:jc w:val="both"/>
        <w:ind w:right="20" w:firstLine="419"/>
        <w:spacing w:after="0" w:line="335" w:lineRule="auto"/>
        <w:rPr>
          <w:sz w:val="20"/>
          <w:szCs w:val="20"/>
          <w:color w:val="auto"/>
        </w:rPr>
      </w:pPr>
      <w:r>
        <w:rPr>
          <w:rFonts w:ascii="Arial" w:cs="Arial" w:eastAsia="Arial" w:hAnsi="Arial"/>
          <w:sz w:val="16"/>
          <w:szCs w:val="16"/>
          <w:color w:val="auto"/>
        </w:rPr>
        <w:t>6.6.1 Unless otherwise determined by the Committee, and subject to this Section 6.6 and Section 6.7 hereof, an Award may not be exercised unless the Grantee was, since the date of grant of the Award throughout the vesting dates, and is then (at the time of exercise), a Service Provider.</w:t>
      </w:r>
    </w:p>
    <w:p>
      <w:pPr>
        <w:spacing w:after="0" w:line="21" w:lineRule="exact"/>
        <w:rPr>
          <w:sz w:val="20"/>
          <w:szCs w:val="20"/>
          <w:color w:val="auto"/>
        </w:rPr>
      </w:pPr>
    </w:p>
    <w:p>
      <w:pPr>
        <w:ind w:firstLine="419"/>
        <w:spacing w:after="0" w:line="279" w:lineRule="auto"/>
        <w:rPr>
          <w:sz w:val="20"/>
          <w:szCs w:val="20"/>
          <w:color w:val="auto"/>
        </w:rPr>
      </w:pPr>
      <w:r>
        <w:rPr>
          <w:rFonts w:ascii="Arial" w:cs="Arial" w:eastAsia="Arial" w:hAnsi="Arial"/>
          <w:sz w:val="16"/>
          <w:szCs w:val="16"/>
          <w:color w:val="auto"/>
        </w:rPr>
        <w:t xml:space="preserve">6.6.2 In the event that the employment or service of a Grantee shall terminate (other than by reason of death, Disability or Retirement), such that Grantee is no longer a Service Provider,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in general or on a case-by-case basis), but in any event no later than the date of expiration of the Award’s term as set forth in the Award Agreement or pursuant to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(or its Subsidiary or other Affiliate thereof, as applicable) shall have terminated the Grantee’s employment or service for Cause (as defined below) (whether the facts or circumstances that constitute such Cause occur prior to or after termination of employment or service), or if facts or circumstances arise or are discovered with respect to the Grantee that would have constituted Cause, then all Awards theretofore granted to such Grantee (whether vested or not) shall terminate and be subject to recoupment by the Company on the date of such termination (or on such subsequent date on which such facts or circumstances arise or are discovered, as the case may be) unless otherwise determined by the Committee, and any Shares issued upon exercise or (if applicable) vesting of Awards (including other Shares or securities issued or distributed with respect thereto, and including the gross amount of any proceeds, gains or other economic benefit the Grantee actually or constructively receives upon receipt or exercise of any Award or the receipt or resale of any Shares underlying the Award), whether held by the Grantee or by the Trustee for the Grantee’s benefit, shall be deemed to be irrevocably offered for sale to the Company, any of its Affiliates or any person designated by the Company to purchase, at the Company’s election and subject to Applicable Law, either for no consideration, for the par value of such Shares (if such Shares bear a par value) or against payment of the Exercise Price previously received by the Company for such Shares upon their issuance, as the Committee deems fit, upon written notice to the Grantee at any time prior to, at or after the Grantee’s termination of employment or service. Such Shares or other securities shall be sold and transferred within 30 days from the date of the Company’s notice of its election to exercise its right. If the Grantee fails to transfer such Shares or other securities to the Company, the Company, at the decision of the Committee, shall be entitled to forfeit or repurchase such Shares and to authorize any person to execute on behalf of the Grantee any document necessary to effect such transfer, whether or not the share certificates are surrendered. The Company shall have the right and authority to effect the above either by: (i) repurchasing all of such Shares or other securities held by the Grantee or by the Trustee for the benefit of the Grantee, or designate the purchaser of all or any part of such Shares or other securities, for the Exercise Price paid for such Shares, the par value of such Shares (if such Shares bear a par value) or for no payment or consideration whatsoever, as the Committee deems fit;</w:t>
      </w:r>
    </w:p>
    <w:p>
      <w:pPr>
        <w:spacing w:after="0" w:line="15" w:lineRule="exact"/>
        <w:rPr>
          <w:sz w:val="20"/>
          <w:szCs w:val="20"/>
          <w:color w:val="auto"/>
        </w:rPr>
      </w:pPr>
    </w:p>
    <w:p>
      <w:pPr>
        <w:ind w:right="20" w:firstLine="4"/>
        <w:spacing w:after="0" w:line="249" w:lineRule="auto"/>
        <w:tabs>
          <w:tab w:leader="none" w:pos="26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forfeiting all or any part of such Shares or other securities; (iii) redeeming all or any part of such Shares or other securities, for the Exercise Price paid for such Shares, the par value of such Shares (if such Shares bear a par value) or for no payment or consideration whatsoever, as the Committee deems fit; (iv) taking action in order to have all or any part of such Shares or other securities converted into deferred shares entitling their holder only to their par value (if such Shares bear a par value) upon liquidation of the Company; or (v) taking any other action which may be required in order to achieve similar results; all as shall be determined by the Committee, at its sole and absolute discretion, and the Grantee is deemed to irrevocably empower the Company or any person which may be designated by it to take any action by, in the name of or on behalf of the Grantee to comply with and give effect to such actions (including, voting such shares, filling in, signing and delivering share transfer deeds, etc.).</w:t>
      </w:r>
    </w:p>
    <w:p>
      <w:pPr>
        <w:spacing w:after="0" w:line="12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0"/>
          </w:cols>
          <w:pgMar w:left="920" w:top="272" w:right="539" w:bottom="1440" w:gutter="0" w:footer="0" w:header="0"/>
        </w:sectPr>
      </w:pPr>
    </w:p>
    <w:bookmarkStart w:id="387" w:name="page388"/>
    <w:bookmarkEnd w:id="387"/>
    <w:p>
      <w:pPr>
        <w:ind w:right="200" w:firstLine="41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6.6.3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(including, without limitation, qualification of an Award as an Incentive Stock Option) as a result of the modification of such Awards and/or in the event that the Award is exercised beyond the later of:</w:t>
      </w:r>
    </w:p>
    <w:p>
      <w:pPr>
        <w:spacing w:after="0" w:line="1" w:lineRule="exact"/>
        <w:rPr>
          <w:sz w:val="20"/>
          <w:szCs w:val="20"/>
          <w:color w:val="auto"/>
        </w:rPr>
      </w:pPr>
    </w:p>
    <w:p>
      <w:pPr>
        <w:ind w:right="220" w:firstLine="4"/>
        <w:spacing w:after="0" w:line="285" w:lineRule="auto"/>
        <w:tabs>
          <w:tab w:leader="none" w:pos="213"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6.6.4 For purposes of this Plan:</w:t>
      </w:r>
    </w:p>
    <w:p>
      <w:pPr>
        <w:spacing w:after="0" w:line="114" w:lineRule="exact"/>
        <w:rPr>
          <w:sz w:val="20"/>
          <w:szCs w:val="20"/>
          <w:color w:val="auto"/>
        </w:rPr>
      </w:pPr>
    </w:p>
    <w:p>
      <w:pPr>
        <w:ind w:right="60" w:firstLine="943"/>
        <w:spacing w:after="0" w:line="283" w:lineRule="auto"/>
        <w:rPr>
          <w:sz w:val="20"/>
          <w:szCs w:val="20"/>
          <w:color w:val="auto"/>
        </w:rPr>
      </w:pPr>
      <w:r>
        <w:rPr>
          <w:rFonts w:ascii="Arial" w:cs="Arial" w:eastAsia="Arial" w:hAnsi="Arial"/>
          <w:sz w:val="16"/>
          <w:szCs w:val="16"/>
          <w:color w:val="auto"/>
        </w:rPr>
        <w:t xml:space="preserve">6.6.4.1. A termination of employment or service relationship of a Grantee shall not be deemed to occur (except to the extent required by the Code with respect to the Incentive Stock Option status of an Option) in case of (i) a transition or 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in case of the foregoing clauses</w:t>
      </w:r>
    </w:p>
    <w:p>
      <w:pPr>
        <w:spacing w:after="0" w:line="1" w:lineRule="exact"/>
        <w:rPr>
          <w:sz w:val="20"/>
          <w:szCs w:val="20"/>
          <w:color w:val="auto"/>
        </w:rPr>
      </w:pPr>
    </w:p>
    <w:p>
      <w:pPr>
        <w:ind w:right="180" w:firstLine="4"/>
        <w:spacing w:after="0" w:line="318" w:lineRule="auto"/>
        <w:tabs>
          <w:tab w:leader="none" w:pos="213"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and (ii) above, that the Grantee has remained continuously employed by and/or in the service of the Company and its Affiliates since the date of grant of the Award and throughout the vesting period; or (iii) if the Grantee takes any unpaid leave as set forth in Section 6.8 below.</w:t>
      </w:r>
    </w:p>
    <w:p>
      <w:pPr>
        <w:spacing w:after="0" w:line="35" w:lineRule="exact"/>
        <w:rPr>
          <w:sz w:val="20"/>
          <w:szCs w:val="20"/>
          <w:color w:val="auto"/>
        </w:rPr>
      </w:pPr>
    </w:p>
    <w:p>
      <w:pPr>
        <w:ind w:firstLine="943"/>
        <w:spacing w:after="0" w:line="259" w:lineRule="auto"/>
        <w:rPr>
          <w:sz w:val="20"/>
          <w:szCs w:val="20"/>
          <w:color w:val="auto"/>
        </w:rPr>
      </w:pPr>
      <w:r>
        <w:rPr>
          <w:rFonts w:ascii="Arial" w:cs="Arial" w:eastAsia="Arial" w:hAnsi="Arial"/>
          <w:sz w:val="18"/>
          <w:szCs w:val="18"/>
          <w:color w:val="auto"/>
        </w:rPr>
        <w:t>6.6.4.2. An entity or an Affiliate thereof assuming an Award or issuing in substitution thereof in a transaction to which Section 424(a) of the Code applies or in a Merger/Sale in accordance with Section 14 shall be deemed as an Affiliate of the Company for purposes of this Section 6.6, unless the Committee determines otherwise.</w:t>
      </w:r>
    </w:p>
    <w:p>
      <w:pPr>
        <w:spacing w:after="0" w:line="79" w:lineRule="exact"/>
        <w:rPr>
          <w:sz w:val="20"/>
          <w:szCs w:val="20"/>
          <w:color w:val="auto"/>
        </w:rPr>
      </w:pPr>
    </w:p>
    <w:p>
      <w:pPr>
        <w:ind w:right="40" w:firstLine="943"/>
        <w:spacing w:after="0" w:line="259" w:lineRule="auto"/>
        <w:rPr>
          <w:sz w:val="20"/>
          <w:szCs w:val="20"/>
          <w:color w:val="auto"/>
        </w:rPr>
      </w:pPr>
      <w:r>
        <w:rPr>
          <w:rFonts w:ascii="Arial" w:cs="Arial" w:eastAsia="Arial" w:hAnsi="Arial"/>
          <w:sz w:val="18"/>
          <w:szCs w:val="18"/>
          <w:color w:val="auto"/>
        </w:rPr>
        <w:t>6.6.4.3. In the case of a Grantee whose principal employer or service recipient is a Subsidiary or other Affiliate thereof, the Grantee’s employment or service relationship shall also be deemed terminated for purposes of this Section 6.6 as of the date on which such principal employer or service recipient ceases to be a Subsidiary or other Affiliate thereof.</w:t>
      </w:r>
    </w:p>
    <w:p>
      <w:pPr>
        <w:spacing w:after="0" w:line="79" w:lineRule="exact"/>
        <w:rPr>
          <w:sz w:val="20"/>
          <w:szCs w:val="20"/>
          <w:color w:val="auto"/>
        </w:rPr>
      </w:pPr>
    </w:p>
    <w:p>
      <w:pPr>
        <w:ind w:right="20" w:firstLine="943"/>
        <w:spacing w:after="0" w:line="280" w:lineRule="auto"/>
        <w:rPr>
          <w:sz w:val="20"/>
          <w:szCs w:val="20"/>
          <w:color w:val="auto"/>
        </w:rPr>
      </w:pPr>
      <w:r>
        <w:rPr>
          <w:rFonts w:ascii="Arial" w:cs="Arial" w:eastAsia="Arial" w:hAnsi="Arial"/>
          <w:sz w:val="16"/>
          <w:szCs w:val="16"/>
          <w:color w:val="auto"/>
        </w:rPr>
        <w:t>6.6.4.4. The term “</w:t>
      </w:r>
      <w:r>
        <w:rPr>
          <w:rFonts w:ascii="Arial" w:cs="Arial" w:eastAsia="Arial" w:hAnsi="Arial"/>
          <w:sz w:val="16"/>
          <w:szCs w:val="16"/>
          <w:u w:val="single" w:color="auto"/>
          <w:color w:val="auto"/>
        </w:rPr>
        <w:t>Cause</w:t>
      </w:r>
      <w:r>
        <w:rPr>
          <w:rFonts w:ascii="Arial" w:cs="Arial" w:eastAsia="Arial" w:hAnsi="Arial"/>
          <w:sz w:val="16"/>
          <w:szCs w:val="16"/>
          <w:color w:val="auto"/>
        </w:rPr>
        <w:t>” shall mean (irrespective of, and in addition to, any definition included in any other 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other Affiliate thereof, when applicable); (iii) any breach by the Grantee of any material agreement with or of any material duty of the Grantee to the Company or any Subsidiary or other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w:t>
      </w:r>
    </w:p>
    <w:p>
      <w:pPr>
        <w:spacing w:after="0" w:line="7" w:lineRule="exact"/>
        <w:rPr>
          <w:sz w:val="20"/>
          <w:szCs w:val="20"/>
          <w:color w:val="auto"/>
        </w:rPr>
      </w:pPr>
    </w:p>
    <w:p>
      <w:pPr>
        <w:ind w:firstLine="4"/>
        <w:spacing w:after="0" w:line="249" w:lineRule="auto"/>
        <w:tabs>
          <w:tab w:leader="none" w:pos="30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act which constitutes a breach of a Grantee’s fiduciary duty towards the Company or a Subsidiary or other Affiliate thereof, including disclosure of confidential or proprietary information thereof or acceptance or solicitation to receive unauthorized or undisclosed benefits, irrespective of their nature, or funds, or promises to receive either, from individuals, consultants or corporate entities with whom the Company or a Subsidiary or other Affiliate thereof conducts business; (v) the Grantee’s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920" w:top="272" w:right="499" w:bottom="1440" w:gutter="0" w:footer="0" w:header="0"/>
        </w:sectPr>
      </w:pPr>
    </w:p>
    <w:bookmarkStart w:id="388" w:name="page389"/>
    <w:bookmarkEnd w:id="3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6.7. </w:t>
      </w:r>
      <w:r>
        <w:rPr>
          <w:rFonts w:ascii="Arial" w:cs="Arial" w:eastAsia="Arial" w:hAnsi="Arial"/>
          <w:sz w:val="18"/>
          <w:szCs w:val="18"/>
          <w:u w:val="single" w:color="auto"/>
          <w:color w:val="auto"/>
        </w:rPr>
        <w:t>Death, Disability or Retirement of Grantee</w:t>
      </w:r>
      <w:r>
        <w:rPr>
          <w:rFonts w:ascii="Arial" w:cs="Arial" w:eastAsia="Arial" w:hAnsi="Arial"/>
          <w:sz w:val="18"/>
          <w:szCs w:val="18"/>
          <w:color w:val="auto"/>
        </w:rPr>
        <w:t>.</w:t>
      </w:r>
    </w:p>
    <w:p>
      <w:pPr>
        <w:spacing w:after="0" w:line="114" w:lineRule="exact"/>
        <w:rPr>
          <w:sz w:val="20"/>
          <w:szCs w:val="20"/>
          <w:color w:val="auto"/>
        </w:rPr>
      </w:pPr>
    </w:p>
    <w:p>
      <w:pPr>
        <w:ind w:left="440" w:firstLine="419"/>
        <w:spacing w:after="0" w:line="284" w:lineRule="auto"/>
        <w:rPr>
          <w:sz w:val="20"/>
          <w:szCs w:val="20"/>
          <w:color w:val="auto"/>
        </w:rPr>
      </w:pPr>
      <w:r>
        <w:rPr>
          <w:rFonts w:ascii="Arial" w:cs="Arial" w:eastAsia="Arial" w:hAnsi="Arial"/>
          <w:sz w:val="16"/>
          <w:szCs w:val="16"/>
          <w:color w:val="auto"/>
        </w:rPr>
        <w:t>6.7.1 If a Grantee shall die while employed by, or performing service for, the Company or any of its Affiliates, or within the three (3) 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with the Company or any of its Affiliates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62" w:lineRule="exact"/>
        <w:rPr>
          <w:sz w:val="20"/>
          <w:szCs w:val="20"/>
          <w:color w:val="auto"/>
        </w:rPr>
      </w:pPr>
    </w:p>
    <w:p>
      <w:pPr>
        <w:jc w:val="both"/>
        <w:ind w:left="440" w:right="100" w:firstLine="419"/>
        <w:spacing w:after="0" w:line="307" w:lineRule="auto"/>
        <w:rPr>
          <w:sz w:val="20"/>
          <w:szCs w:val="20"/>
          <w:color w:val="auto"/>
        </w:rPr>
      </w:pPr>
      <w:r>
        <w:rPr>
          <w:rFonts w:ascii="Arial" w:cs="Arial" w:eastAsia="Arial" w:hAnsi="Arial"/>
          <w:sz w:val="16"/>
          <w:szCs w:val="16"/>
          <w:color w:val="auto"/>
        </w:rPr>
        <w:t>6.7.2 In the event that the employment or service of a Grantee shall terminate on account of such Grantee’s Retirement, all 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43" w:lineRule="exact"/>
        <w:rPr>
          <w:sz w:val="20"/>
          <w:szCs w:val="20"/>
          <w:color w:val="auto"/>
        </w:rPr>
      </w:pPr>
    </w:p>
    <w:p>
      <w:pPr>
        <w:ind w:right="80" w:firstLine="436"/>
        <w:spacing w:after="0" w:line="272"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Suspension of Vesting</w:t>
      </w:r>
      <w:r>
        <w:rPr>
          <w:rFonts w:ascii="Arial" w:cs="Arial" w:eastAsia="Arial" w:hAnsi="Arial"/>
          <w:sz w:val="17"/>
          <w:szCs w:val="17"/>
          <w:color w:val="auto"/>
        </w:rPr>
        <w:t>. Unless the Committee provides otherwise, vesting of Awards granted hereunder shall be suspended 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 leave or sick leave are not deemed unpaid leave of absence, unless otherwise determined by the Committee.</w:t>
      </w:r>
    </w:p>
    <w:p>
      <w:pPr>
        <w:spacing w:after="0" w:line="69"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Securities Law Restrictions</w:t>
      </w:r>
      <w:r>
        <w:rPr>
          <w:rFonts w:ascii="Arial" w:cs="Arial" w:eastAsia="Arial" w:hAnsi="Arial"/>
          <w:sz w:val="17"/>
          <w:szCs w:val="17"/>
          <w:color w:val="auto"/>
        </w:rPr>
        <w:t>. Except as otherwise provided in the applicable Award Agreement or other agreement between the 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(i) the expiration of a period of three (3) months (or such longer period of time as determined by the Committee,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75"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 evidencing Awards under this Plan shall contain such other terms and conditions not 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1" w:right="499" w:bottom="1440" w:gutter="0" w:footer="0" w:header="0"/>
        </w:sectPr>
      </w:pPr>
    </w:p>
    <w:bookmarkStart w:id="389" w:name="page390"/>
    <w:bookmarkEnd w:id="389"/>
    <w:p>
      <w:pPr>
        <w:ind w:left="180" w:hanging="173"/>
        <w:spacing w:after="0"/>
        <w:tabs>
          <w:tab w:leader="none" w:pos="18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NONQUALIFIED STOCK OPTIONS.</w:t>
      </w:r>
    </w:p>
    <w:p>
      <w:pPr>
        <w:spacing w:after="0" w:line="11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 However, if for any reason the Awards granted pursuant to this Section 7 (or portion thereof) does not qualify as an Incentive Stock Option, then, to the extent of such non-qualification, such Option (or portion thereof) shall be regarded as a Nonqualified Stock Option granted under this Plan. In no event will the Board, the Company or any Parent or Subsidiary or any of their respective employees or directors have any liability to Grantee (or any other person) due to the failure of the Option to qualify for any reason as an Incentive Stock Option.</w:t>
      </w:r>
    </w:p>
    <w:p>
      <w:pPr>
        <w:spacing w:after="0" w:line="59"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Certain Limitations on Eligibility for Nonqualified Stock Options</w:t>
      </w:r>
      <w:r>
        <w:rPr>
          <w:rFonts w:ascii="Arial" w:cs="Arial" w:eastAsia="Arial" w:hAnsi="Arial"/>
          <w:sz w:val="18"/>
          <w:szCs w:val="18"/>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83"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1.409A-1(b)(5)(v)(D) of the U.S. Treasury Regulations or any successor guidance.</w:t>
      </w:r>
    </w:p>
    <w:p>
      <w:pPr>
        <w:spacing w:after="0" w:line="161" w:lineRule="exact"/>
        <w:rPr>
          <w:sz w:val="20"/>
          <w:szCs w:val="20"/>
          <w:color w:val="auto"/>
        </w:rPr>
      </w:pPr>
    </w:p>
    <w:p>
      <w:pPr>
        <w:ind w:left="180" w:hanging="173"/>
        <w:spacing w:after="0"/>
        <w:tabs>
          <w:tab w:leader="none" w:pos="18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1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83"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Eligibility for Incentive Stock Options</w:t>
      </w:r>
      <w:r>
        <w:rPr>
          <w:rFonts w:ascii="Arial" w:cs="Arial" w:eastAsia="Arial" w:hAnsi="Arial"/>
          <w:sz w:val="18"/>
          <w:szCs w:val="18"/>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83" w:lineRule="exact"/>
        <w:rPr>
          <w:sz w:val="20"/>
          <w:szCs w:val="20"/>
          <w:color w:val="auto"/>
        </w:rPr>
      </w:pPr>
    </w:p>
    <w:p>
      <w:pPr>
        <w:ind w:firstLine="436"/>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52" w:lineRule="exact"/>
        <w:rPr>
          <w:sz w:val="20"/>
          <w:szCs w:val="20"/>
          <w:color w:val="auto"/>
        </w:rPr>
      </w:pPr>
    </w:p>
    <w:p>
      <w:pPr>
        <w:ind w:right="320" w:firstLine="436"/>
        <w:spacing w:after="0" w:line="30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Date of Grant</w:t>
      </w:r>
      <w:r>
        <w:rPr>
          <w:rFonts w:ascii="Arial" w:cs="Arial" w:eastAsia="Arial" w:hAnsi="Arial"/>
          <w:sz w:val="17"/>
          <w:szCs w:val="17"/>
          <w:color w:val="auto"/>
        </w:rPr>
        <w:t>. Notwithstanding any other provision of this Plan to the contrary, no Incentive Stock Option may be granted under this Plan after 10 years from the date this Plan is adopted, or the date this Plan is approved by the shareholders, whichever is earlier.</w:t>
      </w:r>
    </w:p>
    <w:p>
      <w:pPr>
        <w:spacing w:after="0" w:line="45" w:lineRule="exact"/>
        <w:rPr>
          <w:sz w:val="20"/>
          <w:szCs w:val="20"/>
          <w:color w:val="auto"/>
        </w:rPr>
      </w:pPr>
    </w:p>
    <w:p>
      <w:pPr>
        <w:jc w:val="both"/>
        <w:ind w:right="180" w:firstLine="436"/>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Exercise Period</w:t>
      </w:r>
      <w:r>
        <w:rPr>
          <w:rFonts w:ascii="Arial" w:cs="Arial" w:eastAsia="Arial" w:hAnsi="Arial"/>
          <w:sz w:val="18"/>
          <w:szCs w:val="18"/>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390" w:name="page391"/>
    <w:bookmarkEnd w:id="390"/>
    <w:p>
      <w:pPr>
        <w:ind w:firstLine="43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8.5. </w:t>
      </w:r>
      <w:r>
        <w:rPr>
          <w:rFonts w:ascii="Arial" w:cs="Arial" w:eastAsia="Arial" w:hAnsi="Arial"/>
          <w:sz w:val="17"/>
          <w:szCs w:val="17"/>
          <w:u w:val="single" w:color="auto"/>
          <w:color w:val="auto"/>
        </w:rPr>
        <w:t>$100,000 Per Year Limitation</w:t>
      </w:r>
      <w:r>
        <w:rPr>
          <w:rFonts w:ascii="Arial" w:cs="Arial" w:eastAsia="Arial" w:hAnsi="Arial"/>
          <w:sz w:val="17"/>
          <w:szCs w:val="17"/>
          <w:color w:val="auto"/>
        </w:rPr>
        <w:t>. The aggregate Fair Market Value (determined as of the date the Incentive Stock Option is granted) of the Shares with respect to which all Incentive Stock Options granted under this Plan and all other “incentive stock option” plans of the Company, or of any Parent or Subsidiary, become exercisable for the first time by each Grantee during any calendar year shall not exceed one hundred thousand United States dollars ($100,000) with respect to such Grantee. To the extent that the aggregate Fair Market Value of Shares with respect to which such Incentive Stock Options and any other such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Option is treated as an Incentive Stock Option in part and as a Nonqualified Stock Option in part by reason of the limitation set forth in this Section 8.5, the Grantee may designate which portion of such Option the Grantee is exercising. In the absence of such designation, the Grantee shall be deemed to have exercised the Incentive Stock Option portion of the Option first. Separate certificates representing each such portion may be issued upon the exercise of the Option.</w:t>
      </w:r>
    </w:p>
    <w:p>
      <w:pPr>
        <w:spacing w:after="0" w:line="7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In the case of an Incentive Stock Option granted to a Ten Percent Shareholder, notwithstanding the foregoing provisions of this Section 8, (i) the Exercise Price shall not be less than one hundred and ten percent (110%) of the Fair Market Value of a Share on the date of grant of such Incentive Stock Option, and (ii) the Exercise Period shall not exceed five (5) years from the effective date of grant of such Incentive Stock Option.</w:t>
      </w:r>
    </w:p>
    <w:p>
      <w:pPr>
        <w:spacing w:after="0" w:line="83"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Each Award Agreement evidencing an Incentive Stock Option shall state each alternative method by which the Exercise Price thereof may be paid.</w:t>
      </w:r>
    </w:p>
    <w:p>
      <w:pPr>
        <w:spacing w:after="0" w:line="68"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Leave of Absence</w:t>
      </w:r>
      <w:r>
        <w:rPr>
          <w:rFonts w:ascii="Arial" w:cs="Arial" w:eastAsia="Arial" w:hAnsi="Arial"/>
          <w:sz w:val="16"/>
          <w:szCs w:val="16"/>
          <w:color w:val="auto"/>
        </w:rPr>
        <w:t xml:space="preserve">. Notwithstanding Section 6.8, a Grantee’s employment shall not be deemed to have terminated if the Grantee takes any leave as set forth in Section 6.8(i);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leave exceeds three (3) months, on the day that is three (3) months following the commencement of such leave any Incentive Stock Option held by the Grantee shall cease to be treated as an Incentive Stock Option and instead shall be treated thereafter as a Nonqualified Stock Option, unless the Grantee’s right to return to employment is guaranteed by statute or contract.</w:t>
      </w:r>
    </w:p>
    <w:p>
      <w:pPr>
        <w:spacing w:after="0" w:line="52" w:lineRule="exact"/>
        <w:rPr>
          <w:sz w:val="20"/>
          <w:szCs w:val="20"/>
          <w:color w:val="auto"/>
        </w:rPr>
      </w:pPr>
    </w:p>
    <w:p>
      <w:pPr>
        <w:ind w:right="60" w:firstLine="436"/>
        <w:spacing w:after="0" w:line="272"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Exercise Following Termination</w:t>
      </w:r>
      <w:r>
        <w:rPr>
          <w:rFonts w:ascii="Arial" w:cs="Arial" w:eastAsia="Arial" w:hAnsi="Arial"/>
          <w:sz w:val="17"/>
          <w:szCs w:val="17"/>
          <w:color w:val="auto"/>
        </w:rPr>
        <w:t>. Notwithstanding anything else in this Plan to the contrary, Incentive Stock Options that are not exercised within three (3) months following termination of the Grantee’s employment with the Company or its Parent or Subsidiary or with a corporation (or a parent or subsidiary of such corporation) issuing or assuming an Option of such Grantee in a transaction to which Section 424(a) of the Code applies, or within one year in case of termination of the Grantee’s employment with the Company or its Parent or Subsidiary due to a Disability (within the meaning of Section 22(e)(3) of the Code), shall be deemed to be Nonqualified Stock Options.</w:t>
      </w:r>
    </w:p>
    <w:p>
      <w:pPr>
        <w:spacing w:after="0" w:line="69" w:lineRule="exact"/>
        <w:rPr>
          <w:sz w:val="20"/>
          <w:szCs w:val="20"/>
          <w:color w:val="auto"/>
        </w:rPr>
      </w:pPr>
    </w:p>
    <w:p>
      <w:pPr>
        <w:ind w:right="100" w:firstLine="436"/>
        <w:spacing w:after="0" w:line="252"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 Each Grantee who receives an Incentive Stock Option must agree to notify the Company in writing immediately after the Grantee makes a Disqualifying Disposition of any Shares received pursuant to the exercise of Incentive Stock Options. A “</w:t>
      </w: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194" w:lineRule="exact"/>
        <w:rPr>
          <w:sz w:val="20"/>
          <w:szCs w:val="20"/>
          <w:color w:val="auto"/>
        </w:rPr>
      </w:pPr>
    </w:p>
    <w:p>
      <w:pPr>
        <w:ind w:left="180" w:hanging="173"/>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102 AWARDS.</w:t>
      </w:r>
    </w:p>
    <w:p>
      <w:pPr>
        <w:spacing w:after="0" w:line="1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391" w:name="page392"/>
    <w:bookmarkEnd w:id="391"/>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9.1. </w:t>
      </w:r>
      <w:r>
        <w:rPr>
          <w:rFonts w:ascii="Arial" w:cs="Arial" w:eastAsia="Arial" w:hAnsi="Arial"/>
          <w:sz w:val="17"/>
          <w:szCs w:val="17"/>
          <w:u w:val="single" w:color="auto"/>
          <w:color w:val="auto"/>
        </w:rPr>
        <w:t>Tracks</w:t>
      </w:r>
      <w:r>
        <w:rPr>
          <w:rFonts w:ascii="Arial" w:cs="Arial" w:eastAsia="Arial" w:hAnsi="Arial"/>
          <w:sz w:val="17"/>
          <w:szCs w:val="17"/>
          <w:color w:val="auto"/>
        </w:rPr>
        <w:t>. Awards granted pursuant to this Section 9 are intended to be granted pursuant to Section 102 of the Ordinance pursuant to either</w:t>
      </w:r>
    </w:p>
    <w:p>
      <w:pPr>
        <w:spacing w:after="0" w:line="31" w:lineRule="exact"/>
        <w:rPr>
          <w:sz w:val="20"/>
          <w:szCs w:val="20"/>
          <w:color w:val="auto"/>
        </w:rPr>
      </w:pPr>
    </w:p>
    <w:p>
      <w:pPr>
        <w:ind w:right="80" w:firstLine="7"/>
        <w:spacing w:after="0" w:line="292" w:lineRule="auto"/>
        <w:tabs>
          <w:tab w:leader="none" w:pos="213" w:val="left"/>
        </w:tabs>
        <w:numPr>
          <w:ilvl w:val="0"/>
          <w:numId w:val="341"/>
        </w:numPr>
        <w:rPr>
          <w:rFonts w:ascii="Arial" w:cs="Arial" w:eastAsia="Arial" w:hAnsi="Arial"/>
          <w:sz w:val="16"/>
          <w:szCs w:val="16"/>
          <w:color w:val="auto"/>
        </w:rPr>
      </w:pPr>
      <w:r>
        <w:rPr>
          <w:rFonts w:ascii="Arial" w:cs="Arial" w:eastAsia="Arial" w:hAnsi="Arial"/>
          <w:sz w:val="16"/>
          <w:szCs w:val="16"/>
          <w:color w:val="auto"/>
        </w:rPr>
        <w:t>Section 102(b)(2) or (3) thereof (as applicable), under the capital gain track (“</w:t>
      </w:r>
      <w:r>
        <w:rPr>
          <w:rFonts w:ascii="Arial" w:cs="Arial" w:eastAsia="Arial" w:hAnsi="Arial"/>
          <w:sz w:val="16"/>
          <w:szCs w:val="16"/>
          <w:u w:val="single" w:color="auto"/>
          <w:color w:val="auto"/>
        </w:rPr>
        <w:t>102 Capital Gain Track Awards</w:t>
      </w:r>
      <w:r>
        <w:rPr>
          <w:rFonts w:ascii="Arial" w:cs="Arial" w:eastAsia="Arial" w:hAnsi="Arial"/>
          <w:sz w:val="16"/>
          <w:szCs w:val="16"/>
          <w:color w:val="auto"/>
        </w:rPr>
        <w:t>”), or (ii) Section 102(b)(1) thereof under the ordinary income track (“</w:t>
      </w:r>
      <w:r>
        <w:rPr>
          <w:rFonts w:ascii="Arial" w:cs="Arial" w:eastAsia="Arial" w:hAnsi="Arial"/>
          <w:sz w:val="16"/>
          <w:szCs w:val="16"/>
          <w:u w:val="single" w:color="auto"/>
          <w:color w:val="auto"/>
        </w:rPr>
        <w:t>102 Ordinary Income Track Awards</w:t>
      </w:r>
      <w:r>
        <w:rPr>
          <w:rFonts w:ascii="Arial" w:cs="Arial" w:eastAsia="Arial" w:hAnsi="Arial"/>
          <w:sz w:val="16"/>
          <w:szCs w:val="16"/>
          <w:color w:val="auto"/>
        </w:rPr>
        <w:t>”, and together with 102 Capital Gain Track Awards, “</w:t>
      </w:r>
      <w:r>
        <w:rPr>
          <w:rFonts w:ascii="Arial" w:cs="Arial" w:eastAsia="Arial" w:hAnsi="Arial"/>
          <w:sz w:val="16"/>
          <w:szCs w:val="16"/>
          <w:u w:val="single" w:color="auto"/>
          <w:color w:val="auto"/>
        </w:rPr>
        <w:t>102 Trustee Awards</w:t>
      </w:r>
      <w:r>
        <w:rPr>
          <w:rFonts w:ascii="Arial" w:cs="Arial" w:eastAsia="Arial" w:hAnsi="Arial"/>
          <w:sz w:val="16"/>
          <w:szCs w:val="16"/>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55"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Election of Track</w:t>
      </w:r>
      <w:r>
        <w:rPr>
          <w:rFonts w:ascii="Arial" w:cs="Arial" w:eastAsia="Arial" w:hAnsi="Arial"/>
          <w:sz w:val="17"/>
          <w:szCs w:val="17"/>
          <w:color w:val="auto"/>
        </w:rPr>
        <w:t>. Subject to Applicable Law, the Company may grant only one type of 102 Trustee Awards at any given time to all Grantees who are to be granted 102 Trustee Awards pursuant to this Plan, and shall file an election with the ITA regarding the type of 102 Trustee Awards it elects to grant before the date of grant of any 102 Trustee Awards (the “</w:t>
      </w:r>
      <w:r>
        <w:rPr>
          <w:rFonts w:ascii="Arial" w:cs="Arial" w:eastAsia="Arial" w:hAnsi="Arial"/>
          <w:sz w:val="17"/>
          <w:szCs w:val="17"/>
          <w:u w:val="single" w:color="auto"/>
          <w:color w:val="auto"/>
        </w:rPr>
        <w:t>Election</w:t>
      </w:r>
      <w:r>
        <w:rPr>
          <w:rFonts w:ascii="Arial" w:cs="Arial" w:eastAsia="Arial" w:hAnsi="Arial"/>
          <w:sz w:val="17"/>
          <w:szCs w:val="17"/>
          <w:color w:val="auto"/>
        </w:rPr>
        <w:t>”).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w:t>
      </w:r>
    </w:p>
    <w:p>
      <w:pPr>
        <w:spacing w:after="0" w:line="114" w:lineRule="exact"/>
        <w:rPr>
          <w:sz w:val="20"/>
          <w:szCs w:val="20"/>
          <w:color w:val="auto"/>
        </w:rPr>
      </w:pPr>
    </w:p>
    <w:p>
      <w:pPr>
        <w:ind w:left="440" w:right="80" w:firstLine="419"/>
        <w:spacing w:after="0" w:line="272" w:lineRule="auto"/>
        <w:rPr>
          <w:sz w:val="20"/>
          <w:szCs w:val="20"/>
          <w:color w:val="auto"/>
        </w:rPr>
      </w:pPr>
      <w:r>
        <w:rPr>
          <w:rFonts w:ascii="Arial" w:cs="Arial" w:eastAsia="Arial" w:hAnsi="Arial"/>
          <w:sz w:val="17"/>
          <w:szCs w:val="17"/>
          <w:color w:val="auto"/>
        </w:rPr>
        <w:t>9.3.1 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(and not through an entity) as “office holders” by such an Israeli company), but may not be granted to a Controlling Shareholder (“</w:t>
      </w:r>
      <w:r>
        <w:rPr>
          <w:rFonts w:ascii="Arial" w:cs="Arial" w:eastAsia="Arial" w:hAnsi="Arial"/>
          <w:sz w:val="17"/>
          <w:szCs w:val="17"/>
          <w:u w:val="single" w:color="auto"/>
          <w:color w:val="auto"/>
        </w:rPr>
        <w:t>Eligible 102 Grantees</w:t>
      </w:r>
      <w:r>
        <w:rPr>
          <w:rFonts w:ascii="Arial" w:cs="Arial" w:eastAsia="Arial" w:hAnsi="Arial"/>
          <w:sz w:val="17"/>
          <w:szCs w:val="17"/>
          <w:color w:val="auto"/>
        </w:rPr>
        <w:t>”). Eligible 102 Grantees may receive only 102 Awards, which may either be granted to a Trustee or granted under Section 102 of the Ordinance without a Trustee.</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114" w:lineRule="exact"/>
        <w:rPr>
          <w:sz w:val="20"/>
          <w:szCs w:val="20"/>
          <w:color w:val="auto"/>
        </w:rPr>
      </w:pPr>
    </w:p>
    <w:p>
      <w:pPr>
        <w:ind w:left="440" w:right="80" w:firstLine="419"/>
        <w:spacing w:after="0" w:line="268" w:lineRule="auto"/>
        <w:rPr>
          <w:sz w:val="20"/>
          <w:szCs w:val="20"/>
          <w:color w:val="auto"/>
        </w:rPr>
      </w:pPr>
      <w:r>
        <w:rPr>
          <w:rFonts w:ascii="Arial" w:cs="Arial" w:eastAsia="Arial" w:hAnsi="Arial"/>
          <w:sz w:val="17"/>
          <w:szCs w:val="17"/>
          <w:color w:val="auto"/>
        </w:rPr>
        <w:t xml:space="preserve">9.4.1 Each 102 Award will be deemed granted on the date determined by the Committee, subject to Section 9.4.2,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Grantee has signed all documents required by the Company or pursuant to Applicable Law, and (ii) with respect to 102 Trustee Award, the Company has provided all applicable documents to the Trustee in accordance with the guidelines published by the ITA, and if an agreement is not signed and delivered by the Grantee within 90 days from the date determined by the Committee (subject to Section 9.4.2), then such 102 Trustee Award shall be deemed granted on such later date as such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any corporate resolution or Award Agreement.</w:t>
      </w:r>
    </w:p>
    <w:p>
      <w:pPr>
        <w:spacing w:after="0" w:line="73" w:lineRule="exact"/>
        <w:rPr>
          <w:sz w:val="20"/>
          <w:szCs w:val="20"/>
          <w:color w:val="auto"/>
        </w:rPr>
      </w:pPr>
    </w:p>
    <w:p>
      <w:pPr>
        <w:ind w:left="440" w:right="60" w:firstLine="419"/>
        <w:spacing w:after="0" w:line="268" w:lineRule="auto"/>
        <w:rPr>
          <w:sz w:val="20"/>
          <w:szCs w:val="20"/>
          <w:color w:val="auto"/>
        </w:rPr>
      </w:pPr>
      <w:r>
        <w:rPr>
          <w:rFonts w:ascii="Arial" w:cs="Arial" w:eastAsia="Arial" w:hAnsi="Arial"/>
          <w:sz w:val="17"/>
          <w:szCs w:val="17"/>
          <w:color w:val="auto"/>
        </w:rPr>
        <w:t>9.4.2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2" w:right="49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114"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9.5.1 Each 102 Trustee Award, each Share issued pursuant to the exercise of any 102 Trustee Award, and any rights granted thereunder, including bonus shares, shall be issued to and registered in the name of the Trustee and shall be held in trust for the benefit of the Grantee for the requisite period prescribed by the Ordinance (the “</w:t>
      </w:r>
      <w:r>
        <w:rPr>
          <w:rFonts w:ascii="Arial" w:cs="Arial" w:eastAsia="Arial" w:hAnsi="Arial"/>
          <w:sz w:val="17"/>
          <w:szCs w:val="17"/>
          <w:u w:val="single" w:color="auto"/>
          <w:color w:val="auto"/>
        </w:rPr>
        <w:t>Required Holding Period</w:t>
      </w:r>
      <w:r>
        <w:rPr>
          <w:rFonts w:ascii="Arial" w:cs="Arial" w:eastAsia="Arial" w:hAnsi="Arial"/>
          <w:sz w:val="17"/>
          <w:szCs w:val="17"/>
          <w:color w:val="auto"/>
        </w:rPr>
        <w:t xml:space="preserve">”). In the event that the requirements under Section 102 of the Ordinance to qualify an Award as a 102 Trustee Award are not met, then the Award may be treated as a 102 Non-Trustee Award or 3(9) Award, all in accordance with the provisions of the Ordinance. After expiration of the Required Holding Period, the Trustee may release such 102 Trustee Awards and any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Trustee has received an acknowledgment from the ITA that the Grantee has paid any applicable taxes due pursuant to the Ordinance, or (ii) the Trustee and/or the Company and/or the Employer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78" w:lineRule="exact"/>
        <w:rPr>
          <w:sz w:val="20"/>
          <w:szCs w:val="20"/>
          <w:color w:val="auto"/>
        </w:rPr>
      </w:pPr>
    </w:p>
    <w:p>
      <w:pPr>
        <w:ind w:firstLine="419"/>
        <w:spacing w:after="0" w:line="251" w:lineRule="auto"/>
        <w:rPr>
          <w:sz w:val="20"/>
          <w:szCs w:val="20"/>
          <w:color w:val="auto"/>
        </w:rPr>
      </w:pPr>
      <w:r>
        <w:rPr>
          <w:rFonts w:ascii="Arial" w:cs="Arial" w:eastAsia="Arial" w:hAnsi="Arial"/>
          <w:sz w:val="18"/>
          <w:szCs w:val="18"/>
          <w:color w:val="auto"/>
        </w:rPr>
        <w:t>9.5.2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Any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87" w:lineRule="exact"/>
        <w:rPr>
          <w:sz w:val="20"/>
          <w:szCs w:val="20"/>
          <w:color w:val="auto"/>
        </w:rPr>
      </w:pPr>
    </w:p>
    <w:p>
      <w:pPr>
        <w:ind w:firstLine="419"/>
        <w:spacing w:after="0" w:line="285" w:lineRule="auto"/>
        <w:rPr>
          <w:sz w:val="20"/>
          <w:szCs w:val="20"/>
          <w:color w:val="auto"/>
        </w:rPr>
      </w:pPr>
      <w:r>
        <w:rPr>
          <w:rFonts w:ascii="Arial" w:cs="Arial" w:eastAsia="Arial" w:hAnsi="Arial"/>
          <w:sz w:val="16"/>
          <w:szCs w:val="16"/>
          <w:color w:val="auto"/>
        </w:rPr>
        <w:t xml:space="preserve">9.5.3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62" w:lineRule="exact"/>
        <w:rPr>
          <w:sz w:val="20"/>
          <w:szCs w:val="20"/>
          <w:color w:val="auto"/>
        </w:rPr>
      </w:pPr>
    </w:p>
    <w:p>
      <w:pPr>
        <w:jc w:val="both"/>
        <w:ind w:right="240" w:firstLine="419"/>
        <w:spacing w:after="0" w:line="271" w:lineRule="auto"/>
        <w:rPr>
          <w:sz w:val="20"/>
          <w:szCs w:val="20"/>
          <w:color w:val="auto"/>
        </w:rPr>
      </w:pPr>
      <w:r>
        <w:rPr>
          <w:rFonts w:ascii="Arial" w:cs="Arial" w:eastAsia="Arial" w:hAnsi="Arial"/>
          <w:sz w:val="18"/>
          <w:szCs w:val="18"/>
          <w:color w:val="auto"/>
        </w:rPr>
        <w:t>9.5.4 If a 102 Trustee Award is exercised or (if applicable) vested, the Shares issued upon such exercise or (if applicable) vesting shall be issued in the name of the Trustee for the benefit of the Grantee.</w:t>
      </w:r>
    </w:p>
    <w:p>
      <w:pPr>
        <w:spacing w:after="0" w:line="68" w:lineRule="exact"/>
        <w:rPr>
          <w:sz w:val="20"/>
          <w:szCs w:val="20"/>
          <w:color w:val="auto"/>
        </w:rPr>
      </w:pPr>
    </w:p>
    <w:p>
      <w:pPr>
        <w:jc w:val="both"/>
        <w:ind w:right="220" w:firstLine="419"/>
        <w:spacing w:after="0" w:line="259" w:lineRule="auto"/>
        <w:rPr>
          <w:sz w:val="20"/>
          <w:szCs w:val="20"/>
          <w:color w:val="auto"/>
        </w:rPr>
      </w:pPr>
      <w:r>
        <w:rPr>
          <w:rFonts w:ascii="Arial" w:cs="Arial" w:eastAsia="Arial" w:hAnsi="Arial"/>
          <w:sz w:val="18"/>
          <w:szCs w:val="18"/>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0"/>
          </w:cols>
          <w:pgMar w:left="920" w:top="272" w:right="539" w:bottom="1440" w:gutter="0" w:footer="0" w:header="0"/>
        </w:sectPr>
      </w:pPr>
    </w:p>
    <w:bookmarkStart w:id="393" w:name="page394"/>
    <w:bookmarkEnd w:id="393"/>
    <w:p>
      <w:pPr>
        <w:ind w:firstLine="43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9.6. </w:t>
      </w:r>
      <w:r>
        <w:rPr>
          <w:rFonts w:ascii="Arial" w:cs="Arial" w:eastAsia="Arial" w:hAnsi="Arial"/>
          <w:sz w:val="16"/>
          <w:szCs w:val="16"/>
          <w:u w:val="single" w:color="auto"/>
          <w:color w:val="auto"/>
        </w:rPr>
        <w:t>102 Non-Trustee Awards</w:t>
      </w:r>
      <w:r>
        <w:rPr>
          <w:rFonts w:ascii="Arial" w:cs="Arial" w:eastAsia="Arial" w:hAnsi="Arial"/>
          <w:sz w:val="16"/>
          <w:szCs w:val="16"/>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59"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Written Grantee Undertaking</w:t>
      </w:r>
      <w:r>
        <w:rPr>
          <w:rFonts w:ascii="Arial" w:cs="Arial" w:eastAsia="Arial" w:hAnsi="Arial"/>
          <w:sz w:val="16"/>
          <w:szCs w:val="16"/>
          <w:color w:val="auto"/>
        </w:rPr>
        <w:t>. To the extent and with respect to any 102 Trustee Award, and as required by Section 102 of the Ordinance and the Rules, by virtue of the receipt of such Award, the Grantee is deemed to have provided, undertaken and confirmed the following written undertaking (and such undertaking is deemed incorporated into any documents signed by the Grantee in connection with the employment or service of the Grantee and/or the grant of such Award), which undertaking shall be deemed to apply and relate to all 102 Trustee Awards granted to the Grantee, whether under this Plan or other plans maintained by the Company, and whether prior to or after the date hereof.</w:t>
      </w:r>
    </w:p>
    <w:p>
      <w:pPr>
        <w:spacing w:after="0" w:line="54" w:lineRule="exact"/>
        <w:rPr>
          <w:sz w:val="20"/>
          <w:szCs w:val="20"/>
          <w:color w:val="auto"/>
        </w:rPr>
      </w:pPr>
    </w:p>
    <w:p>
      <w:pPr>
        <w:ind w:left="440" w:right="120" w:firstLine="419"/>
        <w:spacing w:after="0" w:line="259" w:lineRule="auto"/>
        <w:rPr>
          <w:sz w:val="20"/>
          <w:szCs w:val="20"/>
          <w:color w:val="auto"/>
        </w:rPr>
      </w:pPr>
      <w:r>
        <w:rPr>
          <w:rFonts w:ascii="Arial" w:cs="Arial" w:eastAsia="Arial" w:hAnsi="Arial"/>
          <w:sz w:val="18"/>
          <w:szCs w:val="18"/>
          <w:color w:val="auto"/>
        </w:rPr>
        <w:t>9.7.1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pacing w:after="0" w:line="79" w:lineRule="exact"/>
        <w:rPr>
          <w:sz w:val="20"/>
          <w:szCs w:val="20"/>
          <w:color w:val="auto"/>
        </w:rPr>
      </w:pPr>
    </w:p>
    <w:p>
      <w:pPr>
        <w:ind w:left="440" w:right="100" w:firstLine="419"/>
        <w:spacing w:after="0" w:line="268" w:lineRule="auto"/>
        <w:rPr>
          <w:sz w:val="20"/>
          <w:szCs w:val="20"/>
          <w:color w:val="auto"/>
        </w:rPr>
      </w:pPr>
      <w:r>
        <w:rPr>
          <w:rFonts w:ascii="Arial" w:cs="Arial" w:eastAsia="Arial" w:hAnsi="Arial"/>
          <w:sz w:val="17"/>
          <w:szCs w:val="17"/>
          <w:color w:val="auto"/>
        </w:rPr>
        <w:t>9.7.2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the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73" w:lineRule="exact"/>
        <w:rPr>
          <w:sz w:val="20"/>
          <w:szCs w:val="20"/>
          <w:color w:val="auto"/>
        </w:rPr>
      </w:pPr>
    </w:p>
    <w:p>
      <w:pPr>
        <w:ind w:left="440" w:right="760" w:firstLine="419"/>
        <w:spacing w:after="0" w:line="271" w:lineRule="auto"/>
        <w:rPr>
          <w:sz w:val="20"/>
          <w:szCs w:val="20"/>
          <w:color w:val="auto"/>
        </w:rPr>
      </w:pPr>
      <w:r>
        <w:rPr>
          <w:rFonts w:ascii="Arial" w:cs="Arial" w:eastAsia="Arial" w:hAnsi="Arial"/>
          <w:sz w:val="18"/>
          <w:szCs w:val="18"/>
          <w:color w:val="auto"/>
        </w:rPr>
        <w:t>9.7.3 The Grantee agrees to the trust agreement signed between the Company, the Employer and the Trustee appointed pursuant to Section 102 of the Ordinance.</w:t>
      </w:r>
    </w:p>
    <w:p>
      <w:pPr>
        <w:spacing w:after="0" w:line="175" w:lineRule="exact"/>
        <w:rPr>
          <w:sz w:val="20"/>
          <w:szCs w:val="20"/>
          <w:color w:val="auto"/>
        </w:rPr>
      </w:pPr>
    </w:p>
    <w:p>
      <w:pPr>
        <w:ind w:left="280" w:hanging="273"/>
        <w:spacing w:after="0"/>
        <w:tabs>
          <w:tab w:leader="none" w:pos="28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3(I) AWARDS.</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granted pursuant to this Section 10 are intended to constitute 3(i)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83"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10.1. To the extent required by the Ordinance or the ITA or otherwise deemed by the Committee to be advisable, the 3(i) Awards and/or any shares or other securities issued or distributed with respect thereto granted pursuant to this Plan shall be issued to a Trustee nominated by the Committee in accordance with the provisions of the Ordinance or the terms of a trust agreement, as applicable. In such event, the Trustee shall hold such Awards and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2" w:right="499" w:bottom="1440" w:gutter="0" w:footer="0" w:header="0"/>
        </w:sectPr>
      </w:pPr>
    </w:p>
    <w:bookmarkStart w:id="394" w:name="page395"/>
    <w:bookmarkEnd w:id="394"/>
    <w:p>
      <w:pPr>
        <w:jc w:val="both"/>
        <w:ind w:right="20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10.2. Shares pursuant to a 3(9)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86" w:lineRule="exact"/>
        <w:rPr>
          <w:sz w:val="20"/>
          <w:szCs w:val="20"/>
          <w:color w:val="auto"/>
        </w:rPr>
      </w:pPr>
    </w:p>
    <w:p>
      <w:pPr>
        <w:ind w:left="260" w:hanging="253"/>
        <w:spacing w:after="0"/>
        <w:tabs>
          <w:tab w:leader="none" w:pos="26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RESTRICTED SHARES.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Committee may award Restricted Shares to any eligible Grantee, including under Section 102 of the Ordinance. Each Award of Restricted Shares under this Plan shall be evidenced by a written agreement between the Company and the Grantee (the “</w:t>
      </w:r>
      <w:r>
        <w:rPr>
          <w:rFonts w:ascii="Arial" w:cs="Arial" w:eastAsia="Arial" w:hAnsi="Arial"/>
          <w:sz w:val="17"/>
          <w:szCs w:val="17"/>
          <w:u w:val="single" w:color="auto"/>
          <w:color w:val="auto"/>
        </w:rPr>
        <w:t>Restricted Share Agreement</w:t>
      </w:r>
      <w:r>
        <w:rPr>
          <w:rFonts w:ascii="Arial" w:cs="Arial" w:eastAsia="Arial" w:hAnsi="Arial"/>
          <w:sz w:val="17"/>
          <w:szCs w:val="17"/>
          <w:color w:val="auto"/>
        </w:rPr>
        <w: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with respect to any two Awards or Guarantees. The Restricted Share Agreement shall comply with and be subject to Section 6 and the following terms and conditions, unless otherwise specifically provided in such Agreement and not inconsistent with this Plan or Applicable Law:</w:t>
      </w:r>
    </w:p>
    <w:p>
      <w:pPr>
        <w:spacing w:after="0" w:line="7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Purchase Price</w:t>
      </w:r>
      <w:r>
        <w:rPr>
          <w:rFonts w:ascii="Arial" w:cs="Arial" w:eastAsia="Arial" w:hAnsi="Arial"/>
          <w:sz w:val="18"/>
          <w:szCs w:val="18"/>
          <w:color w:val="auto"/>
        </w:rPr>
        <w:t>. Section 6.4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83"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 disposed of, except 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Shares thereunder being referred to herein as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Committee may also impose such additional or alternative restrictions and conditions on the Restricted Shares, as it deems appropriate, including the satisfaction of performance criteria (which, in case of 102 Trustee Awards, may be subject to obtaining a specific tax ruling or determination from the ITA). Such performance criteria may include, but are not limited to, sales, earnings before interest and taxes, return on investment, earnings per share,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if issued,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at least the Required Holding Period.</w:t>
      </w:r>
    </w:p>
    <w:p>
      <w:pPr>
        <w:spacing w:after="0" w:line="62"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Forfeiture; Repurchase</w:t>
      </w:r>
      <w:r>
        <w:rPr>
          <w:rFonts w:ascii="Arial" w:cs="Arial" w:eastAsia="Arial" w:hAnsi="Arial"/>
          <w:sz w:val="16"/>
          <w:szCs w:val="16"/>
          <w:color w:val="auto"/>
        </w:rPr>
        <w:t>. Subject to such exceptions as may be determined by the Committee, if the Grantee’s continuous employment with or service to the Company or any Affiliate thereof shall terminate (such that Grantee is no longer a Service Provider of either the Company or any Affiliate thereof) for any reason prior to the expiration of the Restricted Period of an Award or prior to the timely payment in full of the Exercise Price of any Restricted Shares, any Restricted Shares remaining subject to vesting or with respect to which the purchase price has not been paid in full, shall thereupon be forfeited, transferred to, and redeemed, repurchased or cancelled by, as the case may be, in any manner as set forth in Section 6.6.2(i) through (v), subject to Applicable Law and the Grantee shall have no further rights with respect to such Restricted Shares.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2" w:right="499" w:bottom="1440" w:gutter="0" w:footer="0" w:header="0"/>
        </w:sectPr>
      </w:pPr>
    </w:p>
    <w:bookmarkStart w:id="395" w:name="page396"/>
    <w:bookmarkEnd w:id="39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11.4. </w:t>
      </w:r>
      <w:r>
        <w:rPr>
          <w:rFonts w:ascii="Arial" w:cs="Arial" w:eastAsia="Arial" w:hAnsi="Arial"/>
          <w:sz w:val="17"/>
          <w:szCs w:val="17"/>
          <w:u w:val="single" w:color="auto"/>
          <w:color w:val="auto"/>
        </w:rPr>
        <w:t>Ownership</w:t>
      </w:r>
      <w:r>
        <w:rPr>
          <w:rFonts w:ascii="Arial" w:cs="Arial" w:eastAsia="Arial" w:hAnsi="Arial"/>
          <w:sz w:val="17"/>
          <w:szCs w:val="17"/>
          <w:color w:val="auto"/>
        </w:rPr>
        <w:t>. During the Restricted Period the Grantee shall possess all incidents of ownership of such Restricted Shares, subject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6.10 and Section 11.2, including the right to vote and receive dividends with respect to such Shares. All securities, if any, received by a Grantee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Restricted Shares as a result of any stock split, stock dividend, combination of shares, or other similar transaction shall be subject to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restrictions applicable to the original Award.</w:t>
      </w:r>
    </w:p>
    <w:p>
      <w:pPr>
        <w:spacing w:after="0" w:line="208" w:lineRule="exact"/>
        <w:rPr>
          <w:sz w:val="20"/>
          <w:szCs w:val="20"/>
          <w:color w:val="auto"/>
        </w:rPr>
      </w:pPr>
    </w:p>
    <w:p>
      <w:pPr>
        <w:ind w:left="280" w:hanging="273"/>
        <w:spacing w:after="0"/>
        <w:tabs>
          <w:tab w:leader="none" w:pos="28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p>
    <w:p>
      <w:pPr>
        <w:spacing w:after="0" w:line="1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 RSU is an Award covering a number of Shares that is settled, if vested and (if applicable) exercised, by issuance of those Shares. An RSU may be awarded to any eligible Grantee, including under Section 102 of the Ordinance. The Award Agreement relating to the grant of RSUs under this Plan (the “</w:t>
      </w:r>
      <w:r>
        <w:rPr>
          <w:rFonts w:ascii="Arial" w:cs="Arial" w:eastAsia="Arial" w:hAnsi="Arial"/>
          <w:sz w:val="16"/>
          <w:szCs w:val="16"/>
          <w:u w:val="single" w:color="auto"/>
          <w:color w:val="auto"/>
        </w:rPr>
        <w:t>Restricted Share Unit Agreement</w:t>
      </w:r>
      <w:r>
        <w:rPr>
          <w:rFonts w:ascii="Arial" w:cs="Arial" w:eastAsia="Arial" w:hAnsi="Arial"/>
          <w:sz w:val="16"/>
          <w:szCs w:val="16"/>
          <w:color w:val="auto"/>
        </w:rPr>
        <w: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57" w:lineRule="exact"/>
        <w:rPr>
          <w:sz w:val="20"/>
          <w:szCs w:val="20"/>
          <w:color w:val="auto"/>
        </w:rPr>
      </w:pPr>
    </w:p>
    <w:p>
      <w:pPr>
        <w:ind w:right="280" w:firstLine="436"/>
        <w:spacing w:after="0" w:line="30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Exercise Price</w:t>
      </w:r>
      <w:r>
        <w:rPr>
          <w:rFonts w:ascii="Arial" w:cs="Arial" w:eastAsia="Arial" w:hAnsi="Arial"/>
          <w:sz w:val="17"/>
          <w:szCs w:val="17"/>
          <w:color w:val="auto"/>
        </w:rPr>
        <w:t>. No payment of Exercise Price shall be required as consideration for RSUs, unless included in the Award Agreement or as required by Applicable Law (including, Section 304 of the Companies Law), and Section 6.4 shall apply, if applicable.</w:t>
      </w:r>
    </w:p>
    <w:p>
      <w:pPr>
        <w:spacing w:after="0" w:line="45" w:lineRule="exact"/>
        <w:rPr>
          <w:sz w:val="20"/>
          <w:szCs w:val="20"/>
          <w:color w:val="auto"/>
        </w:rPr>
      </w:pPr>
    </w:p>
    <w:p>
      <w:pPr>
        <w:ind w:right="460" w:firstLine="436"/>
        <w:spacing w:after="0" w:line="27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The Grantee shall not possess or own any ownership rights in the Shares underlying the RSUs and no rights as a shareholder shall exist prior to the actual issuance of Shares in the name of the Grantee.</w:t>
      </w:r>
    </w:p>
    <w:p>
      <w:pPr>
        <w:spacing w:after="0" w:line="68"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Settlements of Awards</w:t>
      </w:r>
      <w:r>
        <w:rPr>
          <w:rFonts w:ascii="Arial" w:cs="Arial" w:eastAsia="Arial" w:hAnsi="Arial"/>
          <w:sz w:val="18"/>
          <w:szCs w:val="18"/>
          <w:color w:val="auto"/>
        </w:rPr>
        <w:t>. Settlement of vested RSUs shall be made in the form of Shares. Distribution to a Grantee of an amount (or amounts) from settlement of vested RSUs can be deferred to a date after vesting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83"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Section 409A Restrictions</w:t>
      </w:r>
      <w:r>
        <w:rPr>
          <w:rFonts w:ascii="Arial" w:cs="Arial" w:eastAsia="Arial" w:hAnsi="Arial"/>
          <w:sz w:val="16"/>
          <w:szCs w:val="16"/>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161" w:lineRule="exact"/>
        <w:rPr>
          <w:sz w:val="20"/>
          <w:szCs w:val="20"/>
          <w:color w:val="auto"/>
        </w:rPr>
      </w:pPr>
    </w:p>
    <w:p>
      <w:pPr>
        <w:ind w:left="280" w:hanging="273"/>
        <w:spacing w:after="0"/>
        <w:tabs>
          <w:tab w:leader="none" w:pos="28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OTHER SHARE OR SHARE-BASED AWARDS.</w:t>
      </w:r>
    </w:p>
    <w:p>
      <w:pPr>
        <w:spacing w:after="0" w:line="114"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13.1. The Committee may grant other Awards under this Plan pursuant to which Shares (which may, but need not, be Restricted Shares pursuant to Section 11 hereof), cash (in settlement of Share-based Awards) or a combination thereof, are or may in the future be acquired or received, or Awards denominated in stock units, including units valued on the basis of measures other than market value.</w:t>
      </w:r>
    </w:p>
    <w:p>
      <w:pPr>
        <w:spacing w:after="0" w:line="79"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13.2. The Committee may also grant stock appreciation rights without the grant of an accompanying option, which rights shall permit the Grantees to receive, at the time of any exercise of such rights, cash equal to the amount by which the Fair Market Value of the Shares in respect to which the right was granted is so exercised exceeds the exercise price thereof. The exercise price of any such stock appreciation right granted to a Grantee who is subject to U.S. federal income tax shall be determined in compliance with Section 7.2.</w:t>
      </w:r>
    </w:p>
    <w:p>
      <w:pPr>
        <w:spacing w:after="0" w:line="83" w:lineRule="exact"/>
        <w:rPr>
          <w:sz w:val="20"/>
          <w:szCs w:val="20"/>
          <w:color w:val="auto"/>
        </w:rPr>
      </w:pPr>
    </w:p>
    <w:p>
      <w:pPr>
        <w:jc w:val="both"/>
        <w:ind w:right="240" w:firstLine="436"/>
        <w:spacing w:after="0" w:line="259" w:lineRule="auto"/>
        <w:rPr>
          <w:sz w:val="20"/>
          <w:szCs w:val="20"/>
          <w:color w:val="auto"/>
        </w:rPr>
      </w:pPr>
      <w:r>
        <w:rPr>
          <w:rFonts w:ascii="Arial" w:cs="Arial" w:eastAsia="Arial" w:hAnsi="Arial"/>
          <w:sz w:val="18"/>
          <w:szCs w:val="18"/>
          <w:color w:val="auto"/>
        </w:rPr>
        <w:t>13.3. Such other Share-based Awards as set forth above may be granted alone, in addition to, or in tandem with any Award of any type granted under this Plan (without any obligation or assurance that that such Share-based Awards will be entitled to tax benefits under Applicable Law or to the same tax treatment as other Awards under this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396" w:name="page397"/>
    <w:bookmarkEnd w:id="396"/>
    <w:p>
      <w:pPr>
        <w:ind w:left="280" w:hanging="273"/>
        <w:spacing w:after="0"/>
        <w:tabs>
          <w:tab w:leader="none" w:pos="28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EFFECT OF CERTAIN CHANGES.</w:t>
      </w:r>
    </w:p>
    <w:p>
      <w:pPr>
        <w:spacing w:after="0" w:line="114" w:lineRule="exact"/>
        <w:rPr>
          <w:sz w:val="20"/>
          <w:szCs w:val="20"/>
          <w:color w:val="auto"/>
        </w:rPr>
      </w:pPr>
    </w:p>
    <w:p>
      <w:pPr>
        <w:ind w:right="40" w:firstLine="436"/>
        <w:spacing w:after="0" w:line="283"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division or subdivision of the outstanding share capital of the Company, any distribution of bonus shares (stock split), consolidation or combination of share capital of the Company (reverse stock split), reclassification with respect to the Shares or any similar recapitalization events (each, a “</w:t>
      </w:r>
      <w:r>
        <w:rPr>
          <w:rFonts w:ascii="Arial" w:cs="Arial" w:eastAsia="Arial" w:hAnsi="Arial"/>
          <w:sz w:val="16"/>
          <w:szCs w:val="16"/>
          <w:u w:val="single" w:color="auto"/>
          <w:color w:val="auto"/>
        </w:rPr>
        <w:t>Recapitalization</w:t>
      </w:r>
      <w:r>
        <w:rPr>
          <w:rFonts w:ascii="Arial" w:cs="Arial" w:eastAsia="Arial" w:hAnsi="Arial"/>
          <w:sz w:val="16"/>
          <w:szCs w:val="16"/>
          <w:color w:val="auto"/>
        </w:rPr>
        <w:t>”), a merger (including, a reverse merger and a reverse triangular merger), consolidation, amalgamation or like transaction of the Company with or into another corporation, a reorganization (which may include a combination or exchange of shares, spin-off or other corporate divestiture or division, or other similar occurrences, the Committee shall make, without the need for a consent of any holder of an Award, such adjustments as determined by the Committee to be appropriate, in its discretion, in order to adjust (i) the number and class of shares reserved and available for grants of Awards, (ii) the number and class of shares covered by outstanding Awards, (iii) 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Committee should be adjusted.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14.1 (including a determination that no adjustment is to be made) shall be final, binding and conclusive.</w:t>
      </w:r>
    </w:p>
    <w:p>
      <w:pPr>
        <w:spacing w:after="0" w:line="6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Notwithstanding anything to the contrary included herein, and subject to Applicable Law and the applicable accounting standards,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the par value of a Share (if such Shares bear a par value). The application of this Section with respect to any 102 Awards shall be subject to obtaining a ruling from the ITA, to the extent required by applicable law and subject to the terms and conditions of any such ruling.</w:t>
      </w:r>
    </w:p>
    <w:p>
      <w:pPr>
        <w:spacing w:after="0" w:line="197"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Merger/Sale of Company</w:t>
      </w:r>
      <w:r>
        <w:rPr>
          <w:rFonts w:ascii="Arial" w:cs="Arial" w:eastAsia="Arial" w:hAnsi="Arial"/>
          <w:sz w:val="17"/>
          <w:szCs w:val="17"/>
          <w:color w:val="auto"/>
        </w:rPr>
        <w:t>. In the event of (i) a sale of all or substantially all of the assets of the Company, or a sale (including an exchange) of all 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(iv) approval by the shareholders of the Company of a complete liquidation or dissolution of the Company, (v) Change in Board Event, or (vi) such other transaction or set of circumstances that is determined by the Board, in its discretion, to be a transaction subject to the provisions of this Section 14.2 excluding any of the foregoing transactions in clauses (i) through (iv) if the Board determines that such transaction should be excluded from the definition hereof and the applicability of this Section 14.2 (each of the foregoing transactions, a “</w:t>
      </w:r>
      <w:r>
        <w:rPr>
          <w:rFonts w:ascii="Arial" w:cs="Arial" w:eastAsia="Arial" w:hAnsi="Arial"/>
          <w:sz w:val="17"/>
          <w:szCs w:val="17"/>
          <w:u w:val="single" w:color="auto"/>
          <w:color w:val="auto"/>
        </w:rPr>
        <w:t>Merger/Sale</w:t>
      </w:r>
      <w:r>
        <w:rPr>
          <w:rFonts w:ascii="Arial" w:cs="Arial" w:eastAsia="Arial" w:hAnsi="Arial"/>
          <w:sz w:val="17"/>
          <w:szCs w:val="17"/>
          <w:color w:val="auto"/>
        </w:rPr>
        <w:t>”), then, without derogating from the general authority and power of the Board or the Committee under this Plan, without the Grantee’s consent and action and without any prior notice requirement, the Committee may make, in its sole and absolute discretion, any determination as to the treatment of Awards, as provided herein:</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14.2.1 Unless otherwise determined by the Committee, any Award then outstanding shall be assumed or be substituted by the Company, or</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the successor corporation in such Merger/Sale or by any parent or Affiliate thereof, as determined by the Committee in its discretion (the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Corporation</w:t>
      </w:r>
      <w:r>
        <w:rPr>
          <w:rFonts w:ascii="Arial" w:cs="Arial" w:eastAsia="Arial" w:hAnsi="Arial"/>
          <w:sz w:val="16"/>
          <w:szCs w:val="16"/>
          <w:color w:val="auto"/>
        </w:rPr>
        <w:t>”), under terms as determined by the Committee or the terms of this Plan applied by the Successor Corporation to such</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assumed or substituted Awards.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397" w:name="page398"/>
    <w:bookmarkEnd w:id="397"/>
    <w:p>
      <w:pPr>
        <w:ind w:right="1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the purposes of this Section 14.2.1, the Award shall be considered assumed or substituted if, following a Merger/Sale, the Award confers on the holder thereof the right to purchase or receive, for each Share underlying an Award immediately prior to the Merger/Sale, either (i) the consideration (whether shares or other securities, cash or other property, or rights, or any combination thereof) distributed to or received by holders of Shares in the Merger/Sale for each Share held on the effective date of the Merger/Sale (and if holders were offered a choice or several types of consideration, the type of consideration as determined by the Committee, which need not be the same type for all Grantees), or</w:t>
      </w:r>
    </w:p>
    <w:p>
      <w:pPr>
        <w:spacing w:after="0" w:line="2" w:lineRule="exact"/>
        <w:rPr>
          <w:sz w:val="20"/>
          <w:szCs w:val="20"/>
          <w:color w:val="auto"/>
        </w:rPr>
      </w:pPr>
    </w:p>
    <w:p>
      <w:pPr>
        <w:ind w:right="60" w:firstLine="4"/>
        <w:spacing w:after="0" w:line="249" w:lineRule="auto"/>
        <w:tabs>
          <w:tab w:leader="none" w:pos="26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regardless of the consideration received by the holders of Shares in the Merger/Sale, solely shares or any type of Awards (or their equivalent) of the Successor Corporation at a value to be determined by the Committee in its discretion, or a certain type of consideration (whether shares or other securities, cash or other property, or rights, or any combination thereof) as determined by the Committee. Any of the consideration referred to in the foregoing clauses (i) and (ii) shall be subject to the same vesting and expiration terms of the Awards applying immediately prior to the Merger/Sale, unless determined by the Committee in its discretion that the consideration shall be subject to different vesting and expiration terms, or other terms, and the Committee may determine that it be subject to other or additional terms. The foregoing shall not limit the Committee’s authority to determine, that in lieu of such assumption or substitution of Awards for Awards of the Successor Corporation, such Award will be substituted for shares or other securities, cash or other property, or rights, or any combination thereof, including as set forth in Section 14.2.2 hereof.</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14.2.2 Regardless of whether or not Awards are assumed or substituted, the Committee may (but shall not be obligated to):</w:t>
      </w:r>
    </w:p>
    <w:p>
      <w:pPr>
        <w:spacing w:after="0" w:line="114" w:lineRule="exact"/>
        <w:rPr>
          <w:sz w:val="20"/>
          <w:szCs w:val="20"/>
          <w:color w:val="auto"/>
        </w:rPr>
      </w:pPr>
    </w:p>
    <w:p>
      <w:pPr>
        <w:ind w:right="100" w:firstLine="943"/>
        <w:spacing w:after="0" w:line="293" w:lineRule="auto"/>
        <w:rPr>
          <w:sz w:val="20"/>
          <w:szCs w:val="20"/>
          <w:color w:val="auto"/>
        </w:rPr>
      </w:pPr>
      <w:r>
        <w:rPr>
          <w:rFonts w:ascii="Arial" w:cs="Arial" w:eastAsia="Arial" w:hAnsi="Arial"/>
          <w:sz w:val="16"/>
          <w:szCs w:val="16"/>
          <w:color w:val="auto"/>
        </w:rPr>
        <w:t>14.2.2.1. provide for the Grantee to have the right to exercise the Award in respect of Shares covered by the Award which would otherwise be exercisable or vested, under such terms and conditions as the Committee shall determine, and the cancellation of all unexercised Awards (whether vested or unvested)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w:t>
      </w:r>
    </w:p>
    <w:p>
      <w:pPr>
        <w:spacing w:after="0" w:line="54" w:lineRule="exact"/>
        <w:rPr>
          <w:sz w:val="20"/>
          <w:szCs w:val="20"/>
          <w:color w:val="auto"/>
        </w:rPr>
      </w:pPr>
    </w:p>
    <w:p>
      <w:pPr>
        <w:ind w:right="240" w:firstLine="943"/>
        <w:spacing w:after="0" w:line="267" w:lineRule="auto"/>
        <w:rPr>
          <w:sz w:val="20"/>
          <w:szCs w:val="20"/>
          <w:color w:val="auto"/>
        </w:rPr>
      </w:pPr>
      <w:r>
        <w:rPr>
          <w:rFonts w:ascii="Arial" w:cs="Arial" w:eastAsia="Arial" w:hAnsi="Arial"/>
          <w:sz w:val="17"/>
          <w:szCs w:val="17"/>
          <w:color w:val="auto"/>
        </w:rPr>
        <w:t xml:space="preserve">14.2.2.2. provide for the cancellation of each outstanding Award at or immediately prior to the closing of such Merger/Sale, and if and to what extent payment shall be made to the Grantee of an amount in, shares or other securities of the Company, the acquirer or of a corporation or other business entity which is a party to the Merger/Sale, in cash or other property, in rights, or in any combination thereof, as determined by the Committee to be fair in the circumstances, and subject to such terms and conditions as determined by the Committee. The Committee shall have full authority to select the method for determining the payment (being the intrinsic (“spread”) value of the option, Black-Scholes model or any other method). </w:t>
      </w:r>
      <w:r>
        <w:rPr>
          <w:rFonts w:ascii="Arial" w:cs="Arial" w:eastAsia="Arial" w:hAnsi="Arial"/>
          <w:sz w:val="17"/>
          <w:szCs w:val="17"/>
          <w:i w:val="1"/>
          <w:iCs w:val="1"/>
          <w:color w:val="auto"/>
        </w:rPr>
        <w:t>Inter alia</w:t>
      </w:r>
      <w:r>
        <w:rPr>
          <w:rFonts w:ascii="Arial" w:cs="Arial" w:eastAsia="Arial" w:hAnsi="Arial"/>
          <w:sz w:val="17"/>
          <w:szCs w:val="17"/>
          <w:color w:val="auto"/>
        </w:rPr>
        <w:t>, and without limitation of the following determination being made in other circumstances, the Committee’s determination may provide that payment shall be set to zero if the value of the Shares is determined to be less than the Exercise Price, or in respect of Shares covered by the Award which would not otherwise be exercisable or vested, or that payment may be made only in excess of the Exercise Price; and/or</w:t>
      </w:r>
    </w:p>
    <w:p>
      <w:pPr>
        <w:spacing w:after="0" w:line="76" w:lineRule="exact"/>
        <w:rPr>
          <w:sz w:val="20"/>
          <w:szCs w:val="20"/>
          <w:color w:val="auto"/>
        </w:rPr>
      </w:pPr>
    </w:p>
    <w:p>
      <w:pPr>
        <w:ind w:right="120" w:firstLine="943"/>
        <w:spacing w:after="0" w:line="271" w:lineRule="auto"/>
        <w:rPr>
          <w:sz w:val="20"/>
          <w:szCs w:val="20"/>
          <w:color w:val="auto"/>
        </w:rPr>
      </w:pPr>
      <w:r>
        <w:rPr>
          <w:rFonts w:ascii="Arial" w:cs="Arial" w:eastAsia="Arial" w:hAnsi="Arial"/>
          <w:sz w:val="18"/>
          <w:szCs w:val="18"/>
          <w:color w:val="auto"/>
        </w:rPr>
        <w:t>14.2.2.3. provide that the terms of any Award shall be otherwise amended, modified or terminated, as determined by the Committee to be fair in the circumstances.</w:t>
      </w:r>
    </w:p>
    <w:p>
      <w:pPr>
        <w:spacing w:after="0" w:line="68" w:lineRule="exact"/>
        <w:rPr>
          <w:sz w:val="20"/>
          <w:szCs w:val="20"/>
          <w:color w:val="auto"/>
        </w:rPr>
      </w:pPr>
    </w:p>
    <w:p>
      <w:pPr>
        <w:ind w:firstLine="419"/>
        <w:spacing w:after="0" w:line="253" w:lineRule="auto"/>
        <w:rPr>
          <w:sz w:val="20"/>
          <w:szCs w:val="20"/>
          <w:color w:val="auto"/>
        </w:rPr>
      </w:pPr>
      <w:r>
        <w:rPr>
          <w:rFonts w:ascii="Arial" w:cs="Arial" w:eastAsia="Arial" w:hAnsi="Arial"/>
          <w:sz w:val="18"/>
          <w:szCs w:val="18"/>
          <w:color w:val="auto"/>
        </w:rPr>
        <w:t>14.2.3 The Committee may, determine: (i) that any payments made in respect of Awards shall be made or delayed to the same extent that payment of consideration to the holders of the Shares in connection with the Merger/Sale is made or delayed as a result of escrows, indemnification, earn outs, holdbacks or any other contingencies or conditions; (ii) the terms and conditions applying to the payment made or payable to the Grantees, including participation in escrow, indemnification, releases, earn-outs, holdbacks or any other contingencies; and (iii) that any</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60"/>
          </w:cols>
          <w:pgMar w:left="920" w:top="272" w:right="519" w:bottom="1440" w:gutter="0" w:footer="0" w:header="0"/>
        </w:sectPr>
      </w:pPr>
    </w:p>
    <w:bookmarkStart w:id="398" w:name="page399"/>
    <w:bookmarkEnd w:id="398"/>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terms and conditions applying under the applicable definitive transaction agreements shall apply to the Grantees (including, appointment and engagement of a shareholders or sellers representative, payment of fees or other costs and expenses associated with such services, indemnifying such representative, and authorization to such representative within the scope of such representative’s authority in the applicable definitive transaction agreements).</w:t>
      </w:r>
    </w:p>
    <w:p>
      <w:pPr>
        <w:spacing w:after="0" w:line="83" w:lineRule="exact"/>
        <w:rPr>
          <w:sz w:val="20"/>
          <w:szCs w:val="20"/>
          <w:color w:val="auto"/>
        </w:rPr>
      </w:pPr>
    </w:p>
    <w:p>
      <w:pPr>
        <w:ind w:right="120" w:firstLine="419"/>
        <w:spacing w:after="0" w:line="271" w:lineRule="auto"/>
        <w:rPr>
          <w:sz w:val="20"/>
          <w:szCs w:val="20"/>
          <w:color w:val="auto"/>
        </w:rPr>
      </w:pPr>
      <w:r>
        <w:rPr>
          <w:rFonts w:ascii="Arial" w:cs="Arial" w:eastAsia="Arial" w:hAnsi="Arial"/>
          <w:sz w:val="18"/>
          <w:szCs w:val="18"/>
          <w:color w:val="auto"/>
        </w:rPr>
        <w:t>14.2.4 The Committee may, determine to suspend the Grantee’s rights to exercise any vested portion of an Award for a period of time prior to the signing or consummation of a Merger/Sale transaction.</w:t>
      </w:r>
    </w:p>
    <w:p>
      <w:pPr>
        <w:spacing w:after="0" w:line="68" w:lineRule="exact"/>
        <w:rPr>
          <w:sz w:val="20"/>
          <w:szCs w:val="20"/>
          <w:color w:val="auto"/>
        </w:rPr>
      </w:pPr>
    </w:p>
    <w:p>
      <w:pPr>
        <w:ind w:right="20" w:firstLine="419"/>
        <w:spacing w:after="0" w:line="267" w:lineRule="auto"/>
        <w:rPr>
          <w:sz w:val="20"/>
          <w:szCs w:val="20"/>
          <w:color w:val="auto"/>
        </w:rPr>
      </w:pPr>
      <w:r>
        <w:rPr>
          <w:rFonts w:ascii="Arial" w:cs="Arial" w:eastAsia="Arial" w:hAnsi="Arial"/>
          <w:sz w:val="17"/>
          <w:szCs w:val="17"/>
          <w:color w:val="auto"/>
        </w:rPr>
        <w:t>14.2.5 Without limiting the generality of this Section 14, if the consideration in exchange for Awards in a Merger/Sale includes any securities and due receipt thereof by any Grantee (or by the Trustee for the benefit of such Grantee) may require under applicable law (i) the registration or qualification of such securities or of any person as a broker or dealer or agent with respect to such securities; or (ii) the provision to any Grantee of any information under the Securities Act or any other securities laws, then the Committee may determine that the Grantee shall be paid in lieu thereof, against surrender of the Shares or cancellation of any other Awards, an amount in cash or other property, or rights, or any combination thereof, as determined by the Committee to be fair in the circumstances, and subject to such terms and conditions as determined by the Committee. Nothing herein shall entitle any Grantee to receive any form of consideration that such Grantee would be ineligible to receive as a result of such Grantee’s failure to satisfy (in the Committee’s sole determination) any condition, requirement or limitation that is generally applicable to the Company’s shareholders, or that is otherwise applicable under the terms of the Merger/Sale, and in such case, the Committee shall determine the type of consideration and the terms applying to such Grantees.</w:t>
      </w:r>
    </w:p>
    <w:p>
      <w:pPr>
        <w:spacing w:after="0" w:line="72" w:lineRule="exact"/>
        <w:rPr>
          <w:sz w:val="20"/>
          <w:szCs w:val="20"/>
          <w:color w:val="auto"/>
        </w:rPr>
      </w:pPr>
    </w:p>
    <w:p>
      <w:pPr>
        <w:ind w:firstLine="419"/>
        <w:spacing w:after="0" w:line="285" w:lineRule="auto"/>
        <w:rPr>
          <w:sz w:val="20"/>
          <w:szCs w:val="20"/>
          <w:color w:val="auto"/>
        </w:rPr>
      </w:pPr>
      <w:r>
        <w:rPr>
          <w:rFonts w:ascii="Arial" w:cs="Arial" w:eastAsia="Arial" w:hAnsi="Arial"/>
          <w:sz w:val="16"/>
          <w:szCs w:val="16"/>
          <w:color w:val="auto"/>
        </w:rPr>
        <w:t xml:space="preserve">14.2.6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Arial" w:cs="Arial" w:eastAsia="Arial" w:hAnsi="Arial"/>
          <w:sz w:val="16"/>
          <w:szCs w:val="16"/>
          <w:i w:val="1"/>
          <w:iCs w:val="1"/>
          <w:color w:val="auto"/>
        </w:rPr>
        <w:t>inter alia</w:t>
      </w:r>
      <w:r>
        <w:rPr>
          <w:rFonts w:ascii="Arial" w:cs="Arial" w:eastAsia="Arial" w:hAnsi="Arial"/>
          <w:sz w:val="16"/>
          <w:szCs w:val="16"/>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or to its or their respective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62" w:lineRule="exact"/>
        <w:rPr>
          <w:sz w:val="20"/>
          <w:szCs w:val="20"/>
          <w:color w:val="auto"/>
        </w:rPr>
      </w:pPr>
    </w:p>
    <w:p>
      <w:pPr>
        <w:ind w:firstLine="419"/>
        <w:spacing w:after="0" w:line="335" w:lineRule="auto"/>
        <w:rPr>
          <w:sz w:val="20"/>
          <w:szCs w:val="20"/>
          <w:color w:val="auto"/>
        </w:rPr>
      </w:pPr>
      <w:r>
        <w:rPr>
          <w:rFonts w:ascii="Arial" w:cs="Arial" w:eastAsia="Arial" w:hAnsi="Arial"/>
          <w:sz w:val="16"/>
          <w:szCs w:val="16"/>
          <w:color w:val="auto"/>
        </w:rPr>
        <w:t>14.2.7 The Committee may determine that upon a Merger/Sale any Shares held by Grantees (or for Grantee’s benefit) are sold in accordance with instructions issued by the Committee in connection with such Merger/Sale, which shall be final, conclusive and binding on all Grantees.</w:t>
      </w:r>
    </w:p>
    <w:p>
      <w:pPr>
        <w:spacing w:after="0" w:line="21" w:lineRule="exact"/>
        <w:rPr>
          <w:sz w:val="20"/>
          <w:szCs w:val="20"/>
          <w:color w:val="auto"/>
        </w:rPr>
      </w:pPr>
    </w:p>
    <w:p>
      <w:pPr>
        <w:ind w:right="120" w:firstLine="419"/>
        <w:spacing w:after="0" w:line="272" w:lineRule="auto"/>
        <w:rPr>
          <w:sz w:val="20"/>
          <w:szCs w:val="20"/>
          <w:color w:val="auto"/>
        </w:rPr>
      </w:pPr>
      <w:r>
        <w:rPr>
          <w:rFonts w:ascii="Arial" w:cs="Arial" w:eastAsia="Arial" w:hAnsi="Arial"/>
          <w:sz w:val="17"/>
          <w:szCs w:val="17"/>
          <w:color w:val="auto"/>
        </w:rPr>
        <w:t>14.2.8 All of the Committee’s determinations pursuant to this Section 14 shall be at its sole and absolute discretion, and shall be final, conclusive and binding on all Grantees (including, for clarity, as it relates to Shares issued upon exercise or vesting of any Awards or that are Awards, unless otherwise determined by the Committee) and without any liability to the Company or its Affiliates, or to their respective officers, directors, employees, shareholders and representatives, and the respective successors and assigns of any of the foregoing, in connection with the method of treatment, chosen course of action or determinations made hereunder.</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40"/>
          </w:cols>
          <w:pgMar w:left="920" w:top="272" w:right="539" w:bottom="1440" w:gutter="0" w:footer="0" w:header="0"/>
        </w:sectPr>
      </w:pPr>
    </w:p>
    <w:bookmarkStart w:id="399" w:name="page400"/>
    <w:bookmarkEnd w:id="399"/>
    <w:p>
      <w:pPr>
        <w:ind w:left="440" w:firstLine="41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14.2.9 If determined by the Committee, the Grantees shall be subject to the definitive agreement(s) in connection with the Merger/Sale as applying to holders of Shares including, such terms, conditions, representations, undertakings, liabilities, limitations, releases, indemnities, appointing and indemnifying shareholders/sellers representative, participating in transaction expenses, shareholders/sellers representative expense fund and escrow arrangement, in each case as determined by the Committee. Each Grantee shall execute (and authorizes any person designated by the Company to so execute, as well as (if applicable) the Trustee holding any Shares for the Grantee’s behalf) such separate agreement(s) or instruments as may be requested by the Company, the Successor Corporation or the acquirer in connection with such in such Merger/Sale or otherwise under or for the purpose of implementing this Section 14.2, and in the form required by them. The execution of such separate agreement(s) may be a condition to the receipt of assumed or substituted Awards, payment in lieu of the Award, the exercise of any Award or otherwise to be entitled to benefit from shares or other securities, cash or other property, or rights, or any combination thereof, pursuant to this Section 14.2 (and the Company (and, if applicable, the Trustee) may exercise its authorization above and sign such agreement on behalf of the Grantee or subject the Grantee to the provisions of such agreements).</w:t>
      </w:r>
    </w:p>
    <w:p>
      <w:pPr>
        <w:spacing w:after="0" w:line="66"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Reservation of Rights</w:t>
      </w:r>
      <w:r>
        <w:rPr>
          <w:rFonts w:ascii="Arial" w:cs="Arial" w:eastAsia="Arial" w:hAnsi="Arial"/>
          <w:sz w:val="17"/>
          <w:szCs w:val="17"/>
          <w:color w:val="auto"/>
        </w:rPr>
        <w:t>. Except as expressly provided in this Section 14 (if any), the Grantee of an Award hereunder shall have no rights by reason of any transaction or event referred to in this Section 14 (including, Recapitalization of shares of any class, any increase or decrease in the number of shares of any class, or any dissolution, liquidation, reorganization, business combination, exchange of shares, spin-off or other corporate divestiture or division, or other similar occurrences, or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80" w:lineRule="exact"/>
        <w:rPr>
          <w:sz w:val="20"/>
          <w:szCs w:val="20"/>
          <w:color w:val="auto"/>
        </w:rPr>
      </w:pPr>
    </w:p>
    <w:p>
      <w:pPr>
        <w:ind w:left="280" w:hanging="273"/>
        <w:spacing w:after="0"/>
        <w:tabs>
          <w:tab w:leader="none" w:pos="28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SURVIVING BENEFICIARY.</w:t>
      </w:r>
    </w:p>
    <w:p>
      <w:pPr>
        <w:spacing w:after="0" w:line="114"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of Awards, Shares issued upon the vesting of Awards or Awards that are Shares,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62" w:lineRule="exact"/>
        <w:rPr>
          <w:sz w:val="20"/>
          <w:szCs w:val="20"/>
          <w:color w:val="auto"/>
        </w:rPr>
      </w:pPr>
    </w:p>
    <w:p>
      <w:pPr>
        <w:ind w:right="120" w:firstLine="436"/>
        <w:spacing w:after="0" w:line="307" w:lineRule="auto"/>
        <w:rPr>
          <w:sz w:val="20"/>
          <w:szCs w:val="20"/>
          <w:color w:val="auto"/>
        </w:rPr>
      </w:pPr>
      <w:r>
        <w:rPr>
          <w:rFonts w:ascii="Arial" w:cs="Arial" w:eastAsia="Arial" w:hAnsi="Arial"/>
          <w:sz w:val="16"/>
          <w:szCs w:val="16"/>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15.1. Further, all Incentive Stock Options granted to a Grantee shall be exercisable during his or her lifetime only by such Grantee.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480" w:top="272" w:right="539" w:bottom="1440" w:gutter="0" w:footer="0" w:header="0"/>
        </w:sectPr>
      </w:pPr>
    </w:p>
    <w:bookmarkStart w:id="400" w:name="page401"/>
    <w:bookmarkEnd w:id="400"/>
    <w:p>
      <w:pPr>
        <w:ind w:right="2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68"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15.4. If and to the extent a Grantee is entitled to transfer an Award and/or Shares underlying an Award in accordance with the terms of the Plan and any other applicable agreements, such transfer shall be subject (in addition, to any other conditions or terms applying thereto) to receipt by the Company from such proposed transferee of a written instrument, on a form reasonably acceptable to the Company, pursuant to which such proposed transferee agrees to be bound by all provisions of the Plan and any other applicable agreements, including without limitation, any restrictions on transfer of the Award and/or Shares set forth herein (however, failure to so deliver such instrument to the Company as set forth above shall not derogate from all such provisions applying on any transferee).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15.5. The provisions of this Section 15 shall apply to the Grantee and to any purchaser, assignee or transferee of any Shares.</w:t>
      </w:r>
    </w:p>
    <w:p>
      <w:pPr>
        <w:spacing w:after="0" w:line="221" w:lineRule="exact"/>
        <w:rPr>
          <w:sz w:val="20"/>
          <w:szCs w:val="20"/>
          <w:color w:val="auto"/>
        </w:rPr>
      </w:pPr>
    </w:p>
    <w:p>
      <w:pPr>
        <w:ind w:left="280" w:hanging="273"/>
        <w:spacing w:after="0"/>
        <w:tabs>
          <w:tab w:leader="none" w:pos="28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 GOVERNING PROVISIONS.</w:t>
      </w:r>
    </w:p>
    <w:p>
      <w:pPr>
        <w:spacing w:after="0" w:line="114" w:lineRule="exact"/>
        <w:rPr>
          <w:sz w:val="20"/>
          <w:szCs w:val="20"/>
          <w:color w:val="auto"/>
        </w:rPr>
      </w:pPr>
    </w:p>
    <w:p>
      <w:pPr>
        <w:ind w:right="20" w:firstLine="436"/>
        <w:spacing w:after="0" w:line="28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Legal Compliance</w:t>
      </w:r>
      <w:r>
        <w:rPr>
          <w:rFonts w:ascii="Arial" w:cs="Arial" w:eastAsia="Arial" w:hAnsi="Arial"/>
          <w:sz w:val="16"/>
          <w:szCs w:val="16"/>
          <w:color w:val="auto"/>
        </w:rPr>
        <w:t>. The grant of Awards and the issuance of Shares upon exercise or settlement of Awards shall be subject to compliance with all Applicable Law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or equivalent law in another jurisdiction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or equivalent law in another jurisdiction.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70"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Provisions Governing Shares</w:t>
      </w:r>
      <w:r>
        <w:rPr>
          <w:rFonts w:ascii="Arial" w:cs="Arial" w:eastAsia="Arial" w:hAnsi="Arial"/>
          <w:sz w:val="18"/>
          <w:szCs w:val="18"/>
          <w:color w:val="auto"/>
        </w:rPr>
        <w:t>. Shares issued pursuant to an Award shall be subject to this Plan and shall be subject to the Articles of Association of the Company, and any other governing documents of the Company and all policies, manuals and internal regulations of the Company, as in effect from time to time.</w:t>
      </w:r>
    </w:p>
    <w:p>
      <w:pPr>
        <w:spacing w:after="0" w:line="79"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Share Purchase Transactions; Forced Sale</w:t>
      </w:r>
      <w:r>
        <w:rPr>
          <w:rFonts w:ascii="Arial" w:cs="Arial" w:eastAsia="Arial" w:hAnsi="Arial"/>
          <w:sz w:val="16"/>
          <w:szCs w:val="16"/>
          <w:color w:val="auto"/>
        </w:rPr>
        <w:t>. In the event that the Board approves a Merger/Sale effected by way of a forced or compulsory sale (whether pursuant to the Company’s Articles of Association or pursuant to Section 341 of the Companies Law or any Shareholders Agreement or otherwise) or in the event of a transaction for the sale of all shares of the Company, then, without derogating from such provisions and in addition thereto, the Grantee shall be obligated, and shall be deemed to have agreed to the offer to effect the Merger/Sale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or dissenters’ rights related to any of the foregoing. Each Grantee shall execute (and authorizes any person designated by the Company to so execute, as well as (if applicable) the Trustee holding any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401" w:name="page402"/>
    <w:bookmarkEnd w:id="40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for the Grantee’s behalf) such documents and agreements, as may be requested by the Company relating to matters set forth in or otherwise for the purpose of implementing this Section 16.3. The execution of such separate agreement(s) may be a condition by the Company to the exercise of any Award and the Company (and, if applicable, the Trustee) may exercise its authorization above and sign such agreement on behalf of the Grantee or subject the Grantee to the provisions of such agreements.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Data Privacy; Data Transfer</w:t>
      </w:r>
      <w:r>
        <w:rPr>
          <w:rFonts w:ascii="Arial" w:cs="Arial" w:eastAsia="Arial" w:hAnsi="Arial"/>
          <w:sz w:val="16"/>
          <w:szCs w:val="16"/>
          <w:color w:val="auto"/>
        </w:rPr>
        <w:t>. Information related to Grantees and Awards hereunder, as shall be received from Grantee or others, and/or held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or its Affiliates from time to time, and which information may include sensitive and personal information related to Grantees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will be used by the Company or its Affiliates (or third parties appointed by any of them, including the Trustee) to comply with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applicable legal requirement, or for administration of the Plan as they deems necessary or advisable, or for the respective business purposes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Company or its Affiliates (including in connection with transactions related to any of them). The Company and its Affiliates shall be entitled to transfer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among the Company or its Affiliates, and to third parties for the purposes set forth above, which may include persons located abroad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(including, any person administering the Plan or providing services in respect of the Plan or in order to comply with legal requirements, or the Trustee,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their respective officers, directors, employees and representatives, and the respective successors and assigns of any of the foregoing), and any person so</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receiving Information shall be entitled to transfer it for the purposes set forth above. The Company shall use commercially reasonable efforts to ensure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that the transfer of such Information shall be limited to the reasonable and necessary scope. By receiving an Award hereunder, Grantee acknowledges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agrees that the Information is provided at Grantee’s free will and Grantee consents to the storage and transfer of the Information as set forth above.</w:t>
      </w:r>
    </w:p>
    <w:p>
      <w:pPr>
        <w:spacing w:after="0" w:line="231" w:lineRule="exact"/>
        <w:rPr>
          <w:sz w:val="20"/>
          <w:szCs w:val="20"/>
          <w:color w:val="auto"/>
        </w:rPr>
      </w:pPr>
    </w:p>
    <w:p>
      <w:pPr>
        <w:ind w:left="280" w:hanging="273"/>
        <w:spacing w:after="0"/>
        <w:tabs>
          <w:tab w:leader="none" w:pos="28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280" w:hanging="273"/>
        <w:spacing w:after="0"/>
        <w:tabs>
          <w:tab w:leader="none" w:pos="28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AGREEMENT REGARDING TAXES; DISCLAIMER.</w:t>
      </w:r>
    </w:p>
    <w:p>
      <w:pPr>
        <w:spacing w:after="0" w:line="11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18.1. If the Company shall so require, as a condition of exercise or (if applicable) vesting of an Award, the release of Shares by the Trustee or the vesting or settlement of an Award, a Grantee shall agree that, no later than the date of such occurrence, the Grantee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83"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 AWARDS OR THE EXERCISE OR (IF APPLICABLE) VESTING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78"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NO TAX ADVICE</w:t>
      </w:r>
      <w:r>
        <w:rPr>
          <w:rFonts w:ascii="Arial" w:cs="Arial" w:eastAsia="Arial" w:hAnsi="Arial"/>
          <w:sz w:val="18"/>
          <w:szCs w:val="18"/>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480" w:top="272" w:right="579" w:bottom="1440" w:gutter="0" w:footer="0" w:header="0"/>
        </w:sectPr>
      </w:pPr>
    </w:p>
    <w:bookmarkStart w:id="402" w:name="page403"/>
    <w:bookmarkEnd w:id="402"/>
    <w:p>
      <w:pPr>
        <w:ind w:firstLine="436"/>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18.4.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 OF ANY PARTICULAR TAX TREATMENT AND NO INDICATION IN ANY DOCUMENT TO THE EFFECT THAT ANY AWARD IS INTENDED TO QUALIFY FOR ANY TAX TREATMENT SHALL IMPLY SUCH AN UNDERTAKING. THE COMPANY AND ITS AFFILIATES (INCLUDING THE EMPLOYER) DO NOT UNDERTAKE TO REPORT FOR TAX PURPOSES ANY AWARD IN ANY PARTICULAR MANNER, INCLUDING IN ANY MANNER CONSISTENT WITH ANY PARTICULAR TAX TREATMENT. NO ASSURANCE IS MADE BY THE COMPANY OR ANY OF ITS AFFILIATES (INCLUDING THE EMPLOYER) THAT ANY PARTICULAR TAX TREATMENT ON THE DATE OF GRANT WILL CONTINUE TO EXIST OR THAT THE AWARD WOULD QUALIFY AT THE TIME OF EXERCISE, VESTING OR DISPOSITION THEREOF WITH ANY PARTICULAR TAX TREATMENT. THE COMPANY AND ITS AFFILIATES (INCLUDING THE EMPLOYER)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82" w:lineRule="exact"/>
        <w:rPr>
          <w:sz w:val="20"/>
          <w:szCs w:val="20"/>
          <w:color w:val="auto"/>
        </w:rPr>
      </w:pPr>
    </w:p>
    <w:p>
      <w:pPr>
        <w:ind w:right="40" w:firstLine="436"/>
        <w:spacing w:after="0" w:line="283" w:lineRule="auto"/>
        <w:rPr>
          <w:sz w:val="20"/>
          <w:szCs w:val="20"/>
          <w:color w:val="auto"/>
        </w:rPr>
      </w:pPr>
      <w:r>
        <w:rPr>
          <w:rFonts w:ascii="Arial" w:cs="Arial" w:eastAsia="Arial" w:hAnsi="Arial"/>
          <w:sz w:val="16"/>
          <w:szCs w:val="16"/>
          <w:color w:val="auto"/>
        </w:rPr>
        <w:t>18.5. The Company or any Subsidiary or other Affiliate thereof (including the Employer) may take such action as it may deem necessary or appropriate, in its discretion, for the purpose of or in connection with withholding of any taxes and compulsory payments which the Trustee, the Company or any Subsidiary or other Affiliate thereof (including the Employer) (or any applicable agent thereof) is required by any Applicable Law to withhold in connection with any Awards, including, without limitations, any income tax, social benefits, social insurance, health tax, pension, payroll tax, fringe benefits, excise tax, payment on account or other tax-related items related to the Grantee’s participation in the Plan and applicable by law to the Grantee (collectively,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Such actions may include (i) requiring a Grantees to remit to the Company or the Employer in cash an amount sufficient to satisfy such Withholding Obligations and any other taxes and compulsory payments, payable by the Company or the Employer in connection with the Award or the exercise or (if applicable) the vesting thereof; (ii) subject to Applicable Law, allowing the Grantees to surrender Shares to the Company, in an amount that at such time, reflects a value that the Committee determines to be sufficient to satisfy such Withholding Obligations; (iii) withholding Shares otherwise issuable upon the exercise of an Award at a value which is determined by the Company to be sufficient to satisfy such Withholding Obligations; (iv) allowing Grantees to satisfy all or part of the Withholding Obligations by the delivery (on a form prescribed by the Company) of an irrevocable direction to a securities broker approved by the Company to sell Shares and to deliver all or part of the sales proceeds to the Company or the Trustee; or (iv) any combination of the foregoing. The Company shall not be obligated to allow the exercise or vesting of any Award by or on behalf of a Grantee until all tax consequences arising therefrom are resolved in a manner acceptable to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480" w:top="272" w:right="519" w:bottom="1440" w:gutter="0" w:footer="0" w:header="0"/>
        </w:sectPr>
      </w:pPr>
    </w:p>
    <w:bookmarkStart w:id="403" w:name="page404"/>
    <w:bookmarkEnd w:id="403"/>
    <w:p>
      <w:pPr>
        <w:ind w:right="140"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18.6. Each Grantee shall notify the Company in writing promptly and in any event within ten (10) days after the date on which such Grantee first obtains knowledge of any tax authority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7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18.7. With respect to 102 Non-Trustee Options, if the Grantee ceases to be employed by the Company, Parent, Subsidiary or any Affiliate (including the Employer), the Grantee shall extend to the Company and/or the Employer a security or guarantee for the payment of taxes due at the time of sale of Shares, all in accordance with the provisions of Section 102 of the Ordinance and the Rules.</w:t>
      </w:r>
    </w:p>
    <w:p>
      <w:pPr>
        <w:spacing w:after="0" w:line="79"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18.8. If a Grantee makes an election under Section 83(b) of the Code to be taxed with respect to an Award as of the date of transfer of Shares rather than as of the date or dates upon which the Grantee would otherwise be taxable under Section 83(a) of the Code, such Grantee shall deliver a copy of such election to the Company upon or prior to the filing such election with the U.S. Internal Revenue Service. Neither the Company nor any Affiliate (including the Employer) shall have any liability or responsibility relating to or arising out of the filing or not filing of any such election or any defects in its construction.</w:t>
      </w:r>
    </w:p>
    <w:p>
      <w:pPr>
        <w:spacing w:after="0" w:line="193" w:lineRule="exact"/>
        <w:rPr>
          <w:sz w:val="20"/>
          <w:szCs w:val="20"/>
          <w:color w:val="auto"/>
        </w:rPr>
      </w:pPr>
    </w:p>
    <w:p>
      <w:pPr>
        <w:ind w:left="280" w:hanging="273"/>
        <w:spacing w:after="0"/>
        <w:tabs>
          <w:tab w:leader="none" w:pos="28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RIGHTS AS A SHAREHOLDER; VOTING AND DIVIDENDS.</w:t>
      </w:r>
    </w:p>
    <w:p>
      <w:pPr>
        <w:spacing w:after="0" w:line="114"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19.1. Subject to Section 11.4, a Grantee shall have no rights as a shareholder of the Company with respect to any Shares covered by an Award until the Grantee shall have exercised or (as applicable) vests in the Award, paid any Exercise Price therefor and becomes the record holder of the subject Shares. In the case of 102 Awards,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shares or other securities, cash or other property, or rights, or any combination thereof) or distribution of other rights for which the record date is prior to the date on which the Grantee or Trustee (as applicable) becomes the record holder of the Shares covered by an Award, except as provided in Section 14 hereof.</w:t>
      </w:r>
    </w:p>
    <w:p>
      <w:pPr>
        <w:spacing w:after="0" w:line="62"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19.2. With respect to all Awards issued in the form of Shares hereunder or upon the exercise or (if applicable) the vesting of Awards hereunder, any and all voting rights attached to such Shares shall be subject to Section 6.10, and the Grantee shall be entitled to receive dividends distributed with respect to such Shares, subject to the provisions of the Company’s Articles of Association, as amended from time to time, and subject to any Applicable Law.</w:t>
      </w:r>
    </w:p>
    <w:p>
      <w:pPr>
        <w:spacing w:after="0" w:line="83" w:lineRule="exact"/>
        <w:rPr>
          <w:sz w:val="20"/>
          <w:szCs w:val="20"/>
          <w:color w:val="auto"/>
        </w:rPr>
      </w:pPr>
    </w:p>
    <w:p>
      <w:pPr>
        <w:ind w:right="520" w:firstLine="436"/>
        <w:spacing w:after="0" w:line="271" w:lineRule="auto"/>
        <w:rPr>
          <w:sz w:val="20"/>
          <w:szCs w:val="20"/>
          <w:color w:val="auto"/>
        </w:rPr>
      </w:pPr>
      <w:r>
        <w:rPr>
          <w:rFonts w:ascii="Arial" w:cs="Arial" w:eastAsia="Arial" w:hAnsi="Arial"/>
          <w:sz w:val="18"/>
          <w:szCs w:val="18"/>
          <w:color w:val="auto"/>
        </w:rPr>
        <w:t>19.3. The Company may, but shall not be obligated to, register or qualify the sale of Shares under any applicable securities law or any other Applicable Law.</w:t>
      </w:r>
    </w:p>
    <w:p>
      <w:pPr>
        <w:spacing w:after="0" w:line="175" w:lineRule="exact"/>
        <w:rPr>
          <w:sz w:val="20"/>
          <w:szCs w:val="20"/>
          <w:color w:val="auto"/>
        </w:rPr>
      </w:pPr>
    </w:p>
    <w:p>
      <w:pPr>
        <w:ind w:left="280" w:hanging="273"/>
        <w:spacing w:after="0"/>
        <w:tabs>
          <w:tab w:leader="none" w:pos="28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NO REPRESENTATION BY COMPANY.</w:t>
      </w:r>
    </w:p>
    <w:p>
      <w:pPr>
        <w:spacing w:after="0" w:line="11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By granting the Awards, the Company is not, and shall not be deemed as, making any representation or warranties to the Grantee regarding the Company, its business affairs, its prospects or the future value of its Shares and such representations and warranties are hereby disclaimed.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2" w:right="499" w:bottom="1440" w:gutter="0" w:footer="0" w:header="0"/>
        </w:sectPr>
      </w:pPr>
    </w:p>
    <w:bookmarkStart w:id="404" w:name="page405"/>
    <w:bookmarkEnd w:id="404"/>
    <w:p>
      <w:pPr>
        <w:ind w:left="280" w:hanging="273"/>
        <w:spacing w:after="0"/>
        <w:tabs>
          <w:tab w:leader="none" w:pos="28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RETENTION RIGHTS.</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Nothing in this Plan, any Award Agreement or in any Award granted or agreement entered into pursuant hereto shall confer upon any Grantee the right to continue in the employ of, or be in the service of the Company or any Subsidiary or other Affiliate thereof as a Service Provider or to be entitled to any remuneration or benefits not set forth in this Plan or such agreement, or to interfere with or limit in any way the right of the Company or any such Subsidiary or other Affiliate thereof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other Affiliate thereof that he or she was prevented from continuing to vest Awards as of the date of termination of his or her employment with, or services to, the Company or any Subsidiary or other Affiliate thereof. No Grantee shall be entitled to any compensation in respect of the Awards which would have vested had such Grantee’s employment or engagement with the Company (or any Subsidiary or other Affiliate thereof) not been terminated.</w:t>
      </w:r>
    </w:p>
    <w:p>
      <w:pPr>
        <w:spacing w:after="0" w:line="185" w:lineRule="exact"/>
        <w:rPr>
          <w:sz w:val="20"/>
          <w:szCs w:val="20"/>
          <w:color w:val="auto"/>
        </w:rPr>
      </w:pPr>
    </w:p>
    <w:p>
      <w:pPr>
        <w:ind w:left="280" w:hanging="273"/>
        <w:spacing w:after="0"/>
        <w:tabs>
          <w:tab w:leader="none" w:pos="28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PERIOD DURING WHICH AWARDS MAY BE GRANTED.</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Awards may be granted pursuant to this Plan from time to time within a period of ten (10) years from the Effective Date. From and after such date (as extended) no grants of Awards may be made and this Plan shall continue to be in full force and effect with respect to Awards or Shares issued thereunder that remain outstanding.</w:t>
      </w:r>
    </w:p>
    <w:p>
      <w:pPr>
        <w:spacing w:after="0" w:line="186" w:lineRule="exact"/>
        <w:rPr>
          <w:sz w:val="20"/>
          <w:szCs w:val="20"/>
          <w:color w:val="auto"/>
        </w:rPr>
      </w:pPr>
    </w:p>
    <w:p>
      <w:pPr>
        <w:ind w:left="280" w:hanging="273"/>
        <w:spacing w:after="0"/>
        <w:tabs>
          <w:tab w:leader="none" w:pos="28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AMENDMENT OF THIS PLAN AND AWARDS.</w:t>
      </w:r>
    </w:p>
    <w:p>
      <w:pPr>
        <w:spacing w:after="0" w:line="114"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23.1. The Board at any time and from time to time may suspend, terminate, modify or amend this Plan, whether retroactively or 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83"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23.2. Subject to changes in Applicable Law that would permit otherwise, without the approval of the Company’s shareholders, there shall be (i) no increase in the maximum aggregate number of Shares that may be issued under this Plan as Incentive Stock Options (except by operation of the provisions of Section 14.1), (ii) no change in the class of persons eligible to receive Incentive Stock Options, and (iii) no other amendment of this Plan that would require approval of the Company’s shareholders under any Applicable Law or the rules of the applicable stock market or exchange, if any, on which the Shares are principally quoted or traded.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that is not an Incentive Stock Option.</w:t>
      </w:r>
    </w:p>
    <w:p>
      <w:pPr>
        <w:spacing w:after="0" w:line="59"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23.3. The Board or the Committee at any time and from time to time may modify or amend any Award theretofore granted, including any Award Agreement, whether retroactively or prospectively.</w:t>
      </w:r>
    </w:p>
    <w:p>
      <w:pPr>
        <w:spacing w:after="0" w:line="68" w:lineRule="exact"/>
        <w:rPr>
          <w:sz w:val="20"/>
          <w:szCs w:val="20"/>
          <w:color w:val="auto"/>
        </w:rPr>
      </w:pPr>
    </w:p>
    <w:p>
      <w:pPr>
        <w:ind w:left="280" w:hanging="273"/>
        <w:spacing w:after="0"/>
        <w:tabs>
          <w:tab w:leader="none" w:pos="28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APPROVAL.</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24.1. This Plan shall take effect upon its adoption by the Board and approval by the shareholders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14" w:lineRule="exact"/>
        <w:rPr>
          <w:sz w:val="20"/>
          <w:szCs w:val="20"/>
          <w:color w:val="auto"/>
        </w:rPr>
      </w:pPr>
    </w:p>
    <w:p>
      <w:pPr>
        <w:ind w:right="280" w:firstLine="436"/>
        <w:spacing w:after="0" w:line="301" w:lineRule="auto"/>
        <w:rPr>
          <w:sz w:val="20"/>
          <w:szCs w:val="20"/>
          <w:color w:val="auto"/>
        </w:rPr>
      </w:pPr>
      <w:r>
        <w:rPr>
          <w:rFonts w:ascii="Arial" w:cs="Arial" w:eastAsia="Arial" w:hAnsi="Arial"/>
          <w:sz w:val="17"/>
          <w:szCs w:val="17"/>
          <w:color w:val="auto"/>
        </w:rPr>
        <w:t>24.2. 102 Awards are conditional upon the filing with or approval by the ITA, if required, as set forth in Section 9.4. Failure to so file or obtain such approval shall not in any way derogate from the valid and binding effect of any grant of an Award, which is not a 102 Award.</w:t>
      </w:r>
    </w:p>
    <w:p>
      <w:pPr>
        <w:spacing w:after="0" w:line="45" w:lineRule="exact"/>
        <w:rPr>
          <w:sz w:val="20"/>
          <w:szCs w:val="20"/>
          <w:color w:val="auto"/>
        </w:rPr>
      </w:pPr>
    </w:p>
    <w:p>
      <w:pPr>
        <w:ind w:left="280" w:hanging="273"/>
        <w:spacing w:after="0"/>
        <w:tabs>
          <w:tab w:leader="none" w:pos="2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RULES PARTICULAR TO SPECIFIC COUNTRIES; SECTION 409A.</w:t>
      </w:r>
    </w:p>
    <w:p>
      <w:pPr>
        <w:spacing w:after="0" w:line="114"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25.1. Notwithstanding anything herein to the contrary, the terms and conditions of this Plan may be supplemented or amended with respect to a 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80" w:top="272" w:right="519" w:bottom="1440" w:gutter="0" w:footer="0" w:header="0"/>
        </w:sectPr>
      </w:pPr>
    </w:p>
    <w:bookmarkStart w:id="405" w:name="page406"/>
    <w:bookmarkEnd w:id="40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25.2. This Section 25.2 shall only apply to Awards granted to Grantees who are subject to United States Federal income tax.</w:t>
      </w:r>
    </w:p>
    <w:p>
      <w:pPr>
        <w:spacing w:after="0" w:line="114" w:lineRule="exact"/>
        <w:rPr>
          <w:sz w:val="20"/>
          <w:szCs w:val="20"/>
          <w:color w:val="auto"/>
        </w:rPr>
      </w:pPr>
    </w:p>
    <w:p>
      <w:pPr>
        <w:ind w:left="440" w:right="240" w:firstLine="419"/>
        <w:spacing w:after="0" w:line="259" w:lineRule="auto"/>
        <w:rPr>
          <w:sz w:val="20"/>
          <w:szCs w:val="20"/>
          <w:color w:val="auto"/>
        </w:rPr>
      </w:pPr>
      <w:r>
        <w:rPr>
          <w:rFonts w:ascii="Arial" w:cs="Arial" w:eastAsia="Arial" w:hAnsi="Arial"/>
          <w:sz w:val="18"/>
          <w:szCs w:val="18"/>
          <w:color w:val="auto"/>
        </w:rPr>
        <w:t>25.2.1 It is the intention of the Company that no Award shall be deferred compensation subject to Section 409A of the Code unless and to the extent that the Committee specifically determines otherwise as provided in Section 25.2.2, and the Plan and the terms and conditions of all Awards shall be interpreted and administered accordingly.</w:t>
      </w:r>
    </w:p>
    <w:p>
      <w:pPr>
        <w:spacing w:after="0" w:line="79" w:lineRule="exact"/>
        <w:rPr>
          <w:sz w:val="20"/>
          <w:szCs w:val="20"/>
          <w:color w:val="auto"/>
        </w:rPr>
      </w:pPr>
    </w:p>
    <w:p>
      <w:pPr>
        <w:ind w:left="440" w:right="240" w:firstLine="419"/>
        <w:spacing w:after="0" w:line="253" w:lineRule="auto"/>
        <w:rPr>
          <w:sz w:val="20"/>
          <w:szCs w:val="20"/>
          <w:color w:val="auto"/>
        </w:rPr>
      </w:pPr>
      <w:r>
        <w:rPr>
          <w:rFonts w:ascii="Arial" w:cs="Arial" w:eastAsia="Arial" w:hAnsi="Arial"/>
          <w:sz w:val="18"/>
          <w:szCs w:val="18"/>
          <w:color w:val="auto"/>
        </w:rPr>
        <w:t>25.2.2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Merger/Sale, shall be set forth in the applicable Award Agreement and shall be intended to comply in all respects with Section 409A of the Code, and the Plan and the terms and conditions of such Awards shall be interpreted and administered accordingly.</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25.2.3 The Company shall have complete discretion to interpret and construe the Plan and any Award Agreement in any manner that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establishes an exemption from (or compliance with) the requirements of Section 409A of the Code. If for any reason, such as imprecision in</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drafting, any provision of the Plan and/or any Award Agreement does not accurately reflect its intended establishment of an exemption from (or</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compliance with) Section 409A of the Code, as demonstrated by consistent interpretations or other evidence of intent, such provision shall be</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considered ambiguous as to its exemption from (or compliance with) Section 409A of the Code and shall be interpreted by the Company in a</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manner consistent with such intent, as determined in the discretion of the Company. If, notwithstanding the foregoing provisions of this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25.2.3, any provision of the Plan or any such agreement would cause a Grantee to incur any additional tax or interest under Section 409A</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the Code, the Company may reform such provision in a manner intended to avoid the incurrence by such Grantee of any such additional tax or</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maintain, to the extent reasonably practicable, the original intent and economic benefit to the Grantee of</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applicable provision without violating the provisions of Section 409A of the Code. For the avoidance of doubt, no provision of this Plan shall</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 interpreted or construed to transfer any liability for failure to comply with the requirements of Section 409A from any Grantee or any other</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individual to the Company or any of its affiliates, employees or agents.</w:t>
      </w:r>
    </w:p>
    <w:p>
      <w:pPr>
        <w:spacing w:after="0" w:line="101" w:lineRule="exact"/>
        <w:rPr>
          <w:sz w:val="20"/>
          <w:szCs w:val="20"/>
          <w:color w:val="auto"/>
        </w:rPr>
      </w:pPr>
    </w:p>
    <w:p>
      <w:pPr>
        <w:ind w:left="440" w:firstLine="419"/>
        <w:spacing w:after="0" w:line="270" w:lineRule="auto"/>
        <w:rPr>
          <w:sz w:val="20"/>
          <w:szCs w:val="20"/>
          <w:color w:val="auto"/>
        </w:rPr>
      </w:pPr>
      <w:r>
        <w:rPr>
          <w:rFonts w:ascii="Arial" w:cs="Arial" w:eastAsia="Arial" w:hAnsi="Arial"/>
          <w:sz w:val="17"/>
          <w:szCs w:val="17"/>
          <w:color w:val="auto"/>
        </w:rPr>
        <w:t>25.2.4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1.409A-3(i)(2)(ii) (or any successor provision).</w:t>
      </w:r>
    </w:p>
    <w:p>
      <w:pPr>
        <w:spacing w:after="0" w:line="71" w:lineRule="exact"/>
        <w:rPr>
          <w:sz w:val="20"/>
          <w:szCs w:val="20"/>
          <w:color w:val="auto"/>
        </w:rPr>
      </w:pPr>
    </w:p>
    <w:p>
      <w:pPr>
        <w:ind w:left="440" w:right="60" w:firstLine="419"/>
        <w:spacing w:after="0" w:line="253" w:lineRule="auto"/>
        <w:rPr>
          <w:sz w:val="20"/>
          <w:szCs w:val="20"/>
          <w:color w:val="auto"/>
        </w:rPr>
      </w:pPr>
      <w:r>
        <w:rPr>
          <w:rFonts w:ascii="Arial" w:cs="Arial" w:eastAsia="Arial" w:hAnsi="Arial"/>
          <w:sz w:val="18"/>
          <w:szCs w:val="18"/>
          <w:color w:val="auto"/>
        </w:rPr>
        <w:t>25.2.5 Notwithstanding any other provision of this Section 25.2 to the contrary,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80" w:top="272" w:right="499" w:bottom="1440" w:gutter="0" w:footer="0" w:header="0"/>
        </w:sectPr>
      </w:pPr>
    </w:p>
    <w:bookmarkStart w:id="406" w:name="page407"/>
    <w:bookmarkEnd w:id="406"/>
    <w:p>
      <w:pPr>
        <w:ind w:left="280" w:hanging="273"/>
        <w:spacing w:after="0"/>
        <w:tabs>
          <w:tab w:leader="none" w:pos="2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GOVERNING LAW; JURISDICTION.</w:t>
      </w:r>
    </w:p>
    <w:p>
      <w:pPr>
        <w:spacing w:after="0" w:line="11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194" w:lineRule="exact"/>
        <w:rPr>
          <w:sz w:val="20"/>
          <w:szCs w:val="20"/>
          <w:color w:val="auto"/>
        </w:rPr>
      </w:pPr>
    </w:p>
    <w:p>
      <w:pPr>
        <w:ind w:left="280" w:hanging="273"/>
        <w:spacing w:after="0"/>
        <w:tabs>
          <w:tab w:leader="none" w:pos="28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NON-EXCLUSIVITY OF THIS PLAN.</w:t>
      </w:r>
    </w:p>
    <w:p>
      <w:pPr>
        <w:spacing w:after="0" w:line="1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or will lawfully put into effect, including any retirement, pension, savings and stock purchase plan, insurance, death and disability benefits and executive short-term or long-term incentive plans.</w:t>
      </w:r>
    </w:p>
    <w:p>
      <w:pPr>
        <w:spacing w:after="0" w:line="176" w:lineRule="exact"/>
        <w:rPr>
          <w:sz w:val="20"/>
          <w:szCs w:val="20"/>
          <w:color w:val="auto"/>
        </w:rPr>
      </w:pPr>
    </w:p>
    <w:p>
      <w:pPr>
        <w:ind w:left="280" w:hanging="273"/>
        <w:spacing w:after="0"/>
        <w:tabs>
          <w:tab w:leader="none" w:pos="28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4" w:lineRule="exact"/>
        <w:rPr>
          <w:sz w:val="20"/>
          <w:szCs w:val="20"/>
          <w:color w:val="auto"/>
        </w:rPr>
      </w:pPr>
    </w:p>
    <w:p>
      <w:pPr>
        <w:jc w:val="both"/>
        <w:ind w:right="100" w:firstLine="436"/>
        <w:spacing w:after="0" w:line="281"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Survival</w:t>
      </w:r>
      <w:r>
        <w:rPr>
          <w:rFonts w:ascii="Arial" w:cs="Arial" w:eastAsia="Arial" w:hAnsi="Arial"/>
          <w:sz w:val="17"/>
          <w:szCs w:val="17"/>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62"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u w:val="single" w:color="auto"/>
          <w:color w:val="auto"/>
        </w:rPr>
        <w:t>Additional Terms</w:t>
      </w:r>
      <w:r>
        <w:rPr>
          <w:rFonts w:ascii="Arial" w:cs="Arial" w:eastAsia="Arial" w:hAnsi="Arial"/>
          <w:sz w:val="18"/>
          <w:szCs w:val="18"/>
          <w:color w:val="auto"/>
        </w:rPr>
        <w:t>. Each Award awarded under this Plan may contain such other terms and conditions not inconsistent with this Plan as may be determined by the Committee, in its sole discretion.</w:t>
      </w:r>
    </w:p>
    <w:p>
      <w:pPr>
        <w:spacing w:after="0" w:line="68" w:lineRule="exact"/>
        <w:rPr>
          <w:sz w:val="20"/>
          <w:szCs w:val="20"/>
          <w:color w:val="auto"/>
        </w:rPr>
      </w:pPr>
    </w:p>
    <w:p>
      <w:pPr>
        <w:ind w:right="220" w:firstLine="436"/>
        <w:spacing w:after="0" w:line="281"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 shall be issuable upon exercise or vesting of any Award and the number of Shares to be issued shall be rounded down to the nearest whole Share (and the Company shall have liability to compensate for such fractional shares at any time), with in any Share remaining at the last vesting date due to such rounding to be issued upon exercise at such last vesting date.</w:t>
      </w:r>
    </w:p>
    <w:p>
      <w:pPr>
        <w:spacing w:after="0" w:line="62" w:lineRule="exact"/>
        <w:rPr>
          <w:sz w:val="20"/>
          <w:szCs w:val="20"/>
          <w:color w:val="auto"/>
        </w:rPr>
      </w:pPr>
    </w:p>
    <w:p>
      <w:pPr>
        <w:ind w:right="160" w:firstLine="436"/>
        <w:spacing w:after="0" w:line="290" w:lineRule="auto"/>
        <w:rPr>
          <w:sz w:val="20"/>
          <w:szCs w:val="20"/>
          <w:color w:val="auto"/>
        </w:rPr>
      </w:pPr>
      <w:r>
        <w:rPr>
          <w:rFonts w:ascii="Arial" w:cs="Arial" w:eastAsia="Arial" w:hAnsi="Arial"/>
          <w:sz w:val="16"/>
          <w:szCs w:val="16"/>
          <w:color w:val="auto"/>
        </w:rPr>
        <w:t xml:space="preserve">28.4.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57"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 xml:space="preserve">28.5. </w:t>
      </w:r>
      <w:r>
        <w:rPr>
          <w:rFonts w:ascii="Arial" w:cs="Arial" w:eastAsia="Arial" w:hAnsi="Arial"/>
          <w:sz w:val="16"/>
          <w:szCs w:val="16"/>
          <w:u w:val="single" w:color="auto"/>
          <w:color w:val="auto"/>
        </w:rPr>
        <w:t>Captions and Titles</w:t>
      </w:r>
      <w:r>
        <w:rPr>
          <w:rFonts w:ascii="Arial" w:cs="Arial" w:eastAsia="Arial" w:hAnsi="Arial"/>
          <w:sz w:val="16"/>
          <w:szCs w:val="16"/>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 xml:space="preserve">28.6.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Grantee who is a member of the Board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2" w:right="499" w:bottom="1440" w:gutter="0" w:footer="0" w:header="0"/>
        </w:sectPr>
      </w:pPr>
    </w:p>
    <w:bookmarkStart w:id="407" w:name="page408"/>
    <w:bookmarkEnd w:id="407"/>
    <w:p>
      <w:pPr>
        <w:ind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28.7. </w:t>
      </w:r>
      <w:r>
        <w:rPr>
          <w:rFonts w:ascii="Arial" w:cs="Arial" w:eastAsia="Arial" w:hAnsi="Arial"/>
          <w:sz w:val="17"/>
          <w:szCs w:val="17"/>
          <w:u w:val="single" w:color="auto"/>
          <w:color w:val="auto"/>
        </w:rPr>
        <w:t>Clawback Provisions</w:t>
      </w:r>
      <w:r>
        <w:rPr>
          <w:rFonts w:ascii="Arial" w:cs="Arial" w:eastAsia="Arial" w:hAnsi="Arial"/>
          <w:sz w:val="17"/>
          <w:szCs w:val="17"/>
          <w:color w:val="auto"/>
        </w:rPr>
        <w:t>. All Awards (including the gross amount of any proceeds, gains or other economic benefit the Grantee actually or constructively receives upon receipt or exercise of any Award or the receipt or resale of any Shares underlying the Award)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w:t>
      </w:r>
    </w:p>
    <w:p>
      <w:pPr>
        <w:spacing w:after="0" w:line="384" w:lineRule="exact"/>
        <w:rPr>
          <w:sz w:val="20"/>
          <w:szCs w:val="20"/>
          <w:color w:val="auto"/>
        </w:rPr>
      </w:pPr>
    </w:p>
    <w:p>
      <w:pPr>
        <w:ind w:left="4920"/>
        <w:spacing w:after="0"/>
        <w:tabs>
          <w:tab w:leader="none" w:pos="5400" w:val="left"/>
          <w:tab w:leader="none" w:pos="58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480" w:top="272" w:right="55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right="180" w:firstLine="7"/>
        <w:spacing w:after="0" w:line="271" w:lineRule="auto"/>
        <w:tabs>
          <w:tab w:leader="none" w:pos="43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Service Agreement is made on 21 May 2019 (the “Effective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27" w:lineRule="exact"/>
        <w:rPr>
          <w:sz w:val="20"/>
          <w:szCs w:val="20"/>
          <w:color w:val="auto"/>
        </w:rPr>
      </w:pPr>
    </w:p>
    <w:p>
      <w:pPr>
        <w:ind w:left="440" w:right="400" w:hanging="433"/>
        <w:spacing w:after="0" w:line="275" w:lineRule="auto"/>
        <w:tabs>
          <w:tab w:leader="none" w:pos="44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DHL International (UK) Limited </w:t>
      </w:r>
      <w:r>
        <w:rPr>
          <w:rFonts w:ascii="Arial" w:cs="Arial" w:eastAsia="Arial" w:hAnsi="Arial"/>
          <w:sz w:val="18"/>
          <w:szCs w:val="18"/>
          <w:color w:val="auto"/>
        </w:rPr>
        <w:t>(Company Number 1184988) whose registered office is at Orbital Park, 178-188 Great South West Road,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Hounslow, Middlesex TW4 6JS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DHL</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73" w:lineRule="exact"/>
        <w:rPr>
          <w:rFonts w:ascii="Arial" w:cs="Arial" w:eastAsia="Arial" w:hAnsi="Arial"/>
          <w:sz w:val="18"/>
          <w:szCs w:val="18"/>
          <w:color w:val="auto"/>
        </w:rPr>
      </w:pPr>
    </w:p>
    <w:p>
      <w:pPr>
        <w:ind w:left="440" w:hanging="433"/>
        <w:spacing w:after="0"/>
        <w:tabs>
          <w:tab w:leader="none" w:pos="44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 xml:space="preserve">Globale U.K. Ltd. </w:t>
      </w:r>
      <w:r>
        <w:rPr>
          <w:rFonts w:ascii="Arial" w:cs="Arial" w:eastAsia="Arial" w:hAnsi="Arial"/>
          <w:sz w:val="18"/>
          <w:szCs w:val="18"/>
          <w:color w:val="auto"/>
        </w:rPr>
        <w:t>(Company Number 08632376) whose registered office is at 45 Leather Lane, London EC1 N 7T J</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Global-e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(together the “Parties” and individually a “Party”).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14"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DHL provides carriage by means of a systemized and dedicated network for “door-to-door” pick-up and delivery of both document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non-document shipments, including customs clearance, overnight or by the end of the next possible day for delivery in the respective market (i.e., taking into account industry standard express transit times applicable to the respective origin and destination countries) (the “</w:t>
      </w:r>
      <w:r>
        <w:rPr>
          <w:rFonts w:ascii="Arial" w:cs="Arial" w:eastAsia="Arial" w:hAnsi="Arial"/>
          <w:sz w:val="16"/>
          <w:szCs w:val="16"/>
          <w:b w:val="1"/>
          <w:bCs w:val="1"/>
          <w:color w:val="auto"/>
        </w:rPr>
        <w:t>DHL Services</w:t>
      </w:r>
      <w:r>
        <w:rPr>
          <w:rFonts w:ascii="Arial" w:cs="Arial" w:eastAsia="Arial" w:hAnsi="Arial"/>
          <w:sz w:val="16"/>
          <w:szCs w:val="16"/>
          <w:color w:val="auto"/>
        </w:rPr>
        <w:t>”);</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Global-e provides services to UK companies wishing to sell goods to buyers in other countries, by - inter alia - simplifying the sales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export of the companies’ goods through the use of Global-e’s platform (the “</w:t>
      </w:r>
      <w:r>
        <w:rPr>
          <w:rFonts w:ascii="Arial" w:cs="Arial" w:eastAsia="Arial" w:hAnsi="Arial"/>
          <w:sz w:val="18"/>
          <w:szCs w:val="18"/>
          <w:b w:val="1"/>
          <w:bCs w:val="1"/>
          <w:color w:val="auto"/>
        </w:rPr>
        <w:t>Global-e Platform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which allows Global-e to buy and immediately sell and ship the customer’s goods to buyers around the world, collecting payment prior to shipping of all monies due from buyer, including transport costs, duties and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Global-e incorporates the DHL Services into its service offering to its customers;</w:t>
      </w:r>
    </w:p>
    <w:p>
      <w:pPr>
        <w:spacing w:after="0" w:line="221"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business relationship in the UK is currently governed by an agreement effective 8 March 2016 (the “</w:t>
      </w:r>
      <w:r>
        <w:rPr>
          <w:rFonts w:ascii="Arial" w:cs="Arial" w:eastAsia="Arial" w:hAnsi="Arial"/>
          <w:sz w:val="18"/>
          <w:szCs w:val="18"/>
          <w:b w:val="1"/>
          <w:bCs w:val="1"/>
          <w:color w:val="auto"/>
        </w:rPr>
        <w:t>UK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 by an agreement effective 22 March 2016 (the “</w:t>
      </w:r>
      <w:r>
        <w:rPr>
          <w:rFonts w:ascii="Arial" w:cs="Arial" w:eastAsia="Arial" w:hAnsi="Arial"/>
          <w:sz w:val="18"/>
          <w:szCs w:val="18"/>
          <w:b w:val="1"/>
          <w:bCs w:val="1"/>
          <w:color w:val="auto"/>
        </w:rPr>
        <w:t>[***] Agreement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supersedes the UK Agreement but has no effect on the [***] Agreement;</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Global-e has two categories of customers, depending on the service sold: the first being companies which have international annual sales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 who enrol to the Enterprise program requiring integration of their IT systems with the Global-e Platform and includes program management from Global-e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Enterprise Customers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second being companies with lower annual international sales volumes of between [***] who enrol to the Pro program, which is a lighter IT and less customisable solution (and who generally have lower shipment volumes)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Pro Customers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Enterprise Customers or Pro Customers will be generally referred to as “</w:t>
      </w:r>
      <w:r>
        <w:rPr>
          <w:rFonts w:ascii="Arial" w:cs="Arial" w:eastAsia="Arial" w:hAnsi="Arial"/>
          <w:sz w:val="17"/>
          <w:szCs w:val="17"/>
          <w:b w:val="1"/>
          <w:bCs w:val="1"/>
          <w:color w:val="auto"/>
        </w:rPr>
        <w:t>Customers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7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clarifies the rules to be applied by the Parties in relation both to new and to existing customers of Global-e, except [***],</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16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this Agreement includes pricing which Global-e may incorporate into its service offering to its customers. There are separate sets of prices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Enterprise Customers and for Pro Customers, based on expected volumes. This is the pricing which DHL will invoice Global-e in relation to each Customer, but DHL has no visibility of, nor control of, the charges Global-e will make to a Customer based on such pricing;</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pricing for Enterprise Customers in this Agreement is the same as previously under the UK Agreement, but the pricing for Pro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differs. DHL will apply the new pricing from the Effective Date. Global-e is free to make any adjustments to its pricing to the existing Pro Customers as it chooses;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covers new Customers which Global-e identifies, but it also contemplates DHL recommending Global-e’s services to DHL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customers, having already agreed pricing with DHL, which may sign up as Pro Customers of Global-e but which will remain customers of DHL in relation to the DHL Services, and which DHL will therefore invoice directly and DHL shall remain responsible and liable for customer support, claims for such DHL Services.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Direct Pro Customers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No separate contract between DHL and Global-e to cover Direct Pro Customers is expected to be required;</w:t>
      </w:r>
    </w:p>
    <w:p>
      <w:pPr>
        <w:sectPr>
          <w:pgSz w:w="11900" w:h="16838" w:orient="portrait"/>
          <w:cols w:equalWidth="0" w:num="1">
            <w:col w:w="10920"/>
          </w:cols>
          <w:pgMar w:left="480" w:top="121" w:right="499" w:bottom="1440" w:gutter="0" w:footer="0" w:header="0"/>
        </w:sectPr>
      </w:pPr>
    </w:p>
    <w:bookmarkStart w:id="409" w:name="page410"/>
    <w:bookmarkEnd w:id="409"/>
    <w:p>
      <w:pPr>
        <w:ind w:right="20"/>
        <w:spacing w:after="0" w:line="30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WHEREAS, </w:t>
      </w:r>
      <w:r>
        <w:rPr>
          <w:rFonts w:ascii="Arial" w:cs="Arial" w:eastAsia="Arial" w:hAnsi="Arial"/>
          <w:sz w:val="17"/>
          <w:szCs w:val="17"/>
          <w:color w:val="auto"/>
        </w:rPr>
        <w:t>the Parties hereby acknowledge and agree that no other changes except those expressly set out herein are made to the way the Parties have</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co-operated or should cooperate pursuant to the terms of the agreements in force prior to the date of this Agreement;</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except for Direct Pro Customers, with respect to the DHL Services, DHL has no contract with any Global-e customer and invoices all</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to its customer, Global-e. Furthermore, through its services, Global-e becomes owner of the goods before the Shipments are tendered to DHL. DHL will therefore treat Global-e as its customer for all purposes, and will accept claims in relation to Shipments only from Global-e regardless of whether the Shipments are tendered by Global-e or collected from a Global-e customer. The person or company tendering Shipments to DHL under this Agreement (Direct Pro customers are not included, as they do not fall under this Agreement) is defined as “</w:t>
      </w:r>
      <w:r>
        <w:rPr>
          <w:rFonts w:ascii="Arial" w:cs="Arial" w:eastAsia="Arial" w:hAnsi="Arial"/>
          <w:sz w:val="16"/>
          <w:szCs w:val="16"/>
          <w:b w:val="1"/>
          <w:bCs w:val="1"/>
          <w:color w:val="auto"/>
        </w:rPr>
        <w:t>Shipper</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relates only to arrangements where Global-e is the Shipper and nothing prevents DHL from having its own contracts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customer where such customer is acting as the shipper for that purpose and outside these arrangements.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unless otherwise agreed between the Parties, the Parties intend this arrangement to apply to any similar DHL service which Global-e may</w:t>
      </w:r>
      <w:r>
        <w:rPr>
          <w:rFonts w:ascii="Arial" w:cs="Arial" w:eastAsia="Arial" w:hAnsi="Arial"/>
          <w:sz w:val="18"/>
          <w:szCs w:val="18"/>
          <w:b w:val="1"/>
          <w:bCs w:val="1"/>
          <w:color w:val="auto"/>
        </w:rPr>
        <w:t xml:space="preserve"> </w:t>
      </w:r>
      <w:r>
        <w:rPr>
          <w:rFonts w:ascii="Arial" w:cs="Arial" w:eastAsia="Arial" w:hAnsi="Arial"/>
          <w:sz w:val="18"/>
          <w:szCs w:val="18"/>
          <w:color w:val="auto"/>
        </w:rPr>
        <w:t>sell to its customers in the future which incorporates DHL Services. The Parties will cooperate to ensure that any such new DHL Services fall under this Agreement, in accordance with the principles set out herein or principles of agreements in force prior to the date of this Agreement or at the then applicable time; 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group companies intend to adopt in other countries the same business model as is set out in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DHL and Global-e promise and agree as follows: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hereby agreed as follows:</w:t>
      </w:r>
    </w:p>
    <w:p>
      <w:pPr>
        <w:spacing w:after="0" w:line="127" w:lineRule="exact"/>
        <w:rPr>
          <w:sz w:val="20"/>
          <w:szCs w:val="20"/>
          <w:color w:val="auto"/>
        </w:rPr>
      </w:pPr>
    </w:p>
    <w:p>
      <w:pPr>
        <w:ind w:left="440" w:hanging="433"/>
        <w:spacing w:after="0"/>
        <w:tabs>
          <w:tab w:leader="none" w:pos="44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&amp; CONFLICTING PROVISIONS</w:t>
      </w:r>
    </w:p>
    <w:p>
      <w:pPr>
        <w:spacing w:after="0" w:line="131" w:lineRule="exact"/>
        <w:rPr>
          <w:sz w:val="20"/>
          <w:szCs w:val="20"/>
          <w:color w:val="auto"/>
        </w:rPr>
      </w:pPr>
    </w:p>
    <w:p>
      <w:pPr>
        <w:ind w:left="540" w:right="540" w:hanging="534"/>
        <w:spacing w:after="0" w:line="335"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Agreement is comprised of all the clauses contained herein, the Recitals above (which are agreed to have legal effect), the Schedules attached hereto and DHL’s international terms and conditions of carriage as set out at www.dhl.co.uk (“Terms and Conditions”).</w:t>
      </w:r>
    </w:p>
    <w:p>
      <w:pPr>
        <w:spacing w:after="0" w:line="35" w:lineRule="exact"/>
        <w:rPr>
          <w:sz w:val="20"/>
          <w:szCs w:val="20"/>
          <w:color w:val="auto"/>
        </w:rPr>
      </w:pPr>
    </w:p>
    <w:p>
      <w:pPr>
        <w:ind w:left="540" w:hanging="534"/>
        <w:spacing w:after="0" w:line="255" w:lineRule="auto"/>
        <w:tabs>
          <w:tab w:leader="none" w:pos="520" w:val="left"/>
        </w:tabs>
        <w:rPr>
          <w:sz w:val="20"/>
          <w:szCs w:val="20"/>
          <w:color w:val="auto"/>
        </w:rPr>
      </w:pPr>
      <w:r>
        <w:rPr>
          <w:rFonts w:ascii="Arial" w:cs="Arial" w:eastAsia="Arial" w:hAnsi="Arial"/>
          <w:sz w:val="18"/>
          <w:szCs w:val="18"/>
          <w:color w:val="auto"/>
        </w:rPr>
        <w:t>1.2.</w:t>
        <w:tab/>
        <w:t>This Agreement contains the entire agreement of the Parties and supersedes all other oral or written agreements with respect to the subject matter of this Agreement. Any oral or written representations made by one Party to the other and not contained in this Agreement hereto shall not have any contractual effect whatsoever. Amendments to this Agreement are valid only when signed by duly authorised representatives of both Parties, save for any changes specified in clause 4.5.</w:t>
      </w:r>
    </w:p>
    <w:p>
      <w:pPr>
        <w:spacing w:after="0" w:line="97" w:lineRule="exact"/>
        <w:rPr>
          <w:sz w:val="20"/>
          <w:szCs w:val="20"/>
          <w:color w:val="auto"/>
        </w:rPr>
      </w:pPr>
    </w:p>
    <w:p>
      <w:pPr>
        <w:ind w:left="540" w:right="160" w:hanging="534"/>
        <w:spacing w:after="0" w:line="301"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In the event of a conflict the following order of precedence shall apply: (i) Schedule 1 and 2 (Services &amp; Charges); (ii) the clauses contained in this part of the Agreement and the Recitals; (iii) any other Schedules hereto, and (iv) the Terms and Conditions.</w:t>
      </w:r>
    </w:p>
    <w:p>
      <w:pPr>
        <w:spacing w:after="0" w:line="58" w:lineRule="exact"/>
        <w:rPr>
          <w:sz w:val="20"/>
          <w:szCs w:val="20"/>
          <w:color w:val="auto"/>
        </w:rPr>
      </w:pPr>
    </w:p>
    <w:p>
      <w:pPr>
        <w:ind w:left="540" w:right="300" w:hanging="534"/>
        <w:spacing w:after="0" w:line="271" w:lineRule="auto"/>
        <w:tabs>
          <w:tab w:leader="none" w:pos="520" w:val="left"/>
        </w:tabs>
        <w:rPr>
          <w:sz w:val="20"/>
          <w:szCs w:val="20"/>
          <w:color w:val="auto"/>
        </w:rPr>
      </w:pPr>
      <w:r>
        <w:rPr>
          <w:rFonts w:ascii="Arial" w:cs="Arial" w:eastAsia="Arial" w:hAnsi="Arial"/>
          <w:sz w:val="18"/>
          <w:szCs w:val="18"/>
          <w:color w:val="auto"/>
        </w:rPr>
        <w:t>1.4.</w:t>
        <w:tab/>
        <w:t>All capitalised terms in this Agreement shall have the meaning given to such terms in this Agreement or the Terms and Conditions unless the context requires otherwise.</w:t>
      </w:r>
    </w:p>
    <w:p>
      <w:pPr>
        <w:spacing w:after="0" w:line="197" w:lineRule="exact"/>
        <w:rPr>
          <w:sz w:val="20"/>
          <w:szCs w:val="20"/>
          <w:color w:val="auto"/>
        </w:rPr>
      </w:pPr>
    </w:p>
    <w:p>
      <w:pPr>
        <w:ind w:left="440" w:hanging="433"/>
        <w:spacing w:after="0"/>
        <w:tabs>
          <w:tab w:leader="none" w:pos="4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TERM &amp; TERMINATION</w:t>
      </w:r>
    </w:p>
    <w:p>
      <w:pPr>
        <w:spacing w:after="0" w:line="131" w:lineRule="exact"/>
        <w:rPr>
          <w:sz w:val="20"/>
          <w:szCs w:val="20"/>
          <w:color w:val="auto"/>
        </w:rPr>
      </w:pPr>
    </w:p>
    <w:p>
      <w:pPr>
        <w:ind w:left="540" w:right="100" w:hanging="534"/>
        <w:spacing w:after="0" w:line="272"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This Agreement shall continue indefinitely until terminated by either Party in accordance with the provisions of this Agreement. Without prejudice to either Party’s rights to terminate in accordance with the provisions of this clause 2, this Agreement may be terminated by either Party for convenience at any time by serving written notice. The period of notice shall be three months for the first year of the Agreement as from the Effective Date, four months for the second year commenced, five months for the third year commenced, six months for the subsequent years. The end of a notice period must coincide with the end of a calendar month.</w:t>
      </w:r>
    </w:p>
    <w:p>
      <w:pPr>
        <w:sectPr>
          <w:pgSz w:w="11900" w:h="16838" w:orient="portrait"/>
          <w:cols w:equalWidth="0" w:num="1">
            <w:col w:w="10900"/>
          </w:cols>
          <w:pgMar w:left="480" w:top="267" w:right="519" w:bottom="1440" w:gutter="0" w:footer="0" w:header="0"/>
        </w:sectPr>
      </w:pPr>
    </w:p>
    <w:bookmarkStart w:id="410" w:name="page411"/>
    <w:bookmarkEnd w:id="410"/>
    <w:p>
      <w:pPr>
        <w:jc w:val="both"/>
        <w:ind w:left="533" w:hanging="534"/>
        <w:spacing w:after="0" w:line="281" w:lineRule="auto"/>
        <w:tabs>
          <w:tab w:leader="none" w:pos="5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2.2.</w:t>
      </w:r>
      <w:r>
        <w:rPr>
          <w:sz w:val="20"/>
          <w:szCs w:val="20"/>
          <w:color w:val="auto"/>
        </w:rPr>
        <w:tab/>
      </w:r>
      <w:r>
        <w:rPr>
          <w:rFonts w:ascii="Arial" w:cs="Arial" w:eastAsia="Arial" w:hAnsi="Arial"/>
          <w:sz w:val="17"/>
          <w:szCs w:val="17"/>
          <w:color w:val="auto"/>
        </w:rPr>
        <w:t>DHL shall be entitled to terminate this Agreement upon two weeks written notice where Global-e fails more than once in any three month period to pay to DHL any of the Charges (or any other sums due under this Agreement) by the Due Date for payment. Since payments are made by way of direct debit, a failure by DHL to initiate direct debit payment will not constitute a failure of Global-e.</w:t>
      </w:r>
    </w:p>
    <w:p>
      <w:pPr>
        <w:spacing w:after="0" w:line="76" w:lineRule="exact"/>
        <w:rPr>
          <w:sz w:val="20"/>
          <w:szCs w:val="20"/>
          <w:color w:val="auto"/>
        </w:rPr>
      </w:pPr>
    </w:p>
    <w:p>
      <w:pPr>
        <w:ind w:left="533" w:right="40" w:hanging="534"/>
        <w:spacing w:after="0" w:line="259" w:lineRule="auto"/>
        <w:tabs>
          <w:tab w:leader="none" w:pos="512" w:val="left"/>
        </w:tabs>
        <w:rPr>
          <w:sz w:val="20"/>
          <w:szCs w:val="20"/>
          <w:color w:val="auto"/>
        </w:rPr>
      </w:pPr>
      <w:r>
        <w:rPr>
          <w:rFonts w:ascii="Arial" w:cs="Arial" w:eastAsia="Arial" w:hAnsi="Arial"/>
          <w:sz w:val="18"/>
          <w:szCs w:val="18"/>
          <w:color w:val="auto"/>
        </w:rPr>
        <w:t>2.3.</w:t>
        <w:tab/>
        <w:t>Either Party shall be entitled to terminate this Agreement with immediate effect in the event that the other Party commits a material breach of this Agreement which is either not capable of remedy or which that Party fails to remedy within 14 days of receipt of a written notice requesting the breach be remedied.</w:t>
      </w:r>
    </w:p>
    <w:p>
      <w:pPr>
        <w:spacing w:after="0" w:line="92" w:lineRule="exact"/>
        <w:rPr>
          <w:sz w:val="20"/>
          <w:szCs w:val="20"/>
          <w:color w:val="auto"/>
        </w:rPr>
      </w:pPr>
    </w:p>
    <w:p>
      <w:pPr>
        <w:ind w:left="533" w:hanging="534"/>
        <w:spacing w:after="0" w:line="270" w:lineRule="auto"/>
        <w:tabs>
          <w:tab w:leader="none" w:pos="51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Either Party shall be entitled to terminate this Agreement immediately by notice in writing to the other Party in the event that the other Party, being a company, goes into liquidation whether voluntary or compulsory or is the subject of a winding up, receivership or administration proceedings or if a person takes possession of all or any substantial part of its property, assets or undertaking or enters into any composition or other voluntary arrangement with its creditors, or suffers any distress or execution to be levied on all or any substantial part of its property, assets and undertaking or any other analogous event or ceases or threatens to cease carrying on business or becomes unable to pay its debts as they fall due or, being an individual, is subject to any analogous circumstances.</w:t>
      </w:r>
    </w:p>
    <w:p>
      <w:pPr>
        <w:spacing w:after="0" w:line="85" w:lineRule="exact"/>
        <w:rPr>
          <w:sz w:val="20"/>
          <w:szCs w:val="20"/>
          <w:color w:val="auto"/>
        </w:rPr>
      </w:pPr>
    </w:p>
    <w:p>
      <w:pPr>
        <w:ind w:left="533" w:right="200" w:hanging="534"/>
        <w:spacing w:after="0" w:line="271" w:lineRule="auto"/>
        <w:tabs>
          <w:tab w:leader="none" w:pos="512" w:val="left"/>
        </w:tabs>
        <w:rPr>
          <w:sz w:val="20"/>
          <w:szCs w:val="20"/>
          <w:color w:val="auto"/>
        </w:rPr>
      </w:pPr>
      <w:r>
        <w:rPr>
          <w:rFonts w:ascii="Arial" w:cs="Arial" w:eastAsia="Arial" w:hAnsi="Arial"/>
          <w:sz w:val="18"/>
          <w:szCs w:val="18"/>
          <w:color w:val="auto"/>
        </w:rPr>
        <w:t>2.5.</w:t>
        <w:tab/>
        <w:t>On termination , all products and any property owned by or belonging to DHL or a third party and supplied to Global-e in connection with the DHL Services must be returned to DHL within 14 days of the date of termination.</w:t>
      </w:r>
    </w:p>
    <w:p>
      <w:pPr>
        <w:spacing w:after="0" w:line="81" w:lineRule="exact"/>
        <w:rPr>
          <w:sz w:val="20"/>
          <w:szCs w:val="20"/>
          <w:color w:val="auto"/>
        </w:rPr>
      </w:pPr>
    </w:p>
    <w:p>
      <w:pPr>
        <w:ind w:left="533" w:right="460" w:hanging="534"/>
        <w:spacing w:after="0" w:line="271" w:lineRule="auto"/>
        <w:tabs>
          <w:tab w:leader="none" w:pos="512" w:val="left"/>
        </w:tabs>
        <w:rPr>
          <w:sz w:val="20"/>
          <w:szCs w:val="20"/>
          <w:color w:val="auto"/>
        </w:rPr>
      </w:pPr>
      <w:r>
        <w:rPr>
          <w:rFonts w:ascii="Arial" w:cs="Arial" w:eastAsia="Arial" w:hAnsi="Arial"/>
          <w:sz w:val="18"/>
          <w:szCs w:val="18"/>
          <w:color w:val="auto"/>
        </w:rPr>
        <w:t>2.6.</w:t>
        <w:tab/>
        <w:t>Either Party shall have an immediate right of termination where the other Party carries out any action that: (i) has an effect of damaging its reputation; or (ii) brings its business into disrepute.</w:t>
      </w:r>
    </w:p>
    <w:p>
      <w:pPr>
        <w:spacing w:after="0" w:line="81" w:lineRule="exact"/>
        <w:rPr>
          <w:sz w:val="20"/>
          <w:szCs w:val="20"/>
          <w:color w:val="auto"/>
        </w:rPr>
      </w:pPr>
    </w:p>
    <w:p>
      <w:pPr>
        <w:ind w:left="533" w:right="160" w:hanging="534"/>
        <w:spacing w:after="0" w:line="271" w:lineRule="auto"/>
        <w:tabs>
          <w:tab w:leader="none" w:pos="512" w:val="left"/>
        </w:tabs>
        <w:rPr>
          <w:sz w:val="20"/>
          <w:szCs w:val="20"/>
          <w:color w:val="auto"/>
        </w:rPr>
      </w:pPr>
      <w:r>
        <w:rPr>
          <w:rFonts w:ascii="Arial" w:cs="Arial" w:eastAsia="Arial" w:hAnsi="Arial"/>
          <w:sz w:val="18"/>
          <w:szCs w:val="18"/>
          <w:color w:val="auto"/>
        </w:rPr>
        <w:t>2.7.</w:t>
        <w:tab/>
        <w:t>Each indemnity in this Agreement is a continuing obligation separate and independent from any obligation and shall survive the termination of this Agreement.</w:t>
      </w:r>
    </w:p>
    <w:p>
      <w:pPr>
        <w:spacing w:after="0" w:line="197" w:lineRule="exact"/>
        <w:rPr>
          <w:sz w:val="20"/>
          <w:szCs w:val="20"/>
          <w:color w:val="auto"/>
        </w:rPr>
      </w:pPr>
    </w:p>
    <w:p>
      <w:pPr>
        <w:ind w:left="433" w:hanging="433"/>
        <w:spacing w:after="0"/>
        <w:tabs>
          <w:tab w:leader="none" w:pos="433"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THE DHL SERVICES</w:t>
      </w:r>
    </w:p>
    <w:p>
      <w:pPr>
        <w:spacing w:after="0" w:line="131" w:lineRule="exact"/>
        <w:rPr>
          <w:sz w:val="20"/>
          <w:szCs w:val="20"/>
          <w:color w:val="auto"/>
        </w:rPr>
      </w:pPr>
    </w:p>
    <w:p>
      <w:pPr>
        <w:ind w:left="533" w:right="100" w:hanging="534"/>
        <w:spacing w:after="0" w:line="259" w:lineRule="auto"/>
        <w:tabs>
          <w:tab w:leader="none" w:pos="512" w:val="left"/>
        </w:tabs>
        <w:rPr>
          <w:sz w:val="20"/>
          <w:szCs w:val="20"/>
          <w:color w:val="auto"/>
        </w:rPr>
      </w:pPr>
      <w:r>
        <w:rPr>
          <w:rFonts w:ascii="Arial" w:cs="Arial" w:eastAsia="Arial" w:hAnsi="Arial"/>
          <w:sz w:val="18"/>
          <w:szCs w:val="18"/>
          <w:color w:val="auto"/>
        </w:rPr>
        <w:t>3.1.</w:t>
        <w:tab/>
        <w:t>The DHL Services provided by DHL to Global-e (or ancillary, optional or other services such as handling and storage during transportation and customs clearance, as well as any Optional Services selected by Global-e) shall be as specified in [***] or as published on DHL’s website (www.dhl.co.uk), as amended from time to time.</w:t>
      </w:r>
    </w:p>
    <w:p>
      <w:pPr>
        <w:spacing w:after="0" w:line="92" w:lineRule="exact"/>
        <w:rPr>
          <w:sz w:val="20"/>
          <w:szCs w:val="20"/>
          <w:color w:val="auto"/>
        </w:rPr>
      </w:pPr>
    </w:p>
    <w:p>
      <w:pPr>
        <w:ind w:left="533" w:right="620" w:hanging="534"/>
        <w:spacing w:after="0" w:line="271" w:lineRule="auto"/>
        <w:tabs>
          <w:tab w:leader="none" w:pos="512" w:val="left"/>
        </w:tabs>
        <w:rPr>
          <w:sz w:val="20"/>
          <w:szCs w:val="20"/>
          <w:color w:val="auto"/>
        </w:rPr>
      </w:pPr>
      <w:r>
        <w:rPr>
          <w:rFonts w:ascii="Arial" w:cs="Arial" w:eastAsia="Arial" w:hAnsi="Arial"/>
          <w:sz w:val="18"/>
          <w:szCs w:val="18"/>
          <w:color w:val="auto"/>
        </w:rPr>
        <w:t>3.2.</w:t>
        <w:tab/>
        <w:t>Time for delivery shall not be of the essence in respect of performance of the DHL Services. All DHL Services shall be governed by the provisions of this Agreement.</w:t>
      </w:r>
    </w:p>
    <w:p>
      <w:pPr>
        <w:spacing w:after="0" w:line="81" w:lineRule="exact"/>
        <w:rPr>
          <w:sz w:val="20"/>
          <w:szCs w:val="20"/>
          <w:color w:val="auto"/>
        </w:rPr>
      </w:pPr>
    </w:p>
    <w:p>
      <w:pPr>
        <w:ind w:left="533" w:right="260" w:hanging="534"/>
        <w:spacing w:after="0" w:line="297" w:lineRule="auto"/>
        <w:tabs>
          <w:tab w:leader="none" w:pos="51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DHL shall have discretion not to carry any Shipments which in its reasonable opinion are unsuitable for carriage, provided that immediately following the decision, DHL shall provide Global-e with either an oral explanation or a written detailed explanation as for the reasons behind such a decision, as well as suggestions as to what Global-e should do in order to ensure such Shipments become suitable for carriage, if applicable. Unless otherwise agreed by the Parties, any such rejected Shipment shall be returned by DHL to Global-e.</w:t>
      </w:r>
    </w:p>
    <w:p>
      <w:pPr>
        <w:spacing w:after="0" w:line="66" w:lineRule="exact"/>
        <w:rPr>
          <w:sz w:val="20"/>
          <w:szCs w:val="20"/>
          <w:color w:val="auto"/>
        </w:rPr>
      </w:pPr>
    </w:p>
    <w:p>
      <w:pPr>
        <w:ind w:left="533" w:right="300" w:hanging="534"/>
        <w:spacing w:after="0" w:line="259" w:lineRule="auto"/>
        <w:tabs>
          <w:tab w:leader="none" w:pos="512" w:val="left"/>
        </w:tabs>
        <w:rPr>
          <w:sz w:val="20"/>
          <w:szCs w:val="20"/>
          <w:color w:val="auto"/>
        </w:rPr>
      </w:pPr>
      <w:r>
        <w:rPr>
          <w:rFonts w:ascii="Arial" w:cs="Arial" w:eastAsia="Arial" w:hAnsi="Arial"/>
          <w:sz w:val="18"/>
          <w:szCs w:val="18"/>
          <w:color w:val="auto"/>
        </w:rPr>
        <w:t>3.4.</w:t>
        <w:tab/>
        <w:t>In accordance with the provisions of clause 3.5 below, except in the case of Shipment Insurance if offered by Global-e, neither Party shall represent itself as an agent of the other for any purpose and shall not (without the prior written consent of the other’s authorised signatory) in writing:</w:t>
      </w:r>
    </w:p>
    <w:p>
      <w:pPr>
        <w:spacing w:after="0" w:line="92" w:lineRule="exact"/>
        <w:rPr>
          <w:sz w:val="20"/>
          <w:szCs w:val="20"/>
          <w:color w:val="auto"/>
        </w:rPr>
      </w:pPr>
    </w:p>
    <w:p>
      <w:pPr>
        <w:ind w:left="533"/>
        <w:spacing w:after="0"/>
        <w:tabs>
          <w:tab w:leader="none" w:pos="1152"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give any condition, warranty or representation on the other Party’s behalf; and</w:t>
      </w:r>
    </w:p>
    <w:p>
      <w:pPr>
        <w:spacing w:after="0" w:line="127" w:lineRule="exact"/>
        <w:rPr>
          <w:sz w:val="20"/>
          <w:szCs w:val="20"/>
          <w:color w:val="auto"/>
        </w:rPr>
      </w:pPr>
    </w:p>
    <w:p>
      <w:pPr>
        <w:ind w:left="533"/>
        <w:spacing w:after="0"/>
        <w:tabs>
          <w:tab w:leader="none" w:pos="1152"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enter into (or purport to enter into) any contracts or agreements binding on the other Party.</w:t>
      </w:r>
    </w:p>
    <w:p>
      <w:pPr>
        <w:sectPr>
          <w:pgSz w:w="11900" w:h="16838" w:orient="portrait"/>
          <w:cols w:equalWidth="0" w:num="1">
            <w:col w:w="10873"/>
          </w:cols>
          <w:pgMar w:left="487" w:top="271" w:right="539" w:bottom="1440" w:gutter="0" w:footer="0" w:header="0"/>
        </w:sectPr>
      </w:pPr>
    </w:p>
    <w:bookmarkStart w:id="411" w:name="page412"/>
    <w:bookmarkEnd w:id="411"/>
    <w:p>
      <w:pPr>
        <w:ind w:left="540" w:right="100" w:hanging="534"/>
        <w:spacing w:after="0" w:line="30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3.5.</w:t>
      </w:r>
      <w:r>
        <w:rPr>
          <w:sz w:val="20"/>
          <w:szCs w:val="20"/>
          <w:color w:val="auto"/>
        </w:rPr>
        <w:tab/>
      </w:r>
      <w:r>
        <w:rPr>
          <w:rFonts w:ascii="Arial" w:cs="Arial" w:eastAsia="Arial" w:hAnsi="Arial"/>
          <w:sz w:val="16"/>
          <w:szCs w:val="16"/>
          <w:color w:val="auto"/>
        </w:rPr>
        <w:t>Both parties acknowledge and agree that there shall be no contractual relationship between DHL and any Global-e Customer acting as Shipper under this Agreement. Subject to clause 7.5, the Parties further agree that any claims raised by a Shipper under the terms of this Agreement may only be brought by Global-e, and DHL shall only be liable to Global-e in the event of any breach of this Agreement by DHL.</w:t>
      </w:r>
    </w:p>
    <w:p>
      <w:pPr>
        <w:spacing w:after="0" w:line="56" w:lineRule="exact"/>
        <w:rPr>
          <w:sz w:val="20"/>
          <w:szCs w:val="20"/>
          <w:color w:val="auto"/>
        </w:rPr>
      </w:pPr>
    </w:p>
    <w:p>
      <w:pPr>
        <w:ind w:left="540" w:right="100" w:hanging="534"/>
        <w:spacing w:after="0" w:line="281" w:lineRule="auto"/>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Nothing in this Agreement shall be construed as creating a partnership or joint venture of any kind between the Parties or as constituting either Party as the agent of the other Party for any purpose whatsoever and neither Party shall have the authority or power to bind the other Party, or to contract in the name of, or create a liability against, the other Party in any way or for any purpose.</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4"/>
          <w:szCs w:val="14"/>
          <w:color w:val="auto"/>
        </w:rPr>
        <w:t>Authorised representatives of both Parties shall meet as needed to discuss operational matters under this Agreement.</w:t>
      </w:r>
    </w:p>
    <w:p>
      <w:pPr>
        <w:spacing w:after="0" w:line="244" w:lineRule="exact"/>
        <w:rPr>
          <w:sz w:val="20"/>
          <w:szCs w:val="20"/>
          <w:color w:val="auto"/>
        </w:rPr>
      </w:pPr>
    </w:p>
    <w:p>
      <w:pPr>
        <w:ind w:left="440" w:hanging="433"/>
        <w:spacing w:after="0"/>
        <w:tabs>
          <w:tab w:leader="none" w:pos="44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CHARGES</w:t>
      </w:r>
    </w:p>
    <w:p>
      <w:pPr>
        <w:spacing w:after="0" w:line="131" w:lineRule="exact"/>
        <w:rPr>
          <w:sz w:val="20"/>
          <w:szCs w:val="20"/>
          <w:color w:val="auto"/>
        </w:rPr>
      </w:pPr>
    </w:p>
    <w:p>
      <w:pPr>
        <w:ind w:left="540" w:right="120" w:hanging="534"/>
        <w:spacing w:after="0" w:line="259" w:lineRule="auto"/>
        <w:tabs>
          <w:tab w:leader="none" w:pos="520" w:val="left"/>
        </w:tabs>
        <w:rPr>
          <w:sz w:val="20"/>
          <w:szCs w:val="20"/>
          <w:color w:val="auto"/>
        </w:rPr>
      </w:pPr>
      <w:r>
        <w:rPr>
          <w:rFonts w:ascii="Arial" w:cs="Arial" w:eastAsia="Arial" w:hAnsi="Arial"/>
          <w:sz w:val="18"/>
          <w:szCs w:val="18"/>
          <w:color w:val="auto"/>
        </w:rPr>
        <w:t>4.1.</w:t>
        <w:tab/>
        <w:t>The pricing in Schedule 1 applies to Enterprise Customers . The Pricing in [***] applies to Pro Customers. This means that these are the rates which DHL will charge Global-e in relation to such customers . As it contracts with its customers, Global-e will inform DHL of such customers and whether they are Pro Customers or Enterprise Customers.</w:t>
      </w:r>
    </w:p>
    <w:p>
      <w:pPr>
        <w:spacing w:after="0" w:line="92" w:lineRule="exact"/>
        <w:rPr>
          <w:sz w:val="20"/>
          <w:szCs w:val="20"/>
          <w:color w:val="auto"/>
        </w:rPr>
      </w:pPr>
    </w:p>
    <w:p>
      <w:pPr>
        <w:ind w:left="540" w:right="40" w:hanging="534"/>
        <w:spacing w:after="0" w:line="259" w:lineRule="auto"/>
        <w:tabs>
          <w:tab w:leader="none" w:pos="520" w:val="left"/>
        </w:tabs>
        <w:rPr>
          <w:sz w:val="20"/>
          <w:szCs w:val="20"/>
          <w:color w:val="auto"/>
        </w:rPr>
      </w:pPr>
      <w:r>
        <w:rPr>
          <w:rFonts w:ascii="Arial" w:cs="Arial" w:eastAsia="Arial" w:hAnsi="Arial"/>
          <w:sz w:val="18"/>
          <w:szCs w:val="18"/>
          <w:color w:val="auto"/>
        </w:rPr>
        <w:t>4.2.</w:t>
        <w:tab/>
        <w:t>DHL shall have no visibility or control of, nor any influence over, Global-e’s commercial strategy or its choice of customer. Global-e shall determine the charges it levies for the provision of its services, including the DHL Services at its absolute discretion and such charges will not be disclosed to DHL.</w:t>
      </w:r>
    </w:p>
    <w:p>
      <w:pPr>
        <w:spacing w:after="0" w:line="88" w:lineRule="exact"/>
        <w:rPr>
          <w:sz w:val="20"/>
          <w:szCs w:val="20"/>
          <w:color w:val="auto"/>
        </w:rPr>
      </w:pPr>
    </w:p>
    <w:p>
      <w:pPr>
        <w:ind w:left="540" w:right="140" w:hanging="534"/>
        <w:spacing w:after="0" w:line="340"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 the purposes of this Agreement, “</w:t>
      </w:r>
      <w:r>
        <w:rPr>
          <w:rFonts w:ascii="Arial" w:cs="Arial" w:eastAsia="Arial" w:hAnsi="Arial"/>
          <w:sz w:val="16"/>
          <w:szCs w:val="16"/>
          <w:b w:val="1"/>
          <w:bCs w:val="1"/>
          <w:color w:val="auto"/>
        </w:rPr>
        <w:t>Charges</w:t>
      </w:r>
      <w:r>
        <w:rPr>
          <w:rFonts w:ascii="Arial" w:cs="Arial" w:eastAsia="Arial" w:hAnsi="Arial"/>
          <w:sz w:val="16"/>
          <w:szCs w:val="16"/>
          <w:color w:val="auto"/>
        </w:rPr>
        <w:t>” means any amounts properly chargeable to Global-e in connection with this Agreement including but not limited to taxes, customs duties, levies, imposts and other charges imposed by regulatory bodies in relation to its Shipment(s).</w:t>
      </w:r>
    </w:p>
    <w:p>
      <w:pPr>
        <w:spacing w:after="0" w:line="31" w:lineRule="exact"/>
        <w:rPr>
          <w:sz w:val="20"/>
          <w:szCs w:val="20"/>
          <w:color w:val="auto"/>
        </w:rPr>
      </w:pPr>
    </w:p>
    <w:p>
      <w:pPr>
        <w:ind w:left="540" w:right="280" w:hanging="534"/>
        <w:spacing w:after="0" w:line="307"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Notwithstanding clause 4.5 and 4.8 below, DHL reserves the right to make surcharges to recover costs associated with temporary or industry-wide or operational situations including but not limited to: fuel price increases whether or not arising out of any force majeure event; and increases in Government or any other authority’s fiscal or statutory charges payable by DHL including variations in vehicle excise duty.</w:t>
      </w:r>
    </w:p>
    <w:p>
      <w:pPr>
        <w:spacing w:after="0" w:line="56" w:lineRule="exact"/>
        <w:rPr>
          <w:sz w:val="20"/>
          <w:szCs w:val="20"/>
          <w:color w:val="auto"/>
        </w:rPr>
      </w:pPr>
    </w:p>
    <w:p>
      <w:pPr>
        <w:ind w:left="540" w:right="40" w:hanging="534"/>
        <w:spacing w:after="0" w:line="253" w:lineRule="auto"/>
        <w:tabs>
          <w:tab w:leader="none" w:pos="520" w:val="left"/>
        </w:tabs>
        <w:rPr>
          <w:sz w:val="20"/>
          <w:szCs w:val="20"/>
          <w:color w:val="auto"/>
        </w:rPr>
      </w:pPr>
      <w:r>
        <w:rPr>
          <w:rFonts w:ascii="Arial" w:cs="Arial" w:eastAsia="Arial" w:hAnsi="Arial"/>
          <w:sz w:val="18"/>
          <w:szCs w:val="18"/>
          <w:color w:val="auto"/>
        </w:rPr>
        <w:t>4.5.</w:t>
        <w:tab/>
        <w:t>Subject to mutual agreement by the Parties, DHL shall have the right at any time to: (i) amend the Charges in [***]; and/or (ii) introduce new Charges in line with this Agreement. The provisions of this sub-clause 4.5 shall be without prejudice to the provisions of sub-clause 4.3. Additionally, where DHL agrees with Global-e to amend the Charges, such changes shall be applicable from the first day of the month following such agreement. In any event, the Charges in [***] shall be subject to a proportionate annual increase at the commencement of each calendar year in line with DHL’s published tariff.</w:t>
      </w:r>
    </w:p>
    <w:p>
      <w:pPr>
        <w:spacing w:after="0" w:line="99" w:lineRule="exact"/>
        <w:rPr>
          <w:sz w:val="20"/>
          <w:szCs w:val="20"/>
          <w:color w:val="auto"/>
        </w:rPr>
      </w:pPr>
    </w:p>
    <w:p>
      <w:pPr>
        <w:ind w:left="540" w:hanging="534"/>
        <w:spacing w:after="0" w:line="251" w:lineRule="auto"/>
        <w:tabs>
          <w:tab w:leader="none" w:pos="520" w:val="left"/>
        </w:tabs>
        <w:rPr>
          <w:sz w:val="20"/>
          <w:szCs w:val="20"/>
          <w:color w:val="auto"/>
        </w:rPr>
      </w:pPr>
      <w:r>
        <w:rPr>
          <w:rFonts w:ascii="Arial" w:cs="Arial" w:eastAsia="Arial" w:hAnsi="Arial"/>
          <w:sz w:val="18"/>
          <w:szCs w:val="18"/>
          <w:color w:val="auto"/>
        </w:rPr>
        <w:t>4.6.</w:t>
        <w:tab/>
        <w:t>All prices set out in [***] are exclusive of VAT. DHL shall invoice Global-e by way of E-Billing. The invoice will show the amount by customer, based on such customer’s shipment volumes (the actual shipments for such customer during the billing period). In order to achieve this, DHL will set up an account by Customer. Unless otherwise agreed by the Parties, Global-e shall pay the Charges by direct debit without set-off, withholding or deduction within 30 days of the date of DHL’s invoice (“Due Date”). If Global-e fails to pay any sum due under this Agreement by the Due Date DHL shall, without prejudice to any other right or remedy that it may have, be entitled to (i) suspend the provision of the DHL Services or any part thereof and/or (ii) charge Global-e interest at the rate of interest specified from time to time in the Late Payments of Commercial Debts (Interest) Act 1998 calculated daily from the Due Date until the date on which the obligation of Global-e to pay the sum is discharged (whether before or after any judgment).</w:t>
      </w:r>
    </w:p>
    <w:p>
      <w:pPr>
        <w:spacing w:after="0" w:line="100" w:lineRule="exact"/>
        <w:rPr>
          <w:sz w:val="20"/>
          <w:szCs w:val="20"/>
          <w:color w:val="auto"/>
        </w:rPr>
      </w:pPr>
    </w:p>
    <w:p>
      <w:pPr>
        <w:ind w:left="540" w:right="540" w:hanging="534"/>
        <w:spacing w:after="0" w:line="259" w:lineRule="auto"/>
        <w:tabs>
          <w:tab w:leader="none" w:pos="520" w:val="left"/>
        </w:tabs>
        <w:rPr>
          <w:sz w:val="20"/>
          <w:szCs w:val="20"/>
          <w:color w:val="auto"/>
        </w:rPr>
      </w:pPr>
      <w:r>
        <w:rPr>
          <w:rFonts w:ascii="Arial" w:cs="Arial" w:eastAsia="Arial" w:hAnsi="Arial"/>
          <w:sz w:val="18"/>
          <w:szCs w:val="18"/>
          <w:color w:val="auto"/>
        </w:rPr>
        <w:t>4.7.</w:t>
        <w:tab/>
        <w:t>Global-e shall have thirty (30) days from the date of the invoice within which to raise a bona fide dispute relating to the Charges. All such disputes shall be referred for resolution in accordance with clause 14. For the avoidance of doubt, all sums not in dispute shall be paid in accordance with clause 4.6 above.</w:t>
      </w:r>
    </w:p>
    <w:p>
      <w:pPr>
        <w:sectPr>
          <w:pgSz w:w="11900" w:h="16838" w:orient="portrait"/>
          <w:cols w:equalWidth="0" w:num="1">
            <w:col w:w="10920"/>
          </w:cols>
          <w:pgMar w:left="480" w:top="272" w:right="499" w:bottom="1440" w:gutter="0" w:footer="0" w:header="0"/>
        </w:sectPr>
      </w:pPr>
    </w:p>
    <w:bookmarkStart w:id="412" w:name="page413"/>
    <w:bookmarkEnd w:id="412"/>
    <w:p>
      <w:pPr>
        <w:ind w:left="540" w:right="80" w:hanging="534"/>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4.8.</w:t>
        <w:tab/>
        <w:t xml:space="preserve">If there is an increase in the cost of fuel for either road or air transport a surcharge may be applied or the Charges may be adjusted in accordance with the methodology described at </w:t>
      </w:r>
      <w:r>
        <w:rPr>
          <w:rFonts w:ascii="Arial" w:cs="Arial" w:eastAsia="Arial" w:hAnsi="Arial"/>
          <w:sz w:val="18"/>
          <w:szCs w:val="18"/>
          <w:u w:val="single" w:color="auto"/>
          <w:color w:val="auto"/>
        </w:rPr>
        <w:t>https://www.dhl.co.uk/en/express/shipping/shipping advice/express fuel surcharge eu.html</w:t>
      </w:r>
      <w:r>
        <w:rPr>
          <w:rFonts w:ascii="Arial" w:cs="Arial" w:eastAsia="Arial" w:hAnsi="Arial"/>
          <w:sz w:val="18"/>
          <w:szCs w:val="18"/>
          <w:color w:val="auto"/>
        </w:rPr>
        <w:t>. The level of the fuel surcharge is also indicated in all invoices. The Parties have agreed that the fuel surcharge applicable during the Term of this agreement shall be fixed at [***] unless otherwise varied in writing by DHL.</w:t>
      </w:r>
    </w:p>
    <w:p>
      <w:pPr>
        <w:spacing w:after="0" w:line="213" w:lineRule="exact"/>
        <w:rPr>
          <w:sz w:val="20"/>
          <w:szCs w:val="20"/>
          <w:color w:val="auto"/>
        </w:rPr>
      </w:pPr>
    </w:p>
    <w:p>
      <w:pPr>
        <w:ind w:left="440" w:hanging="433"/>
        <w:spacing w:after="0"/>
        <w:tabs>
          <w:tab w:leader="none" w:pos="4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&amp; SUB-CONTRACTING</w:t>
      </w:r>
    </w:p>
    <w:p>
      <w:pPr>
        <w:spacing w:after="0" w:line="131" w:lineRule="exact"/>
        <w:rPr>
          <w:sz w:val="20"/>
          <w:szCs w:val="20"/>
          <w:color w:val="auto"/>
        </w:rPr>
      </w:pPr>
    </w:p>
    <w:p>
      <w:pPr>
        <w:ind w:left="540" w:right="200" w:hanging="534"/>
        <w:spacing w:after="0" w:line="252" w:lineRule="auto"/>
        <w:tabs>
          <w:tab w:leader="none" w:pos="520" w:val="left"/>
        </w:tabs>
        <w:rPr>
          <w:sz w:val="20"/>
          <w:szCs w:val="20"/>
          <w:color w:val="auto"/>
        </w:rPr>
      </w:pPr>
      <w:r>
        <w:rPr>
          <w:rFonts w:ascii="Arial" w:cs="Arial" w:eastAsia="Arial" w:hAnsi="Arial"/>
          <w:sz w:val="18"/>
          <w:szCs w:val="18"/>
          <w:color w:val="auto"/>
        </w:rPr>
        <w:t>5.1.</w:t>
        <w:tab/>
        <w:t>Subject to thirty (30) days prior written notice to Customer, DHL shall be entitled to assign or transfer any of its obligations under this Agreement to any third party or to any other member of its Group. “</w:t>
      </w:r>
      <w:r>
        <w:rPr>
          <w:rFonts w:ascii="Arial" w:cs="Arial" w:eastAsia="Arial" w:hAnsi="Arial"/>
          <w:sz w:val="18"/>
          <w:szCs w:val="18"/>
          <w:b w:val="1"/>
          <w:bCs w:val="1"/>
          <w:color w:val="auto"/>
        </w:rPr>
        <w:t>Group</w:t>
      </w:r>
      <w:r>
        <w:rPr>
          <w:rFonts w:ascii="Arial" w:cs="Arial" w:eastAsia="Arial" w:hAnsi="Arial"/>
          <w:sz w:val="18"/>
          <w:szCs w:val="18"/>
          <w:color w:val="auto"/>
        </w:rPr>
        <w:t>” for the purposes of the Agreement, means in relation to DHL, any direct or indirect parent company and any direct or indirect subsidiaries of DHL or its parent companies from time to time and any associated companies of the aforesaid. Global-e shall not be entitled to assign its rights or obligations under this Agreement without the prior written approval of DHL, unless such assignment is made to a wholly owned subsidiary of Customer which is, or will be, registered in the United Kingdom.</w:t>
      </w:r>
    </w:p>
    <w:p>
      <w:pPr>
        <w:spacing w:after="0" w:line="100" w:lineRule="exact"/>
        <w:rPr>
          <w:sz w:val="20"/>
          <w:szCs w:val="20"/>
          <w:color w:val="auto"/>
        </w:rPr>
      </w:pPr>
    </w:p>
    <w:p>
      <w:pPr>
        <w:ind w:left="540" w:right="80" w:hanging="534"/>
        <w:spacing w:after="0" w:line="255" w:lineRule="auto"/>
        <w:tabs>
          <w:tab w:leader="none" w:pos="520" w:val="left"/>
        </w:tabs>
        <w:rPr>
          <w:sz w:val="20"/>
          <w:szCs w:val="20"/>
          <w:color w:val="auto"/>
        </w:rPr>
      </w:pPr>
      <w:r>
        <w:rPr>
          <w:rFonts w:ascii="Arial" w:cs="Arial" w:eastAsia="Arial" w:hAnsi="Arial"/>
          <w:sz w:val="18"/>
          <w:szCs w:val="18"/>
          <w:color w:val="auto"/>
        </w:rPr>
        <w:t>5.2.</w:t>
        <w:tab/>
        <w:t>DHL shall be entitled to subcontract any of its obligations under this Agreement to any third party or to any other member of its Group but DHL shall remain liable to Global-e for the performance of any subcontractor or agent. Any sub-contractor of DHL to which DHL has assigned its obligations under this Agreement, shall be entitled to rely on and enforce any of the provisions of this Agreement as if it were a party hereto in the place of DHL.</w:t>
      </w:r>
    </w:p>
    <w:p>
      <w:pPr>
        <w:spacing w:after="0" w:line="213" w:lineRule="exact"/>
        <w:rPr>
          <w:sz w:val="20"/>
          <w:szCs w:val="20"/>
          <w:color w:val="auto"/>
        </w:rPr>
      </w:pPr>
    </w:p>
    <w:p>
      <w:pPr>
        <w:ind w:left="440" w:hanging="433"/>
        <w:spacing w:after="0"/>
        <w:tabs>
          <w:tab w:leader="none" w:pos="44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RISK &amp; INSURANCE</w:t>
      </w:r>
    </w:p>
    <w:p>
      <w:pPr>
        <w:spacing w:after="0" w:line="131" w:lineRule="exact"/>
        <w:rPr>
          <w:sz w:val="20"/>
          <w:szCs w:val="20"/>
          <w:color w:val="auto"/>
        </w:rPr>
      </w:pPr>
    </w:p>
    <w:p>
      <w:pPr>
        <w:jc w:val="center"/>
        <w:ind w:right="20"/>
        <w:spacing w:after="0"/>
        <w:tabs>
          <w:tab w:leader="none" w:pos="2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DHL’s liability for loss or damage sustained by Global-e as a consequence of DHL’s acts or omissions in the performance of the DHL Services is</w:t>
      </w:r>
    </w:p>
    <w:p>
      <w:pPr>
        <w:spacing w:after="0" w:line="20" w:lineRule="exact"/>
        <w:rPr>
          <w:sz w:val="20"/>
          <w:szCs w:val="20"/>
          <w:color w:val="auto"/>
        </w:rPr>
      </w:pPr>
    </w:p>
    <w:p>
      <w:pPr>
        <w:ind w:left="540" w:right="540"/>
        <w:spacing w:after="0" w:line="285" w:lineRule="auto"/>
        <w:rPr>
          <w:sz w:val="20"/>
          <w:szCs w:val="20"/>
          <w:color w:val="auto"/>
        </w:rPr>
      </w:pPr>
      <w:r>
        <w:rPr>
          <w:rFonts w:ascii="Arial" w:cs="Arial" w:eastAsia="Arial" w:hAnsi="Arial"/>
          <w:sz w:val="17"/>
          <w:szCs w:val="17"/>
          <w:color w:val="auto"/>
        </w:rPr>
        <w:t>limited in accordance with this Agreement. Under no circumstances shall DHL be held liable for any loss, damage or delay caused by any negligent act or omission (including but not limited to breach of this Agreement) by Global-e or any other third party.</w:t>
      </w:r>
    </w:p>
    <w:p>
      <w:pPr>
        <w:spacing w:after="0" w:line="71" w:lineRule="exact"/>
        <w:rPr>
          <w:sz w:val="20"/>
          <w:szCs w:val="20"/>
          <w:color w:val="auto"/>
        </w:rPr>
      </w:pPr>
    </w:p>
    <w:p>
      <w:pPr>
        <w:ind w:left="540" w:right="60" w:hanging="534"/>
        <w:spacing w:after="0" w:line="301"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Any exclusion from or limitation of liability set out in this Agreement shall not apply so as to restrict either Party’s liability for death or personal injury resulting from that Party’s negligence (as defined in section 1 of the Unfair Contract Terms Act 1977) or for fraud.</w:t>
      </w:r>
    </w:p>
    <w:p>
      <w:pPr>
        <w:spacing w:after="0" w:line="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Neither Party shall in any circumstances howsoever arising be liable to the other or to any third party for (i) consequential loss or damage;</w:t>
      </w:r>
    </w:p>
    <w:p>
      <w:pPr>
        <w:spacing w:after="0" w:line="20" w:lineRule="exact"/>
        <w:rPr>
          <w:sz w:val="20"/>
          <w:szCs w:val="20"/>
          <w:color w:val="auto"/>
        </w:rPr>
      </w:pPr>
    </w:p>
    <w:p>
      <w:pPr>
        <w:ind w:left="540" w:firstLine="2"/>
        <w:spacing w:after="0" w:line="256" w:lineRule="auto"/>
        <w:tabs>
          <w:tab w:leader="none" w:pos="80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indirect loss or damage; (iii) incidental loss or damage; (iv) economic loss of any nature; (v) loss of income; (vi) loss of profits whether direct or indirect; (vii) loss of interest; (viii) loss of future business; (ix) loss of goodwill and (x) loss of sales or turnover.</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DHL’s liability in relation to any Shipment shall be limited in accordance with the Terms and Conditions.</w:t>
      </w:r>
    </w:p>
    <w:p>
      <w:pPr>
        <w:spacing w:after="0" w:line="127" w:lineRule="exact"/>
        <w:rPr>
          <w:sz w:val="20"/>
          <w:szCs w:val="20"/>
          <w:color w:val="auto"/>
        </w:rPr>
      </w:pPr>
    </w:p>
    <w:p>
      <w:pPr>
        <w:ind w:left="540" w:right="180" w:hanging="534"/>
        <w:spacing w:after="0" w:line="271" w:lineRule="auto"/>
        <w:tabs>
          <w:tab w:leader="none" w:pos="520" w:val="left"/>
        </w:tabs>
        <w:rPr>
          <w:sz w:val="20"/>
          <w:szCs w:val="20"/>
          <w:color w:val="auto"/>
        </w:rPr>
      </w:pPr>
      <w:r>
        <w:rPr>
          <w:rFonts w:ascii="Arial" w:cs="Arial" w:eastAsia="Arial" w:hAnsi="Arial"/>
          <w:sz w:val="18"/>
          <w:szCs w:val="18"/>
          <w:color w:val="auto"/>
        </w:rPr>
        <w:t>6.5.</w:t>
        <w:tab/>
        <w:t>The Shipper’s declaration of a Shipment shall not be deemed to be a declaration of interest for insurance purposes. DHL’s liability shall always be limited as set out under this Agreement.</w:t>
      </w:r>
    </w:p>
    <w:p>
      <w:pPr>
        <w:spacing w:after="0" w:line="81" w:lineRule="exact"/>
        <w:rPr>
          <w:sz w:val="20"/>
          <w:szCs w:val="20"/>
          <w:color w:val="auto"/>
        </w:rPr>
      </w:pPr>
    </w:p>
    <w:p>
      <w:pPr>
        <w:ind w:left="540" w:right="60" w:hanging="534"/>
        <w:spacing w:after="0" w:line="281" w:lineRule="auto"/>
        <w:tabs>
          <w:tab w:leader="none" w:pos="5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Where Global-e has authorized the use of its DHL account details by a third party, or where Global-e has failed on its commercially reasonable obligations to keep its account details secure resulting in the fraudulent use of the account by a third party, then Global-e shall be liable and shall indemnify DHL for all Charges incurred on Global-e’s account with regards to such fraudulent use.</w:t>
      </w:r>
    </w:p>
    <w:p>
      <w:pPr>
        <w:spacing w:after="0" w:line="76" w:lineRule="exact"/>
        <w:rPr>
          <w:sz w:val="20"/>
          <w:szCs w:val="20"/>
          <w:color w:val="auto"/>
        </w:rPr>
      </w:pPr>
    </w:p>
    <w:p>
      <w:pPr>
        <w:ind w:left="540" w:right="260" w:hanging="534"/>
        <w:spacing w:after="0" w:line="281" w:lineRule="auto"/>
        <w:tabs>
          <w:tab w:leader="none" w:pos="5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color w:val="auto"/>
        </w:rPr>
        <w:t>Global-e shall not be entitled to benefit from DHL’s money back guarantee (details as published at www.dhl.co.uk, as amended from time to time) unless Global-e can prove that it has received a genuine, valid and proven claim from a Shipper for such money back guarantee and that Global-e has complied in all respects with DHL’s claims procedure as set out in clause 6.8 below.</w:t>
      </w:r>
    </w:p>
    <w:p>
      <w:pPr>
        <w:sectPr>
          <w:pgSz w:w="11900" w:h="16838" w:orient="portrait"/>
          <w:cols w:equalWidth="0" w:num="1">
            <w:col w:w="10920"/>
          </w:cols>
          <w:pgMar w:left="480" w:top="272" w:right="499" w:bottom="1440" w:gutter="0" w:footer="0" w:header="0"/>
        </w:sectPr>
      </w:pPr>
    </w:p>
    <w:bookmarkStart w:id="413" w:name="page414"/>
    <w:bookmarkEnd w:id="413"/>
    <w:p>
      <w:pPr>
        <w:ind w:left="540" w:right="320" w:hanging="534"/>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6.8.</w:t>
        <w:tab/>
        <w:t>DHL shall have no liability to Global-e unless a genuine, valid and proven claim has been made by Global-e in line with the Terms and Conditions and Global-e shall comply with the claims procedure as published on DHL’s website at www.dhl.co.uk, as amended from time to time.</w:t>
      </w:r>
    </w:p>
    <w:p>
      <w:pPr>
        <w:spacing w:after="0" w:line="209" w:lineRule="exact"/>
        <w:rPr>
          <w:sz w:val="20"/>
          <w:szCs w:val="20"/>
          <w:color w:val="auto"/>
        </w:rPr>
      </w:pPr>
    </w:p>
    <w:p>
      <w:pPr>
        <w:ind w:left="440" w:hanging="433"/>
        <w:spacing w:after="0"/>
        <w:tabs>
          <w:tab w:leader="none" w:pos="44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GLOBAL-E</w:t>
      </w:r>
    </w:p>
    <w:p>
      <w:pPr>
        <w:spacing w:after="0" w:line="131" w:lineRule="exact"/>
        <w:rPr>
          <w:sz w:val="20"/>
          <w:szCs w:val="20"/>
          <w:color w:val="auto"/>
        </w:rPr>
      </w:pPr>
    </w:p>
    <w:p>
      <w:pPr>
        <w:ind w:left="540" w:right="180" w:hanging="534"/>
        <w:spacing w:after="0" w:line="271" w:lineRule="auto"/>
        <w:tabs>
          <w:tab w:leader="none" w:pos="520" w:val="left"/>
        </w:tabs>
        <w:rPr>
          <w:sz w:val="20"/>
          <w:szCs w:val="20"/>
          <w:color w:val="auto"/>
        </w:rPr>
      </w:pPr>
      <w:r>
        <w:rPr>
          <w:rFonts w:ascii="Arial" w:cs="Arial" w:eastAsia="Arial" w:hAnsi="Arial"/>
          <w:sz w:val="18"/>
          <w:szCs w:val="18"/>
          <w:color w:val="auto"/>
        </w:rPr>
        <w:t>7.1.</w:t>
        <w:tab/>
        <w:t>Global-e shall comply with and agree to be bound by, and warrants that, where applicable, the Shippers comply with and agree to be bound by the relevant terms of this Agreement.</w:t>
      </w:r>
    </w:p>
    <w:p>
      <w:pPr>
        <w:spacing w:after="0" w:line="81" w:lineRule="exact"/>
        <w:rPr>
          <w:sz w:val="20"/>
          <w:szCs w:val="20"/>
          <w:color w:val="auto"/>
        </w:rPr>
      </w:pPr>
    </w:p>
    <w:p>
      <w:pPr>
        <w:jc w:val="both"/>
        <w:ind w:left="540" w:right="160" w:hanging="534"/>
        <w:spacing w:after="0" w:line="259" w:lineRule="auto"/>
        <w:tabs>
          <w:tab w:leader="none" w:pos="520" w:val="left"/>
        </w:tabs>
        <w:rPr>
          <w:sz w:val="20"/>
          <w:szCs w:val="20"/>
          <w:color w:val="auto"/>
        </w:rPr>
      </w:pPr>
      <w:r>
        <w:rPr>
          <w:rFonts w:ascii="Arial" w:cs="Arial" w:eastAsia="Arial" w:hAnsi="Arial"/>
          <w:sz w:val="18"/>
          <w:szCs w:val="18"/>
          <w:color w:val="auto"/>
        </w:rPr>
        <w:t>7.2.</w:t>
        <w:tab/>
        <w:t>Global-e and its Shippers shall comply with DHL’s regulations regarding the carriage of dangerous and/or prohibited and/or restricted items as set out at www.dhl.co.uk. Global-e shall indemnify DHL for any loss, damage or expense suffered by DHL as a result of Global-e’s and/ or the Shipper’s failure to comply with these regulations.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Global-e warrants and undertakes that it will take commercially reasonable efforts to ensure that:</w:t>
      </w:r>
    </w:p>
    <w:p>
      <w:pPr>
        <w:spacing w:after="0" w:line="127" w:lineRule="exact"/>
        <w:rPr>
          <w:sz w:val="20"/>
          <w:szCs w:val="20"/>
          <w:color w:val="auto"/>
        </w:rPr>
      </w:pPr>
    </w:p>
    <w:p>
      <w:pPr>
        <w:ind w:left="1180" w:right="360" w:hanging="641"/>
        <w:spacing w:after="0" w:line="271" w:lineRule="auto"/>
        <w:tabs>
          <w:tab w:leader="none" w:pos="1160" w:val="left"/>
        </w:tabs>
        <w:rPr>
          <w:sz w:val="20"/>
          <w:szCs w:val="20"/>
          <w:color w:val="auto"/>
        </w:rPr>
      </w:pPr>
      <w:r>
        <w:rPr>
          <w:rFonts w:ascii="Arial" w:cs="Arial" w:eastAsia="Arial" w:hAnsi="Arial"/>
          <w:sz w:val="18"/>
          <w:szCs w:val="18"/>
          <w:color w:val="auto"/>
        </w:rPr>
        <w:t>7.3.1.</w:t>
        <w:tab/>
        <w:t>all Shipments are suitably packaged taking into account the content of the Shipment and the rigours of an automated transportation process;</w:t>
      </w:r>
    </w:p>
    <w:p>
      <w:pPr>
        <w:spacing w:after="0" w:line="81" w:lineRule="exact"/>
        <w:rPr>
          <w:sz w:val="20"/>
          <w:szCs w:val="20"/>
          <w:color w:val="auto"/>
        </w:rPr>
      </w:pPr>
    </w:p>
    <w:p>
      <w:pPr>
        <w:ind w:left="1180" w:right="240" w:hanging="641"/>
        <w:spacing w:after="0" w:line="259" w:lineRule="auto"/>
        <w:tabs>
          <w:tab w:leader="none" w:pos="1160" w:val="left"/>
        </w:tabs>
        <w:rPr>
          <w:sz w:val="20"/>
          <w:szCs w:val="20"/>
          <w:color w:val="auto"/>
        </w:rPr>
      </w:pPr>
      <w:r>
        <w:rPr>
          <w:rFonts w:ascii="Arial" w:cs="Arial" w:eastAsia="Arial" w:hAnsi="Arial"/>
          <w:sz w:val="18"/>
          <w:szCs w:val="18"/>
          <w:color w:val="auto"/>
        </w:rPr>
        <w:t>7.3.2.</w:t>
        <w:tab/>
        <w:t>all Shipments are correctly labelled. DHL, its servants or agents shall not in any circumstances be liable for any late delivery, mis-delivery or non-delivery caused by or contributed to by the deficient or ambiguous labelling or any other failure by the Shipper of its labelling obligations;</w:t>
      </w:r>
    </w:p>
    <w:p>
      <w:pPr>
        <w:spacing w:after="0" w:line="92" w:lineRule="exact"/>
        <w:rPr>
          <w:sz w:val="20"/>
          <w:szCs w:val="20"/>
          <w:color w:val="auto"/>
        </w:rPr>
      </w:pPr>
    </w:p>
    <w:p>
      <w:pPr>
        <w:ind w:left="1180" w:right="40" w:hanging="641"/>
        <w:spacing w:after="0" w:line="271" w:lineRule="auto"/>
        <w:tabs>
          <w:tab w:leader="none" w:pos="1160" w:val="left"/>
        </w:tabs>
        <w:rPr>
          <w:sz w:val="20"/>
          <w:szCs w:val="20"/>
          <w:color w:val="auto"/>
        </w:rPr>
      </w:pPr>
      <w:r>
        <w:rPr>
          <w:rFonts w:ascii="Arial" w:cs="Arial" w:eastAsia="Arial" w:hAnsi="Arial"/>
          <w:sz w:val="18"/>
          <w:szCs w:val="18"/>
          <w:color w:val="auto"/>
        </w:rPr>
        <w:t>7.3.3.</w:t>
        <w:tab/>
        <w:t>all data to be provided by it (including by electronic means) shall be accurate and complete and must be provided in a timely manner as required by DHL; and</w:t>
      </w:r>
    </w:p>
    <w:p>
      <w:pPr>
        <w:spacing w:after="0" w:line="81" w:lineRule="exact"/>
        <w:rPr>
          <w:sz w:val="20"/>
          <w:szCs w:val="20"/>
          <w:color w:val="auto"/>
        </w:rPr>
      </w:pPr>
    </w:p>
    <w:p>
      <w:pPr>
        <w:ind w:left="1180" w:hanging="641"/>
        <w:spacing w:after="0" w:line="271" w:lineRule="auto"/>
        <w:tabs>
          <w:tab w:leader="none" w:pos="1160" w:val="left"/>
        </w:tabs>
        <w:rPr>
          <w:sz w:val="20"/>
          <w:szCs w:val="20"/>
          <w:color w:val="auto"/>
        </w:rPr>
      </w:pPr>
      <w:r>
        <w:rPr>
          <w:rFonts w:ascii="Arial" w:cs="Arial" w:eastAsia="Arial" w:hAnsi="Arial"/>
          <w:sz w:val="18"/>
          <w:szCs w:val="18"/>
          <w:color w:val="auto"/>
        </w:rPr>
        <w:t>7.3.4.</w:t>
        <w:tab/>
        <w:t>prior to carriage, any important documents (including original documents) are copied; any electronic data is backed-up; and all personal data and confidential information is stored securely.</w:t>
      </w:r>
    </w:p>
    <w:p>
      <w:pPr>
        <w:spacing w:after="0" w:line="81" w:lineRule="exact"/>
        <w:rPr>
          <w:sz w:val="20"/>
          <w:szCs w:val="20"/>
          <w:color w:val="auto"/>
        </w:rPr>
      </w:pPr>
    </w:p>
    <w:p>
      <w:pPr>
        <w:ind w:left="540" w:hanging="534"/>
        <w:spacing w:after="0" w:line="271" w:lineRule="auto"/>
        <w:tabs>
          <w:tab w:leader="none" w:pos="520" w:val="left"/>
        </w:tabs>
        <w:rPr>
          <w:sz w:val="20"/>
          <w:szCs w:val="20"/>
          <w:color w:val="auto"/>
        </w:rPr>
      </w:pPr>
      <w:r>
        <w:rPr>
          <w:rFonts w:ascii="Arial" w:cs="Arial" w:eastAsia="Arial" w:hAnsi="Arial"/>
          <w:sz w:val="18"/>
          <w:szCs w:val="18"/>
          <w:color w:val="auto"/>
        </w:rPr>
        <w:t>7.4.</w:t>
        <w:tab/>
        <w:t>In the event of a breach of any of the obligations contained under this clause 7, DHL may refuse to carry Shipments and where loss of or damage occurs to the Shipment, then DHL’s liability as specified in this Agreement will be excluded.</w:t>
      </w:r>
    </w:p>
    <w:p>
      <w:pPr>
        <w:spacing w:after="0" w:line="81" w:lineRule="exact"/>
        <w:rPr>
          <w:sz w:val="20"/>
          <w:szCs w:val="20"/>
          <w:color w:val="auto"/>
        </w:rPr>
      </w:pPr>
    </w:p>
    <w:p>
      <w:pPr>
        <w:ind w:left="540" w:right="120" w:hanging="534"/>
        <w:spacing w:after="0" w:line="253" w:lineRule="auto"/>
        <w:tabs>
          <w:tab w:leader="none" w:pos="520" w:val="left"/>
        </w:tabs>
        <w:rPr>
          <w:sz w:val="20"/>
          <w:szCs w:val="20"/>
          <w:color w:val="auto"/>
        </w:rPr>
      </w:pPr>
      <w:r>
        <w:rPr>
          <w:rFonts w:ascii="Arial" w:cs="Arial" w:eastAsia="Arial" w:hAnsi="Arial"/>
          <w:sz w:val="18"/>
          <w:szCs w:val="18"/>
          <w:color w:val="auto"/>
        </w:rPr>
        <w:t>7.5.</w:t>
        <w:tab/>
        <w:t xml:space="preserve">Global-e shall for all purposes be treated by DHL as sole beneficial owner of the Shipment. If the receiver of the Shipment or any other third party makes any claims for loss, damage or for any other liability, or makes any attempt to recover any costs or expenses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against DHL, its agents or sub-contractors, then subject to clause 6.2, Global-e shall indemnify DHL, its agents and sub-contractors against any such Claim where DHL has already paid Global-e the limits set out in paragraph 6 of the Terms and Conditions or where DHL’s liability exceeds the limits set out in paragraph 6.</w:t>
      </w:r>
    </w:p>
    <w:p>
      <w:pPr>
        <w:spacing w:after="0" w:line="99" w:lineRule="exact"/>
        <w:rPr>
          <w:sz w:val="20"/>
          <w:szCs w:val="20"/>
          <w:color w:val="auto"/>
        </w:rPr>
      </w:pPr>
    </w:p>
    <w:p>
      <w:pPr>
        <w:ind w:left="540" w:right="360" w:hanging="534"/>
        <w:spacing w:after="0" w:line="301" w:lineRule="auto"/>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Global-e shall fully indemnify and hold DHL harmless for any direct costs, expenses, claims, loss or damage suffered by DHL as a result of Global-e’s or the Shipper’s failure to comply with any of the provisions contained in clauses 7.2, 7.3 and 7.5 above.</w:t>
      </w:r>
    </w:p>
    <w:p>
      <w:pPr>
        <w:spacing w:after="0" w:line="58" w:lineRule="exact"/>
        <w:rPr>
          <w:sz w:val="20"/>
          <w:szCs w:val="20"/>
          <w:color w:val="auto"/>
        </w:rPr>
      </w:pPr>
    </w:p>
    <w:p>
      <w:pPr>
        <w:ind w:left="540" w:right="100" w:hanging="534"/>
        <w:spacing w:after="0" w:line="259" w:lineRule="auto"/>
        <w:tabs>
          <w:tab w:leader="none" w:pos="520" w:val="left"/>
        </w:tabs>
        <w:rPr>
          <w:sz w:val="20"/>
          <w:szCs w:val="20"/>
          <w:color w:val="auto"/>
        </w:rPr>
      </w:pPr>
      <w:r>
        <w:rPr>
          <w:rFonts w:ascii="Arial" w:cs="Arial" w:eastAsia="Arial" w:hAnsi="Arial"/>
          <w:sz w:val="18"/>
          <w:szCs w:val="18"/>
          <w:color w:val="auto"/>
        </w:rPr>
        <w:t>7.7.</w:t>
        <w:tab/>
        <w:t>Global-e agrees that DHL shall be entitled to deliver Shipments shipped by Global-e to a third party provided that the addressee on the label (or such person’s agent) has provided authority to DHL to deliver the Shipment to any such third party. DHL shall not have any liability in connection with the Shipment arising from the acts or omissions of such third party.</w:t>
      </w:r>
    </w:p>
    <w:p>
      <w:pPr>
        <w:spacing w:after="0" w:line="209" w:lineRule="exact"/>
        <w:rPr>
          <w:sz w:val="20"/>
          <w:szCs w:val="20"/>
          <w:color w:val="auto"/>
        </w:rPr>
      </w:pPr>
    </w:p>
    <w:p>
      <w:pPr>
        <w:ind w:left="440" w:hanging="433"/>
        <w:spacing w:after="0"/>
        <w:tabs>
          <w:tab w:leader="none" w:pos="4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31" w:lineRule="exact"/>
        <w:rPr>
          <w:sz w:val="20"/>
          <w:szCs w:val="20"/>
          <w:color w:val="auto"/>
        </w:rPr>
      </w:pPr>
    </w:p>
    <w:p>
      <w:pPr>
        <w:jc w:val="both"/>
        <w:ind w:left="540" w:hanging="534"/>
        <w:spacing w:after="0" w:line="272"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Subject to the terms of this Agreement, DHL hereby grants Global-e a limited non-exclusive, revocable licence to use the intellectual property of DHL including the DHL logo and promotional material prepared by DHL to promote the Services (as amended from time to time)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Marketing</w:t>
      </w:r>
      <w:r>
        <w:rPr>
          <w:rFonts w:ascii="Arial" w:cs="Arial" w:eastAsia="Arial" w:hAnsi="Arial"/>
          <w:sz w:val="17"/>
          <w:szCs w:val="17"/>
          <w:color w:val="auto"/>
        </w:rPr>
        <w:t xml:space="preserve"> </w:t>
      </w:r>
      <w:r>
        <w:rPr>
          <w:rFonts w:ascii="Arial" w:cs="Arial" w:eastAsia="Arial" w:hAnsi="Arial"/>
          <w:sz w:val="17"/>
          <w:szCs w:val="17"/>
          <w:b w:val="1"/>
          <w:bCs w:val="1"/>
          <w:color w:val="auto"/>
        </w:rPr>
        <w:t>Collateral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term of this Agreement only, provided always that Global-e shall comply with such written instructions or directions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given by DHL from time to time as to the manner and context in which such Marketing Collateral may be used by Global-e including but not limited to use of the Marketing Collateral on Global-e’s website.</w:t>
      </w:r>
    </w:p>
    <w:p>
      <w:pPr>
        <w:sectPr>
          <w:pgSz w:w="11900" w:h="16838" w:orient="portrait"/>
          <w:cols w:equalWidth="0" w:num="1">
            <w:col w:w="10880"/>
          </w:cols>
          <w:pgMar w:left="480" w:top="272" w:right="539" w:bottom="1440" w:gutter="0" w:footer="0" w:header="0"/>
        </w:sectPr>
      </w:pPr>
    </w:p>
    <w:bookmarkStart w:id="414" w:name="page415"/>
    <w:bookmarkEnd w:id="41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Global-e shall not</w:t>
      </w:r>
    </w:p>
    <w:p>
      <w:pPr>
        <w:spacing w:after="0" w:line="127"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remove any DHL copyright or trade mark statements appearing on any Marketing Collateral;</w:t>
      </w:r>
    </w:p>
    <w:p>
      <w:pPr>
        <w:spacing w:after="0" w:line="127" w:lineRule="exact"/>
        <w:rPr>
          <w:sz w:val="20"/>
          <w:szCs w:val="20"/>
          <w:color w:val="auto"/>
        </w:rPr>
      </w:pPr>
    </w:p>
    <w:p>
      <w:pPr>
        <w:ind w:left="1180" w:right="120" w:hanging="641"/>
        <w:spacing w:after="0" w:line="259" w:lineRule="auto"/>
        <w:tabs>
          <w:tab w:leader="none" w:pos="1160" w:val="left"/>
        </w:tabs>
        <w:rPr>
          <w:sz w:val="20"/>
          <w:szCs w:val="20"/>
          <w:color w:val="auto"/>
        </w:rPr>
      </w:pPr>
      <w:r>
        <w:rPr>
          <w:rFonts w:ascii="Arial" w:cs="Arial" w:eastAsia="Arial" w:hAnsi="Arial"/>
          <w:sz w:val="18"/>
          <w:szCs w:val="18"/>
          <w:color w:val="auto"/>
        </w:rPr>
        <w:t>8.2.2.</w:t>
        <w:tab/>
        <w:t>bid on any brand key words utilised by DHL in internet search engines including but not limited to DHL, DHL Express, DHL it now and DHL International. For the avoidance of doubt, Global-e shall not be prohibited from bidding for brand key words associated with the courier services industry which do not contain the word ‘DHL’; or</w:t>
      </w:r>
    </w:p>
    <w:p>
      <w:pPr>
        <w:spacing w:after="0" w:line="9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Global-e shall be prohibited from utilising the word DHL’ from any part of its URL structure.</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If Global-e is in breach of clause 8.1 or 8.2 above, DHL shall be entitled to terminate the Agreement subject to clause 2.3.</w:t>
      </w:r>
    </w:p>
    <w:p>
      <w:pPr>
        <w:spacing w:after="0" w:line="127" w:lineRule="exact"/>
        <w:rPr>
          <w:sz w:val="20"/>
          <w:szCs w:val="20"/>
          <w:color w:val="auto"/>
        </w:rPr>
      </w:pPr>
    </w:p>
    <w:p>
      <w:pPr>
        <w:ind w:left="540" w:right="680" w:hanging="534"/>
        <w:spacing w:after="0" w:line="271" w:lineRule="auto"/>
        <w:tabs>
          <w:tab w:leader="none" w:pos="520" w:val="left"/>
        </w:tabs>
        <w:rPr>
          <w:sz w:val="20"/>
          <w:szCs w:val="20"/>
          <w:color w:val="auto"/>
        </w:rPr>
      </w:pPr>
      <w:r>
        <w:rPr>
          <w:rFonts w:ascii="Arial" w:cs="Arial" w:eastAsia="Arial" w:hAnsi="Arial"/>
          <w:sz w:val="18"/>
          <w:szCs w:val="18"/>
          <w:color w:val="auto"/>
        </w:rPr>
        <w:t>8.4.</w:t>
        <w:tab/>
        <w:t>Global-e shall notify DHL as soon as it becomes aware of any infringement or attempted infringement of DHL’s intellectual property or Marketing Collateral.</w:t>
      </w:r>
    </w:p>
    <w:p>
      <w:pPr>
        <w:spacing w:after="0" w:line="81" w:lineRule="exact"/>
        <w:rPr>
          <w:sz w:val="20"/>
          <w:szCs w:val="20"/>
          <w:color w:val="auto"/>
        </w:rPr>
      </w:pPr>
    </w:p>
    <w:p>
      <w:pPr>
        <w:ind w:left="540" w:right="520" w:hanging="534"/>
        <w:spacing w:after="0" w:line="271" w:lineRule="auto"/>
        <w:tabs>
          <w:tab w:leader="none" w:pos="520" w:val="left"/>
        </w:tabs>
        <w:rPr>
          <w:sz w:val="20"/>
          <w:szCs w:val="20"/>
          <w:color w:val="auto"/>
        </w:rPr>
      </w:pPr>
      <w:r>
        <w:rPr>
          <w:rFonts w:ascii="Arial" w:cs="Arial" w:eastAsia="Arial" w:hAnsi="Arial"/>
          <w:sz w:val="18"/>
          <w:szCs w:val="18"/>
          <w:color w:val="auto"/>
        </w:rPr>
        <w:t>8.5.</w:t>
        <w:tab/>
        <w:t>At the termination of this Agreement, Global-e shall immediately cease using any intellectual property and Marketing Collateral and shall remove any reference to DHL from any of its media.</w:t>
      </w:r>
    </w:p>
    <w:p>
      <w:pPr>
        <w:spacing w:after="0" w:line="318" w:lineRule="exact"/>
        <w:rPr>
          <w:sz w:val="20"/>
          <w:szCs w:val="20"/>
          <w:color w:val="auto"/>
        </w:rPr>
      </w:pPr>
    </w:p>
    <w:p>
      <w:pPr>
        <w:ind w:left="440" w:hanging="433"/>
        <w:spacing w:after="0"/>
        <w:tabs>
          <w:tab w:leader="none" w:pos="44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TUPE</w:t>
      </w:r>
    </w:p>
    <w:p>
      <w:pPr>
        <w:spacing w:after="0" w:line="127" w:lineRule="exact"/>
        <w:rPr>
          <w:sz w:val="20"/>
          <w:szCs w:val="20"/>
          <w:color w:val="auto"/>
        </w:rPr>
      </w:pPr>
    </w:p>
    <w:p>
      <w:pPr>
        <w:ind w:left="540" w:hanging="534"/>
        <w:spacing w:after="0" w:line="268"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 xml:space="preserve">The Parties do not intend the Transfer of Undertakings (Protection of Employment) Regulations 2006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TUPE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to apply to the provision of services. In the event that TUPE does or is alleged to apply to the provision of DHL Services, each Party shall indemnify the other Party against all direct losses, redundancy costs (including, without limitation, contractual and statutory redundancy payments and payments in lieu of notice), liabilities, damages, compensation, claims, costs and expenses including redundancy costs, fines, penalties, legal and other professional fees and expenses </w:t>
      </w:r>
      <w:r>
        <w:rPr>
          <w:rFonts w:ascii="Arial" w:cs="Arial" w:eastAsia="Arial" w:hAnsi="Arial"/>
          <w:sz w:val="17"/>
          <w:szCs w:val="17"/>
          <w:b w:val="1"/>
          <w:bCs w:val="1"/>
          <w:color w:val="auto"/>
        </w:rPr>
        <w:t>(“Losses”)</w:t>
      </w:r>
      <w:r>
        <w:rPr>
          <w:rFonts w:ascii="Arial" w:cs="Arial" w:eastAsia="Arial" w:hAnsi="Arial"/>
          <w:sz w:val="17"/>
          <w:szCs w:val="17"/>
          <w:color w:val="auto"/>
        </w:rPr>
        <w:t xml:space="preserve"> which such Party may suffer or incur on account of or arising from any claim or allegation by any employee representative or any person who is or was employed or engaged by the Party (including without limitation all Losses which the other Party may suffer or incur arising from the employment and/or termination of employment of any person whose contract of employment transfers or is alleged to transfer to the other Party under TUPE).</w:t>
      </w:r>
    </w:p>
    <w:p>
      <w:pPr>
        <w:spacing w:after="0" w:line="327" w:lineRule="exact"/>
        <w:rPr>
          <w:sz w:val="20"/>
          <w:szCs w:val="20"/>
          <w:color w:val="auto"/>
        </w:rPr>
      </w:pPr>
    </w:p>
    <w:p>
      <w:pPr>
        <w:ind w:left="440" w:hanging="433"/>
        <w:spacing w:after="0"/>
        <w:tabs>
          <w:tab w:leader="none" w:pos="44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31" w:lineRule="exact"/>
        <w:rPr>
          <w:sz w:val="20"/>
          <w:szCs w:val="20"/>
          <w:color w:val="auto"/>
        </w:rPr>
      </w:pPr>
    </w:p>
    <w:p>
      <w:pPr>
        <w:ind w:left="540" w:right="160" w:hanging="534"/>
        <w:spacing w:after="0" w:line="335"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Subject to the terms of this Agreement, no term of this Agreement shall be enforceable by any third party (being any person other than DHL or Global-e and their permitted successors and assignees) whether pursuant to the Contracts (Rights of Third Parties) Act 1999 or otherwise.</w:t>
      </w:r>
    </w:p>
    <w:p>
      <w:pPr>
        <w:spacing w:after="0" w:line="271" w:lineRule="exact"/>
        <w:rPr>
          <w:sz w:val="20"/>
          <w:szCs w:val="20"/>
          <w:color w:val="auto"/>
        </w:rPr>
      </w:pPr>
    </w:p>
    <w:p>
      <w:pPr>
        <w:ind w:left="440" w:hanging="433"/>
        <w:spacing w:after="0"/>
        <w:tabs>
          <w:tab w:leader="none" w:pos="4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540" w:right="140" w:hanging="534"/>
        <w:spacing w:after="0" w:line="307"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All notices sent under this Agreement shall be in writing and shall be sent to the address of the recipient set out in this Agreement or such other address in England as the recipient may designate and shall be delivered personally or sent by pre-paid first class post. A notice is deemed to have been received if delivered personally, at the time of delivery, or in the case of pre-paid first class post, 72 hours after posting.</w:t>
      </w:r>
    </w:p>
    <w:p>
      <w:pPr>
        <w:spacing w:after="0" w:line="293" w:lineRule="exact"/>
        <w:rPr>
          <w:sz w:val="20"/>
          <w:szCs w:val="20"/>
          <w:color w:val="auto"/>
        </w:rPr>
      </w:pPr>
    </w:p>
    <w:p>
      <w:pPr>
        <w:ind w:left="440" w:hanging="433"/>
        <w:spacing w:after="0"/>
        <w:tabs>
          <w:tab w:leader="none" w:pos="44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ANNOUNCEMENTS</w:t>
      </w:r>
    </w:p>
    <w:p>
      <w:pPr>
        <w:spacing w:after="0" w:line="131" w:lineRule="exact"/>
        <w:rPr>
          <w:sz w:val="20"/>
          <w:szCs w:val="20"/>
          <w:color w:val="auto"/>
        </w:rPr>
      </w:pPr>
    </w:p>
    <w:p>
      <w:pPr>
        <w:ind w:left="540" w:right="160" w:hanging="534"/>
        <w:spacing w:after="0" w:line="255" w:lineRule="auto"/>
        <w:tabs>
          <w:tab w:leader="none" w:pos="520" w:val="left"/>
        </w:tabs>
        <w:rPr>
          <w:sz w:val="20"/>
          <w:szCs w:val="20"/>
          <w:color w:val="auto"/>
        </w:rPr>
      </w:pPr>
      <w:r>
        <w:rPr>
          <w:rFonts w:ascii="Arial" w:cs="Arial" w:eastAsia="Arial" w:hAnsi="Arial"/>
          <w:sz w:val="18"/>
          <w:szCs w:val="18"/>
          <w:color w:val="auto"/>
        </w:rPr>
        <w:t>12.1.</w:t>
        <w:tab/>
        <w:t>Each Party undertakes that for the term of this Agreement and for a period of two years after the termination of this Agreement, it shall not and shall use all reasonable endeavours to procure that its officers, employees, sub-contractors, representatives and agents shall not disclose to any person or use (i) any information (including but not limited to tracking data and any pricing information) supplied by either Party to the other relating to this Agreement and the DHL Services to be provided</w:t>
      </w:r>
    </w:p>
    <w:p>
      <w:pPr>
        <w:sectPr>
          <w:pgSz w:w="11900" w:h="16838" w:orient="portrait"/>
          <w:cols w:equalWidth="0" w:num="1">
            <w:col w:w="10900"/>
          </w:cols>
          <w:pgMar w:left="480" w:top="272" w:right="519" w:bottom="1440" w:gutter="0" w:footer="0" w:header="0"/>
        </w:sectPr>
      </w:pPr>
    </w:p>
    <w:bookmarkStart w:id="415" w:name="page416"/>
    <w:bookmarkEnd w:id="415"/>
    <w:p>
      <w:pPr>
        <w:ind w:left="533"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hereunder and/or the negotiations relating to this Agreement and/or relating to the business and affairs of the Parties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Confidential Information shall not include any information already in the public domain or available to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than as a result of negotiating and entering into this Agreement or providing the DHL Services (provided that such information is not available to the other Party or in the public domain as a result of a breach by that Party of any other obligation of confidentiality); and (ii) Confidential Information other than for the purpose of performance of its obligations under this Agreement.</w:t>
      </w:r>
    </w:p>
    <w:p>
      <w:pPr>
        <w:spacing w:after="0" w:line="83" w:lineRule="exact"/>
        <w:rPr>
          <w:sz w:val="20"/>
          <w:szCs w:val="20"/>
          <w:color w:val="auto"/>
        </w:rPr>
      </w:pPr>
    </w:p>
    <w:p>
      <w:pPr>
        <w:ind w:left="533" w:right="140" w:hanging="534"/>
        <w:spacing w:after="0" w:line="275" w:lineRule="auto"/>
        <w:tabs>
          <w:tab w:leader="none" w:pos="51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The Parties hereby agree that clause 12.1 shall not prevent disclosure by either Party of any Confidential Information (i) as required by law or any regulatory authority provided that the disclosing party shall, so far as practicable, first consult with the non-disclosing Party regarding such disclosure; (ii) to its professional advisors; (iii) to any of its officers employees, sub- contractors, representatives or agents for the purposes of performing its obligations under this Agreement; and (iv) with the prior written consent of the other Party.</w:t>
      </w:r>
    </w:p>
    <w:p>
      <w:pPr>
        <w:spacing w:after="0" w:line="80" w:lineRule="exact"/>
        <w:rPr>
          <w:sz w:val="20"/>
          <w:szCs w:val="20"/>
          <w:color w:val="auto"/>
        </w:rPr>
      </w:pPr>
    </w:p>
    <w:p>
      <w:pPr>
        <w:ind w:left="533" w:right="40" w:hanging="534"/>
        <w:spacing w:after="0" w:line="255" w:lineRule="auto"/>
        <w:tabs>
          <w:tab w:leader="none" w:pos="512" w:val="left"/>
        </w:tabs>
        <w:rPr>
          <w:sz w:val="20"/>
          <w:szCs w:val="20"/>
          <w:color w:val="auto"/>
        </w:rPr>
      </w:pPr>
      <w:r>
        <w:rPr>
          <w:rFonts w:ascii="Arial" w:cs="Arial" w:eastAsia="Arial" w:hAnsi="Arial"/>
          <w:sz w:val="18"/>
          <w:szCs w:val="18"/>
          <w:color w:val="auto"/>
        </w:rPr>
        <w:t>12.3.</w:t>
        <w:tab/>
        <w:t>Without prejudice to clauses 12.1 and 12.2 above, no announcement, communication or publicity of any kind relating to the terms of this Agreement shall be made or issued, by either Party to this Agreement without the prior written consent of the other Party (such consent not to be unreasonably withheld or delayed), provided always that the prohibition in this clause shall not prevent DHL undertaking any actions which are necessary for, or incidental to, the performance of the DHL Services.</w:t>
      </w:r>
    </w:p>
    <w:p>
      <w:pPr>
        <w:spacing w:after="0" w:line="333" w:lineRule="exact"/>
        <w:rPr>
          <w:sz w:val="20"/>
          <w:szCs w:val="20"/>
          <w:color w:val="auto"/>
        </w:rPr>
      </w:pPr>
    </w:p>
    <w:p>
      <w:pPr>
        <w:ind w:left="433" w:hanging="433"/>
        <w:spacing w:after="0"/>
        <w:tabs>
          <w:tab w:leader="none" w:pos="433"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1" w:lineRule="exact"/>
        <w:rPr>
          <w:sz w:val="20"/>
          <w:szCs w:val="20"/>
          <w:color w:val="auto"/>
        </w:rPr>
      </w:pPr>
    </w:p>
    <w:p>
      <w:pPr>
        <w:jc w:val="both"/>
        <w:ind w:left="533" w:hanging="534"/>
        <w:spacing w:after="0" w:line="259" w:lineRule="auto"/>
        <w:tabs>
          <w:tab w:leader="none" w:pos="512" w:val="left"/>
        </w:tabs>
        <w:rPr>
          <w:sz w:val="20"/>
          <w:szCs w:val="20"/>
          <w:color w:val="auto"/>
        </w:rPr>
      </w:pPr>
      <w:r>
        <w:rPr>
          <w:rFonts w:ascii="Arial" w:cs="Arial" w:eastAsia="Arial" w:hAnsi="Arial"/>
          <w:sz w:val="18"/>
          <w:szCs w:val="18"/>
          <w:color w:val="auto"/>
        </w:rPr>
        <w:t>13.1.</w:t>
        <w:tab/>
        <w:t>All personal data provided to DHL under this Agreement will be held and processed by DHL its servants, agents and where applicable carefully selected third party companies and shall be used fairly, in confidence and solely for the purposes of providing the DHL Services. DHL shall keep such personal data secure and shall comply with the Data Protection Act 2018.</w:t>
      </w:r>
    </w:p>
    <w:p>
      <w:pPr>
        <w:spacing w:after="0" w:line="92" w:lineRule="exact"/>
        <w:rPr>
          <w:sz w:val="20"/>
          <w:szCs w:val="20"/>
          <w:color w:val="auto"/>
        </w:rPr>
      </w:pPr>
    </w:p>
    <w:p>
      <w:pPr>
        <w:ind w:left="533" w:right="40" w:hanging="534"/>
        <w:spacing w:after="0" w:line="259" w:lineRule="auto"/>
        <w:tabs>
          <w:tab w:leader="none" w:pos="512" w:val="left"/>
        </w:tabs>
        <w:rPr>
          <w:sz w:val="20"/>
          <w:szCs w:val="20"/>
          <w:color w:val="auto"/>
        </w:rPr>
      </w:pPr>
      <w:r>
        <w:rPr>
          <w:rFonts w:ascii="Arial" w:cs="Arial" w:eastAsia="Arial" w:hAnsi="Arial"/>
          <w:sz w:val="18"/>
          <w:szCs w:val="18"/>
          <w:color w:val="auto"/>
        </w:rPr>
        <w:t>13.2.</w:t>
        <w:tab/>
        <w:t>Global-e warrants that all personal data provided to DHL has been fairly and lawfully obtained and Global-e has authority to disclose such personal data to DHL and for DHL to lawfully process it. Global-e shall fully indemnify and holds harmless DHL for any costs, expenses, losses or damage howsoever arising out of its failure to comply with this warranty.</w:t>
      </w:r>
    </w:p>
    <w:p>
      <w:pPr>
        <w:spacing w:after="0" w:line="92" w:lineRule="exact"/>
        <w:rPr>
          <w:sz w:val="20"/>
          <w:szCs w:val="20"/>
          <w:color w:val="auto"/>
        </w:rPr>
      </w:pPr>
    </w:p>
    <w:p>
      <w:pPr>
        <w:ind w:left="533" w:right="380" w:hanging="534"/>
        <w:spacing w:after="0" w:line="335" w:lineRule="auto"/>
        <w:tabs>
          <w:tab w:leader="none" w:pos="51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terms “controller”, “Personal Data”, “processor”, “data subject” and other terms relating to the processing of personal data used but not defined herein shall have the meaning assigned to them in the General Data Protection Regulation (GDPR) (Regulation (EU) 2016/679).</w:t>
      </w:r>
    </w:p>
    <w:p>
      <w:pPr>
        <w:spacing w:after="0" w:line="35" w:lineRule="exact"/>
        <w:rPr>
          <w:sz w:val="20"/>
          <w:szCs w:val="20"/>
          <w:color w:val="auto"/>
        </w:rPr>
      </w:pPr>
    </w:p>
    <w:p>
      <w:pPr>
        <w:jc w:val="both"/>
        <w:ind w:left="533" w:right="80" w:hanging="534"/>
        <w:spacing w:after="0" w:line="259" w:lineRule="auto"/>
        <w:tabs>
          <w:tab w:leader="none" w:pos="512" w:val="left"/>
        </w:tabs>
        <w:rPr>
          <w:sz w:val="20"/>
          <w:szCs w:val="20"/>
          <w:color w:val="auto"/>
        </w:rPr>
      </w:pPr>
      <w:r>
        <w:rPr>
          <w:rFonts w:ascii="Arial" w:cs="Arial" w:eastAsia="Arial" w:hAnsi="Arial"/>
          <w:sz w:val="18"/>
          <w:szCs w:val="18"/>
          <w:color w:val="auto"/>
        </w:rPr>
        <w:t>13.4.</w:t>
        <w:tab/>
        <w:t>Both Parties undertake to comply with the applicable data protection laws, regulations and standards. Where applicable and legally required, the Parties will conclude a Controller-Processor Agreement if during the course of this Agreement personal data are collected , stored, processed or otherwise used on behalf of the data controller.</w:t>
      </w:r>
    </w:p>
    <w:p>
      <w:pPr>
        <w:spacing w:after="0" w:line="92" w:lineRule="exact"/>
        <w:rPr>
          <w:sz w:val="20"/>
          <w:szCs w:val="20"/>
          <w:color w:val="auto"/>
        </w:rPr>
      </w:pPr>
    </w:p>
    <w:p>
      <w:pPr>
        <w:ind w:left="533" w:right="380" w:hanging="534"/>
        <w:spacing w:after="0" w:line="259" w:lineRule="auto"/>
        <w:tabs>
          <w:tab w:leader="none" w:pos="512" w:val="left"/>
        </w:tabs>
        <w:rPr>
          <w:sz w:val="20"/>
          <w:szCs w:val="20"/>
          <w:color w:val="auto"/>
        </w:rPr>
      </w:pPr>
      <w:r>
        <w:rPr>
          <w:rFonts w:ascii="Arial" w:cs="Arial" w:eastAsia="Arial" w:hAnsi="Arial"/>
          <w:sz w:val="18"/>
          <w:szCs w:val="18"/>
          <w:color w:val="auto"/>
        </w:rPr>
        <w:t>13.5.</w:t>
        <w:tab/>
        <w:t>DHL shall in particular oblige its employees in writing not to disclose to anyone any personal data and other information they receive in the course of or in connection with their work for Global-e and not to collect, process or otherwise use such data and information without authorization.</w:t>
      </w:r>
    </w:p>
    <w:p>
      <w:pPr>
        <w:spacing w:after="0" w:line="92" w:lineRule="exact"/>
        <w:rPr>
          <w:sz w:val="20"/>
          <w:szCs w:val="20"/>
          <w:color w:val="auto"/>
        </w:rPr>
      </w:pPr>
    </w:p>
    <w:p>
      <w:pPr>
        <w:ind w:left="533" w:right="300" w:hanging="534"/>
        <w:spacing w:after="0" w:line="255" w:lineRule="auto"/>
        <w:tabs>
          <w:tab w:leader="none" w:pos="512" w:val="left"/>
        </w:tabs>
        <w:rPr>
          <w:sz w:val="20"/>
          <w:szCs w:val="20"/>
          <w:color w:val="auto"/>
        </w:rPr>
      </w:pPr>
      <w:r>
        <w:rPr>
          <w:rFonts w:ascii="Arial" w:cs="Arial" w:eastAsia="Arial" w:hAnsi="Arial"/>
          <w:sz w:val="18"/>
          <w:szCs w:val="18"/>
          <w:color w:val="auto"/>
        </w:rPr>
        <w:t>13.6.</w:t>
        <w:tab/>
        <w:t>DHL shall implement appropriate technical and organizational security measures, i.e. measures protecting personal data against accidental or unlawful destruction or accidental loss, alteration , unauthorized disclosure or access, in particular but not limited to where the processing involves the transmission of data over a network, and against all other unlawful or unauthorized forms of processing, before and at all times during the processing of personal data.</w:t>
      </w:r>
    </w:p>
    <w:p>
      <w:pPr>
        <w:spacing w:after="0" w:line="97" w:lineRule="exact"/>
        <w:rPr>
          <w:sz w:val="20"/>
          <w:szCs w:val="20"/>
          <w:color w:val="auto"/>
        </w:rPr>
      </w:pPr>
    </w:p>
    <w:p>
      <w:pPr>
        <w:ind w:left="533" w:right="140" w:hanging="534"/>
        <w:spacing w:after="0" w:line="281" w:lineRule="auto"/>
        <w:tabs>
          <w:tab w:leader="none" w:pos="51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DHL shall immediately notify Global-e in case where any, including but not limited to, accidental or deliberate alteration, loss or destruction of personal data or any unlawful or unauthorized processing of or access to personal data is detected; and shall immediately notify Global-e if it discovers an actual or possible security breach (including the possibility of such a breach) of DHL’s IT systems.</w:t>
      </w:r>
    </w:p>
    <w:p>
      <w:pPr>
        <w:sectPr>
          <w:pgSz w:w="11900" w:h="16838" w:orient="portrait"/>
          <w:cols w:equalWidth="0" w:num="1">
            <w:col w:w="10893"/>
          </w:cols>
          <w:pgMar w:left="487" w:top="268" w:right="519" w:bottom="1440" w:gutter="0" w:footer="0" w:header="0"/>
        </w:sectPr>
      </w:pPr>
    </w:p>
    <w:bookmarkStart w:id="416" w:name="page417"/>
    <w:bookmarkEnd w:id="41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13.8.</w:t>
      </w:r>
      <w:r>
        <w:rPr>
          <w:sz w:val="20"/>
          <w:szCs w:val="20"/>
          <w:color w:val="auto"/>
        </w:rPr>
        <w:tab/>
      </w:r>
      <w:r>
        <w:rPr>
          <w:rFonts w:ascii="Arial" w:cs="Arial" w:eastAsia="Arial" w:hAnsi="Arial"/>
          <w:sz w:val="16"/>
          <w:szCs w:val="16"/>
          <w:color w:val="auto"/>
        </w:rPr>
        <w:t>DHL shall process the Personal Data only for performing the DHL Services and for no other purpose;</w:t>
      </w:r>
    </w:p>
    <w:p>
      <w:pPr>
        <w:spacing w:after="0" w:line="127" w:lineRule="exact"/>
        <w:rPr>
          <w:sz w:val="20"/>
          <w:szCs w:val="20"/>
          <w:color w:val="auto"/>
        </w:rPr>
      </w:pPr>
    </w:p>
    <w:p>
      <w:pPr>
        <w:ind w:left="540" w:right="80" w:hanging="534"/>
        <w:spacing w:after="0" w:line="301" w:lineRule="auto"/>
        <w:tabs>
          <w:tab w:leader="none" w:pos="5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DHL shall be prohibited from storing, processing or using the data that becomes known to it except for the contractually agreed purpose. It shall not be permitted to pass on data to third parties not involved in the transport of the shipment, except when legally obliged.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13.10. Data Protection obligations continue to apply even after the end of the contractual relationship in accordance with applicable law.</w:t>
      </w:r>
    </w:p>
    <w:p>
      <w:pPr>
        <w:spacing w:after="0" w:line="364" w:lineRule="exact"/>
        <w:rPr>
          <w:sz w:val="20"/>
          <w:szCs w:val="20"/>
          <w:color w:val="auto"/>
        </w:rPr>
      </w:pPr>
    </w:p>
    <w:p>
      <w:pPr>
        <w:ind w:left="440" w:hanging="433"/>
        <w:spacing w:after="0"/>
        <w:tabs>
          <w:tab w:leader="none" w:pos="4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1" w:lineRule="exact"/>
        <w:rPr>
          <w:sz w:val="20"/>
          <w:szCs w:val="20"/>
          <w:color w:val="auto"/>
        </w:rPr>
      </w:pPr>
    </w:p>
    <w:p>
      <w:pPr>
        <w:ind w:left="540" w:right="20" w:hanging="534"/>
        <w:spacing w:after="0" w:line="293" w:lineRule="auto"/>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In the event of a dispute arising under this Agreement, the Parties shall use their best commercial efforts to negotiate and settle amicably such dispute. The Parties agree in the first instance to refer any dispute to their respective account managers. Should the account managers fail to reach resolution within 10 working days of referral of the dispute, then the dispute shall be referred to the immediate line manager of the respective account managers for resolution. Should the immediate line managers be unsuccessful in resolving the dispute within 10 working days of the dispute being referred to them for resolution, then the dispute shall be referred to the appropriate senior managers of the Parties.</w:t>
      </w:r>
    </w:p>
    <w:p>
      <w:pPr>
        <w:spacing w:after="0" w:line="67" w:lineRule="exact"/>
        <w:rPr>
          <w:sz w:val="20"/>
          <w:szCs w:val="20"/>
          <w:color w:val="auto"/>
        </w:rPr>
      </w:pPr>
    </w:p>
    <w:p>
      <w:pPr>
        <w:ind w:left="540" w:right="120" w:hanging="534"/>
        <w:spacing w:after="0" w:line="271" w:lineRule="auto"/>
        <w:tabs>
          <w:tab w:leader="none" w:pos="520" w:val="left"/>
        </w:tabs>
        <w:rPr>
          <w:sz w:val="20"/>
          <w:szCs w:val="20"/>
          <w:color w:val="auto"/>
        </w:rPr>
      </w:pPr>
      <w:r>
        <w:rPr>
          <w:rFonts w:ascii="Arial" w:cs="Arial" w:eastAsia="Arial" w:hAnsi="Arial"/>
          <w:sz w:val="18"/>
          <w:szCs w:val="18"/>
          <w:color w:val="auto"/>
        </w:rPr>
        <w:t>14.2.</w:t>
        <w:tab/>
        <w:t>Provided the procedure set out in clause 14.1 above has been exhausted or frustrated , nothing in this clause shall prevent the Parties from being entitled to commence or continue court proceedings at any time thereafter.</w:t>
      </w:r>
    </w:p>
    <w:p>
      <w:pPr>
        <w:spacing w:after="0" w:line="81" w:lineRule="exact"/>
        <w:rPr>
          <w:sz w:val="20"/>
          <w:szCs w:val="20"/>
          <w:color w:val="auto"/>
        </w:rPr>
      </w:pPr>
    </w:p>
    <w:p>
      <w:pPr>
        <w:ind w:left="540" w:right="720" w:hanging="534"/>
        <w:spacing w:after="0" w:line="271" w:lineRule="auto"/>
        <w:tabs>
          <w:tab w:leader="none" w:pos="520" w:val="left"/>
        </w:tabs>
        <w:rPr>
          <w:sz w:val="20"/>
          <w:szCs w:val="20"/>
          <w:color w:val="auto"/>
        </w:rPr>
      </w:pPr>
      <w:r>
        <w:rPr>
          <w:rFonts w:ascii="Arial" w:cs="Arial" w:eastAsia="Arial" w:hAnsi="Arial"/>
          <w:sz w:val="18"/>
          <w:szCs w:val="18"/>
          <w:color w:val="auto"/>
        </w:rPr>
        <w:t>14.3.</w:t>
        <w:tab/>
        <w:t>Neither Party shall be obliged to follow the procedures set out in sub-clauses 14.1 and 14. 2 above where that Party intends to apply for injunctive relief against the other, provided that there is no delay in the prosecution of that application.</w:t>
      </w:r>
    </w:p>
    <w:p>
      <w:pPr>
        <w:spacing w:after="0" w:line="318" w:lineRule="exact"/>
        <w:rPr>
          <w:sz w:val="20"/>
          <w:szCs w:val="20"/>
          <w:color w:val="auto"/>
        </w:rPr>
      </w:pPr>
    </w:p>
    <w:p>
      <w:pPr>
        <w:ind w:left="440" w:hanging="433"/>
        <w:spacing w:after="0"/>
        <w:tabs>
          <w:tab w:leader="none" w:pos="4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31" w:lineRule="exact"/>
        <w:rPr>
          <w:sz w:val="20"/>
          <w:szCs w:val="20"/>
          <w:color w:val="auto"/>
        </w:rPr>
      </w:pPr>
    </w:p>
    <w:p>
      <w:pPr>
        <w:ind w:left="540" w:right="320" w:hanging="534"/>
        <w:spacing w:after="0" w:line="271" w:lineRule="auto"/>
        <w:tabs>
          <w:tab w:leader="none" w:pos="520" w:val="left"/>
        </w:tabs>
        <w:rPr>
          <w:sz w:val="20"/>
          <w:szCs w:val="20"/>
          <w:color w:val="auto"/>
        </w:rPr>
      </w:pPr>
      <w:r>
        <w:rPr>
          <w:rFonts w:ascii="Arial" w:cs="Arial" w:eastAsia="Arial" w:hAnsi="Arial"/>
          <w:sz w:val="18"/>
          <w:szCs w:val="18"/>
          <w:color w:val="auto"/>
        </w:rPr>
        <w:t>15.1.</w:t>
        <w:tab/>
        <w:t>If any provision of this Agreement is held invalid by a court of competent jurisdiction, all valid provisions that are severable from the invalid provision(s) shall remain in full force and effect.</w:t>
      </w:r>
    </w:p>
    <w:p>
      <w:pPr>
        <w:spacing w:after="0" w:line="197" w:lineRule="exact"/>
        <w:rPr>
          <w:sz w:val="20"/>
          <w:szCs w:val="20"/>
          <w:color w:val="auto"/>
        </w:rPr>
      </w:pPr>
    </w:p>
    <w:p>
      <w:pPr>
        <w:ind w:left="440" w:hanging="433"/>
        <w:spacing w:after="0"/>
        <w:tabs>
          <w:tab w:leader="none" w:pos="44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131" w:lineRule="exact"/>
        <w:rPr>
          <w:sz w:val="20"/>
          <w:szCs w:val="20"/>
          <w:color w:val="auto"/>
        </w:rPr>
      </w:pPr>
    </w:p>
    <w:p>
      <w:pPr>
        <w:ind w:left="540" w:right="160" w:hanging="534"/>
        <w:spacing w:after="0" w:line="297" w:lineRule="auto"/>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DHL shall have the right to exercise a lien over any Shipment in respect of any Charges which are outstanding and which have not been settled as per the provisions of section 4.5 above. DHL shall be entitled to sell or dispose of the Shipment at Global-e’s expense after having given Global-e 10 days’ notice. After applying the proceeds of the sale, DHL shall account to Global-e for any amounts exceeding the outstanding Charges and all associated expenses. DHL shall then be discharged from any liability with regard to the Shipment.</w:t>
      </w:r>
    </w:p>
    <w:p>
      <w:pPr>
        <w:spacing w:after="0" w:line="302" w:lineRule="exact"/>
        <w:rPr>
          <w:sz w:val="20"/>
          <w:szCs w:val="20"/>
          <w:color w:val="auto"/>
        </w:rPr>
      </w:pPr>
    </w:p>
    <w:p>
      <w:pPr>
        <w:ind w:left="440" w:hanging="433"/>
        <w:spacing w:after="0"/>
        <w:tabs>
          <w:tab w:leader="none" w:pos="4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DIRECT PRO CUSTOMERS</w:t>
      </w:r>
    </w:p>
    <w:p>
      <w:pPr>
        <w:spacing w:after="0" w:line="131" w:lineRule="exact"/>
        <w:rPr>
          <w:sz w:val="20"/>
          <w:szCs w:val="20"/>
          <w:color w:val="auto"/>
        </w:rPr>
      </w:pPr>
    </w:p>
    <w:p>
      <w:pPr>
        <w:jc w:val="both"/>
        <w:ind w:left="540" w:right="60" w:hanging="534"/>
        <w:spacing w:after="0" w:line="307" w:lineRule="auto"/>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DHL will recommend Global-e services to appropriate customers. It will agree pricing with them, explain the Global-e service to them briefly as agreed with Global-e and advise them to contact Global-e for more information. The Customer may pass its DHL rates to Global-e or DHL will forward them to Global-e on request of the Customer, so that Global-e may apply them to the Customer’s shipments.</w:t>
      </w:r>
    </w:p>
    <w:p>
      <w:pPr>
        <w:spacing w:after="0" w:line="56" w:lineRule="exact"/>
        <w:rPr>
          <w:sz w:val="20"/>
          <w:szCs w:val="20"/>
          <w:color w:val="auto"/>
        </w:rPr>
      </w:pPr>
    </w:p>
    <w:p>
      <w:pPr>
        <w:jc w:val="both"/>
        <w:ind w:left="540" w:hanging="534"/>
        <w:spacing w:after="0" w:line="281" w:lineRule="auto"/>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Global-e’s offer to such Direct Pro Customers will exclude the DHL Services. This means that Global-e will not include its own pricing for it and will not invoice the Customer for it, but the Global-e Platform will still allow the use of DHL Services, which Global-e will continue to charge to the buyer of the Customer’s goods (using the rates negotiated between DHL and the Direct Pro Customer).</w:t>
      </w:r>
    </w:p>
    <w:p>
      <w:pPr>
        <w:sectPr>
          <w:pgSz w:w="11900" w:h="16838" w:orient="portrait"/>
          <w:cols w:equalWidth="0" w:num="1">
            <w:col w:w="10920"/>
          </w:cols>
          <w:pgMar w:left="480" w:top="272" w:right="499" w:bottom="1440" w:gutter="0" w:footer="0" w:header="0"/>
        </w:sectPr>
      </w:pPr>
    </w:p>
    <w:bookmarkStart w:id="417" w:name="page418"/>
    <w:bookmarkEnd w:id="417"/>
    <w:p>
      <w:pPr>
        <w:ind w:left="533" w:hanging="534"/>
        <w:spacing w:after="0" w:line="259" w:lineRule="auto"/>
        <w:tabs>
          <w:tab w:leader="none" w:pos="5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17.3.</w:t>
        <w:tab/>
        <w:t>The DHL Services will be billed directly by DHL to the Direct Pro Customer, who will be DHL’s customer for all intents and purposes. Any customs duties in relation to such Direct Pro Customers’ shipments will be paid by Global-e, so DHL will charge them to Global-e. However, in certain cases, duties may instead be charged by DHL to the Direct Pro Customer.</w:t>
      </w:r>
    </w:p>
    <w:p>
      <w:pPr>
        <w:spacing w:after="0" w:line="329" w:lineRule="exact"/>
        <w:rPr>
          <w:sz w:val="20"/>
          <w:szCs w:val="20"/>
          <w:color w:val="auto"/>
        </w:rPr>
      </w:pPr>
    </w:p>
    <w:p>
      <w:pPr>
        <w:ind w:left="433" w:hanging="433"/>
        <w:spacing w:after="0"/>
        <w:tabs>
          <w:tab w:leader="none" w:pos="433"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31" w:lineRule="exact"/>
        <w:rPr>
          <w:sz w:val="20"/>
          <w:szCs w:val="20"/>
          <w:color w:val="auto"/>
        </w:rPr>
      </w:pPr>
    </w:p>
    <w:p>
      <w:pPr>
        <w:ind w:left="533" w:right="180" w:hanging="534"/>
        <w:spacing w:after="0" w:line="271" w:lineRule="auto"/>
        <w:tabs>
          <w:tab w:leader="none" w:pos="512" w:val="left"/>
        </w:tabs>
        <w:rPr>
          <w:sz w:val="20"/>
          <w:szCs w:val="20"/>
          <w:color w:val="auto"/>
        </w:rPr>
      </w:pPr>
      <w:r>
        <w:rPr>
          <w:rFonts w:ascii="Arial" w:cs="Arial" w:eastAsia="Arial" w:hAnsi="Arial"/>
          <w:sz w:val="18"/>
          <w:szCs w:val="18"/>
          <w:color w:val="auto"/>
        </w:rPr>
        <w:t>18.1.</w:t>
        <w:tab/>
        <w:t>This Agreement and any non-contractual obligations arising out of or in connection with it, shall be governed by and construed in accordance with the laws of England and Wales and the Parties submit to the exclusive jurisdiction of the English courts.</w:t>
      </w:r>
    </w:p>
    <w:p>
      <w:pPr>
        <w:spacing w:after="0" w:line="175" w:lineRule="exact"/>
        <w:rPr>
          <w:sz w:val="20"/>
          <w:szCs w:val="20"/>
          <w:color w:val="auto"/>
        </w:rPr>
      </w:pPr>
    </w:p>
    <w:p>
      <w:pPr>
        <w:jc w:val="center"/>
        <w:ind w:right="-92"/>
        <w:spacing w:after="0"/>
        <w:rPr>
          <w:sz w:val="20"/>
          <w:szCs w:val="20"/>
          <w:color w:val="auto"/>
        </w:rPr>
      </w:pPr>
      <w:r>
        <w:rPr>
          <w:rFonts w:ascii="Arial" w:cs="Arial" w:eastAsia="Arial" w:hAnsi="Arial"/>
          <w:sz w:val="18"/>
          <w:szCs w:val="18"/>
          <w:i w:val="1"/>
          <w:iCs w:val="1"/>
          <w:color w:val="auto"/>
        </w:rPr>
        <w:t>[Signature Page to Follow]</w:t>
      </w:r>
    </w:p>
    <w:p>
      <w:pPr>
        <w:sectPr>
          <w:pgSz w:w="11900" w:h="16838" w:orient="portrait"/>
          <w:cols w:equalWidth="0" w:num="1">
            <w:col w:w="10813"/>
          </w:cols>
          <w:pgMar w:left="487" w:top="272" w:right="599" w:bottom="1440" w:gutter="0" w:footer="0" w:header="0"/>
        </w:sectPr>
      </w:pPr>
    </w:p>
    <w:bookmarkStart w:id="418" w:name="page419"/>
    <w:bookmarkEnd w:id="41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have signed this Agreement on the date first above written.</w:t>
      </w:r>
    </w:p>
    <w:p>
      <w:pPr>
        <w:sectPr>
          <w:pgSz w:w="11900" w:h="16838" w:orient="portrait"/>
          <w:cols w:equalWidth="0" w:num="1">
            <w:col w:w="9979"/>
          </w:cols>
          <w:pgMar w:left="480" w:top="268"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DHL International (UK) Limited</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Globale U.K. Ltd</w:t>
      </w:r>
    </w:p>
    <w:p>
      <w:pPr>
        <w:spacing w:after="0" w:line="211" w:lineRule="exact"/>
        <w:rPr>
          <w:sz w:val="20"/>
          <w:szCs w:val="20"/>
          <w:color w:val="auto"/>
        </w:rPr>
      </w:pPr>
    </w:p>
    <w:p>
      <w:pPr>
        <w:sectPr>
          <w:pgSz w:w="11900" w:h="16838" w:orient="portrait"/>
          <w:cols w:equalWidth="0" w:num="2">
            <w:col w:w="5080" w:space="720"/>
            <w:col w:w="4179"/>
          </w:cols>
          <w:pgMar w:left="480" w:top="268" w:right="1440"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 Ian Wilson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 Nir Debbi</w:t>
      </w:r>
    </w:p>
    <w:p>
      <w:pPr>
        <w:sectPr>
          <w:pgSz w:w="11900" w:h="16838" w:orient="portrait"/>
          <w:cols w:equalWidth="0" w:num="2">
            <w:col w:w="5080" w:space="720"/>
            <w:col w:w="4179"/>
          </w:cols>
          <w:pgMar w:left="480" w:top="268" w:right="1440" w:bottom="1440" w:gutter="0" w:footer="0" w:header="0"/>
          <w:type w:val="continuous"/>
        </w:sectPr>
      </w:pPr>
    </w:p>
    <w:bookmarkStart w:id="419" w:name="page420"/>
    <w:bookmarkEnd w:id="419"/>
    <w:p>
      <w:pPr>
        <w:ind w:left="1000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ind w:right="180" w:firstLine="7"/>
        <w:spacing w:after="0" w:line="271" w:lineRule="auto"/>
        <w:tabs>
          <w:tab w:leader="none" w:pos="43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DHL International GmbH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DHL Special Rights</w:t>
      </w:r>
    </w:p>
    <w:p>
      <w:pPr>
        <w:spacing w:after="0" w:line="217" w:lineRule="exact"/>
        <w:rPr>
          <w:sz w:val="20"/>
          <w:szCs w:val="20"/>
          <w:color w:val="auto"/>
        </w:rPr>
      </w:pPr>
    </w:p>
    <w:p>
      <w:pPr>
        <w:ind w:right="240" w:firstLine="436"/>
        <w:spacing w:after="0" w:line="299"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color w:val="auto"/>
        </w:rPr>
        <w:t>Letter</w:t>
      </w:r>
      <w:r>
        <w:rPr>
          <w:rFonts w:ascii="Arial" w:cs="Arial" w:eastAsia="Arial" w:hAnsi="Arial"/>
          <w:sz w:val="16"/>
          <w:szCs w:val="16"/>
          <w:color w:val="auto"/>
        </w:rPr>
        <w:t>”) is entered into this 27</w:t>
      </w:r>
      <w:r>
        <w:rPr>
          <w:rFonts w:ascii="Arial" w:cs="Arial" w:eastAsia="Arial" w:hAnsi="Arial"/>
          <w:sz w:val="13"/>
          <w:szCs w:val="13"/>
          <w:color w:val="auto"/>
        </w:rPr>
        <w:t>th</w:t>
      </w:r>
      <w:r>
        <w:rPr>
          <w:rFonts w:ascii="Arial" w:cs="Arial" w:eastAsia="Arial" w:hAnsi="Arial"/>
          <w:sz w:val="16"/>
          <w:szCs w:val="16"/>
          <w:color w:val="auto"/>
        </w:rPr>
        <w:t xml:space="preserve"> day of March, 2017, and confirms Global-e Online Ltd.’s (the “</w:t>
      </w:r>
      <w:r>
        <w:rPr>
          <w:rFonts w:ascii="Arial" w:cs="Arial" w:eastAsia="Arial" w:hAnsi="Arial"/>
          <w:sz w:val="16"/>
          <w:szCs w:val="16"/>
          <w:b w:val="1"/>
          <w:bCs w:val="1"/>
          <w:color w:val="auto"/>
        </w:rPr>
        <w:t>Company</w:t>
      </w:r>
      <w:r>
        <w:rPr>
          <w:rFonts w:ascii="Arial" w:cs="Arial" w:eastAsia="Arial" w:hAnsi="Arial"/>
          <w:sz w:val="16"/>
          <w:szCs w:val="16"/>
          <w:color w:val="auto"/>
        </w:rPr>
        <w:t>”) agreement that DHL International GmbH (“</w:t>
      </w:r>
      <w:r>
        <w:rPr>
          <w:rFonts w:ascii="Arial" w:cs="Arial" w:eastAsia="Arial" w:hAnsi="Arial"/>
          <w:sz w:val="16"/>
          <w:szCs w:val="16"/>
          <w:b w:val="1"/>
          <w:bCs w:val="1"/>
          <w:color w:val="auto"/>
        </w:rPr>
        <w:t>DHL</w:t>
      </w:r>
      <w:r>
        <w:rPr>
          <w:rFonts w:ascii="Arial" w:cs="Arial" w:eastAsia="Arial" w:hAnsi="Arial"/>
          <w:sz w:val="16"/>
          <w:szCs w:val="16"/>
          <w:color w:val="auto"/>
        </w:rPr>
        <w:t>”) will be entitled to the following contractual rights, in addition to any other rights specifically provided to DHL or any of its Affiliates under the Amended and Restated Investors’ Rights Agreement of even date herewith and the Company’s Amended and Restated Articles of Association (“</w:t>
      </w:r>
      <w:r>
        <w:rPr>
          <w:rFonts w:ascii="Arial" w:cs="Arial" w:eastAsia="Arial" w:hAnsi="Arial"/>
          <w:sz w:val="16"/>
          <w:szCs w:val="16"/>
          <w:b w:val="1"/>
          <w:bCs w:val="1"/>
          <w:color w:val="auto"/>
        </w:rPr>
        <w:t>Amended Articles</w:t>
      </w:r>
      <w:r>
        <w:rPr>
          <w:rFonts w:ascii="Arial" w:cs="Arial" w:eastAsia="Arial" w:hAnsi="Arial"/>
          <w:sz w:val="16"/>
          <w:szCs w:val="16"/>
          <w:color w:val="auto"/>
        </w:rPr>
        <w:t>”). This Letter shall become effective on March 27, 2017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Commercial Arrangement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 Strategic Relationship</w:t>
      </w:r>
    </w:p>
    <w:p>
      <w:pPr>
        <w:spacing w:after="0" w:line="114" w:lineRule="exact"/>
        <w:rPr>
          <w:sz w:val="20"/>
          <w:szCs w:val="20"/>
          <w:color w:val="auto"/>
        </w:rPr>
      </w:pPr>
    </w:p>
    <w:p>
      <w:pPr>
        <w:ind w:right="160" w:firstLine="982"/>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Commencing on the Effective Date, DHL and the Company shall become strategic partners as hereinafter provided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their co-operation in order to secure and strengthen the existing collaboration to increase effective cross-border trade and benefit from mutual strong growth.</w:t>
      </w:r>
    </w:p>
    <w:p>
      <w:pPr>
        <w:spacing w:after="0" w:line="74" w:lineRule="exact"/>
        <w:rPr>
          <w:sz w:val="20"/>
          <w:szCs w:val="20"/>
          <w:color w:val="auto"/>
        </w:rPr>
      </w:pPr>
    </w:p>
    <w:p>
      <w:pPr>
        <w:ind w:right="220" w:firstLine="982"/>
        <w:spacing w:after="0" w:line="275"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To effect such strategic relationship, each of DHL and the Company shall commit to certain undertakings and obligations towards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as further described hereinafter.</w:t>
      </w:r>
    </w:p>
    <w:p>
      <w:pPr>
        <w:spacing w:after="0" w:line="61" w:lineRule="exact"/>
        <w:rPr>
          <w:sz w:val="20"/>
          <w:szCs w:val="20"/>
          <w:color w:val="auto"/>
        </w:rPr>
      </w:pPr>
    </w:p>
    <w:p>
      <w:pPr>
        <w:ind w:right="160" w:firstLine="982"/>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For the purposes of this Section 1, except as otherwise specified, references to either party shall be deemed to be references also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party’s Affiliates (as defined below), and shall bind them.</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Exclusivity</w:t>
      </w:r>
      <w:r>
        <w:rPr>
          <w:rFonts w:ascii="Arial" w:cs="Arial" w:eastAsia="Arial" w:hAnsi="Arial"/>
          <w:sz w:val="18"/>
          <w:szCs w:val="18"/>
          <w:color w:val="auto"/>
        </w:rPr>
        <w:t>.</w:t>
      </w:r>
    </w:p>
    <w:p>
      <w:pPr>
        <w:spacing w:after="0" w:line="114" w:lineRule="exact"/>
        <w:rPr>
          <w:sz w:val="20"/>
          <w:szCs w:val="20"/>
          <w:color w:val="auto"/>
        </w:rPr>
      </w:pPr>
    </w:p>
    <w:p>
      <w:pPr>
        <w:ind w:right="20" w:firstLine="982"/>
        <w:spacing w:after="0" w:line="291"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The Company hereby undertakes to use DHL, on an exclusive basis, for all Express Shipments, and agrees not to use,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for Express Shipments (or integrate into its or its Affiliates’ bundled offerings) any comparable service(s) of any other service providers (the “</w:t>
      </w:r>
      <w:r>
        <w:rPr>
          <w:rFonts w:ascii="Arial" w:cs="Arial" w:eastAsia="Arial" w:hAnsi="Arial"/>
          <w:sz w:val="16"/>
          <w:szCs w:val="16"/>
          <w:b w:val="1"/>
          <w:bCs w:val="1"/>
          <w:color w:val="auto"/>
        </w:rPr>
        <w:t>Exclusivity Undertaking</w:t>
      </w:r>
      <w:r>
        <w:rPr>
          <w:rFonts w:ascii="Arial" w:cs="Arial" w:eastAsia="Arial" w:hAnsi="Arial"/>
          <w:sz w:val="16"/>
          <w:szCs w:val="16"/>
          <w:color w:val="auto"/>
        </w:rPr>
        <w:t>” and the “</w:t>
      </w:r>
      <w:r>
        <w:rPr>
          <w:rFonts w:ascii="Arial" w:cs="Arial" w:eastAsia="Arial" w:hAnsi="Arial"/>
          <w:sz w:val="16"/>
          <w:szCs w:val="16"/>
          <w:b w:val="1"/>
          <w:bCs w:val="1"/>
          <w:color w:val="auto"/>
        </w:rPr>
        <w:t>Exclusive Services</w:t>
      </w:r>
      <w:r>
        <w:rPr>
          <w:rFonts w:ascii="Arial" w:cs="Arial" w:eastAsia="Arial" w:hAnsi="Arial"/>
          <w:sz w:val="16"/>
          <w:szCs w:val="16"/>
          <w:color w:val="auto"/>
        </w:rPr>
        <w:t>,” respectively), but subject to the provisions of Section 1.2.4 below. As used herein, “</w:t>
      </w:r>
      <w:r>
        <w:rPr>
          <w:rFonts w:ascii="Arial" w:cs="Arial" w:eastAsia="Arial" w:hAnsi="Arial"/>
          <w:sz w:val="16"/>
          <w:szCs w:val="16"/>
          <w:b w:val="1"/>
          <w:bCs w:val="1"/>
          <w:color w:val="auto"/>
        </w:rPr>
        <w:t>Express</w:t>
      </w:r>
      <w:r>
        <w:rPr>
          <w:rFonts w:ascii="Arial" w:cs="Arial" w:eastAsia="Arial" w:hAnsi="Arial"/>
          <w:sz w:val="16"/>
          <w:szCs w:val="16"/>
          <w:color w:val="auto"/>
        </w:rPr>
        <w:t xml:space="preserve"> </w:t>
      </w:r>
      <w:r>
        <w:rPr>
          <w:rFonts w:ascii="Arial" w:cs="Arial" w:eastAsia="Arial" w:hAnsi="Arial"/>
          <w:sz w:val="16"/>
          <w:szCs w:val="16"/>
          <w:b w:val="1"/>
          <w:bCs w:val="1"/>
          <w:color w:val="auto"/>
        </w:rPr>
        <w:t>Shipments</w:t>
      </w:r>
      <w:r>
        <w:rPr>
          <w:rFonts w:ascii="Arial" w:cs="Arial" w:eastAsia="Arial" w:hAnsi="Arial"/>
          <w:sz w:val="16"/>
          <w:szCs w:val="16"/>
          <w:color w:val="auto"/>
        </w:rPr>
        <w:t>” means shipments done by means of a systemized and dedicated network for “door-to-door” pick-up and delivery of document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non-document shipments, including customs clearance, overnight or by the end of the next possible day for delivery in the respective market (</w:t>
      </w:r>
      <w:r>
        <w:rPr>
          <w:rFonts w:ascii="Arial" w:cs="Arial" w:eastAsia="Arial" w:hAnsi="Arial"/>
          <w:sz w:val="16"/>
          <w:szCs w:val="16"/>
          <w:i w:val="1"/>
          <w:iCs w:val="1"/>
          <w:color w:val="auto"/>
        </w:rPr>
        <w:t>i.e.</w:t>
      </w:r>
      <w:r>
        <w:rPr>
          <w:rFonts w:ascii="Arial" w:cs="Arial" w:eastAsia="Arial" w:hAnsi="Arial"/>
          <w:sz w:val="16"/>
          <w:szCs w:val="16"/>
          <w:color w:val="auto"/>
        </w:rPr>
        <w:t>, taking into account industry standards express transit times applicable to the respective origin and destination countries).</w:t>
      </w:r>
    </w:p>
    <w:p>
      <w:pPr>
        <w:spacing w:after="0" w:line="52" w:lineRule="exact"/>
        <w:rPr>
          <w:sz w:val="20"/>
          <w:szCs w:val="20"/>
          <w:color w:val="auto"/>
        </w:rPr>
      </w:pPr>
    </w:p>
    <w:p>
      <w:pPr>
        <w:ind w:right="40" w:firstLine="982"/>
        <w:spacing w:after="0" w:line="268"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Notwithstanding any expiration or termination of this Letter, the Exclusivity Undertaking will remain in effect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Letter) indefinitely with respect to any customer that has been engaged by the Company following an introduction by DHL or with DHL’s assistance (in each case, if such introduction or assistance was either requested by the Company or offered by DHL and accepted by the Company) (“</w:t>
      </w:r>
      <w:r>
        <w:rPr>
          <w:rFonts w:ascii="Arial" w:cs="Arial" w:eastAsia="Arial" w:hAnsi="Arial"/>
          <w:sz w:val="17"/>
          <w:szCs w:val="17"/>
          <w:b w:val="1"/>
          <w:bCs w:val="1"/>
          <w:color w:val="auto"/>
        </w:rPr>
        <w:t>Exclusive DHL Customer</w:t>
      </w:r>
      <w:r>
        <w:rPr>
          <w:rFonts w:ascii="Arial" w:cs="Arial" w:eastAsia="Arial" w:hAnsi="Arial"/>
          <w:sz w:val="17"/>
          <w:szCs w:val="17"/>
          <w:color w:val="auto"/>
        </w:rPr>
        <w:t>”). DHL shall periodically (</w:t>
      </w:r>
      <w:r>
        <w:rPr>
          <w:rFonts w:ascii="Arial" w:cs="Arial" w:eastAsia="Arial" w:hAnsi="Arial"/>
          <w:sz w:val="17"/>
          <w:szCs w:val="17"/>
          <w:i w:val="1"/>
          <w:iCs w:val="1"/>
          <w:color w:val="auto"/>
        </w:rPr>
        <w:t>e.g.</w:t>
      </w:r>
      <w:r>
        <w:rPr>
          <w:rFonts w:ascii="Arial" w:cs="Arial" w:eastAsia="Arial" w:hAnsi="Arial"/>
          <w:sz w:val="17"/>
          <w:szCs w:val="17"/>
          <w:color w:val="auto"/>
        </w:rPr>
        <w:t>, quarterly) provide written notice to the Company of any customer it believes constitutes an Exclusive DHL Customer. Within thirty (30) days after the receipt of each such notice, the Company may dispute the inclusion of any specific customer in the notice by providing written notice of the same to DHL accompanied by substantiating documentation. If the parties disagree as to whether a certain customer constitutes an Exclusive DHL Customer, the issue shall be referred to the senior management of the parties in accordance with the process described in Section 1.5 below.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ind w:right="20" w:firstLine="982"/>
        <w:spacing w:after="0" w:line="29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For all other services which are not the Exclusive Services (</w:t>
      </w:r>
      <w:r>
        <w:rPr>
          <w:rFonts w:ascii="Arial" w:cs="Arial" w:eastAsia="Arial" w:hAnsi="Arial"/>
          <w:sz w:val="16"/>
          <w:szCs w:val="16"/>
          <w:i w:val="1"/>
          <w:iCs w:val="1"/>
          <w:color w:val="auto"/>
        </w:rPr>
        <w:t>e.g.</w:t>
      </w:r>
      <w:r>
        <w:rPr>
          <w:rFonts w:ascii="Arial" w:cs="Arial" w:eastAsia="Arial" w:hAnsi="Arial"/>
          <w:sz w:val="16"/>
          <w:szCs w:val="16"/>
          <w:color w:val="auto"/>
        </w:rPr>
        <w:t>, economy carriers, mail, etc.) no exclusivity will be set. However,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the Company requires and DHL provides such services in any market(s), the Company will actively invite DHL, from time to time, to submit proposals to provide such services in such market(s) and the Company shall consider in good faith making DHL its preferred provider for such services. If DHL’s proposed services are at competitive service levels and pricing and the Company does not elect to make DHL its preferred provider for such services, the matter will be referred to the senior management of the parties in accordance with the process described in Section 1.5 below.</w:t>
      </w:r>
    </w:p>
    <w:p>
      <w:pPr>
        <w:spacing w:after="0" w:line="50" w:lineRule="exact"/>
        <w:rPr>
          <w:sz w:val="20"/>
          <w:szCs w:val="20"/>
          <w:color w:val="auto"/>
        </w:rPr>
      </w:pPr>
    </w:p>
    <w:p>
      <w:pPr>
        <w:ind w:firstLine="982"/>
        <w:spacing w:after="0" w:line="266"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In the event that a Company’s customer is unwilling to use DHL for Express Shipments, the Company will use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to persuade and cause such customer to use DHL’s Exclusive Services. Further, in the event that (a) a Company’s customer is unwilling (despite the Company’s efforts) or, due to valid contractual or regulatory restrictions to which the customer is bound, is unable to utilize DHL’s Exclusive Services, or (b) DHL cannot provide the Exclusive Services, or any part thereof, to a customer through the Company (</w:t>
      </w:r>
      <w:r>
        <w:rPr>
          <w:rFonts w:ascii="Arial" w:cs="Arial" w:eastAsia="Arial" w:hAnsi="Arial"/>
          <w:sz w:val="17"/>
          <w:szCs w:val="17"/>
          <w:i w:val="1"/>
          <w:iCs w:val="1"/>
          <w:color w:val="auto"/>
        </w:rPr>
        <w:t>e.g.</w:t>
      </w:r>
      <w:r>
        <w:rPr>
          <w:rFonts w:ascii="Arial" w:cs="Arial" w:eastAsia="Arial" w:hAnsi="Arial"/>
          <w:sz w:val="17"/>
          <w:szCs w:val="17"/>
          <w:color w:val="auto"/>
        </w:rPr>
        <w:t>, due to the fact that DHL does not offer a specific service required by the customer (such as cash-on-delivery) or that DHL is bound by another commercial agreement with regards to the customer which prohibits it from quoting through the Company), or (c) DHL cannot offer pricing options (</w:t>
      </w:r>
      <w:r>
        <w:rPr>
          <w:rFonts w:ascii="Arial" w:cs="Arial" w:eastAsia="Arial" w:hAnsi="Arial"/>
          <w:sz w:val="17"/>
          <w:szCs w:val="17"/>
          <w:i w:val="1"/>
          <w:iCs w:val="1"/>
          <w:color w:val="auto"/>
        </w:rPr>
        <w:t>i.e.</w:t>
      </w:r>
      <w:r>
        <w:rPr>
          <w:rFonts w:ascii="Arial" w:cs="Arial" w:eastAsia="Arial" w:hAnsi="Arial"/>
          <w:sz w:val="17"/>
          <w:szCs w:val="17"/>
          <w:color w:val="auto"/>
        </w:rPr>
        <w:t>, dead-weight billing on a specific transport lane) that are consistent with Section 1.3, or (d) DHL imposes on the Company the obligation to present the goods to DHL in a consolidated fashion prior to shipping by DHL to a specific country, and such obligation is inconsistent with the then-current market standard and results in an adverse operational impact on the Company, the issue shall be referred to the senior management of the parties in accordance with the process described in Section 1.5 below. If senior management is unable to implement a resolution that would result in such customer or the Company using DHL’s Exclusive Services, such customer, service or transport lane will be excluded from the Exclusivity Undertaking for so long as the issue continues and remains unresolved. For the avoidance of doubt, notwithstanding such exclusion, the Company will continue to use commercially reasonable efforts to use DHL’s Exclusive Services and to persuade and cause such customer to use DHL’s Exclusive Service as soon as reasonably possible.</w:t>
      </w:r>
    </w:p>
    <w:p>
      <w:pPr>
        <w:spacing w:after="0" w:line="70" w:lineRule="exact"/>
        <w:rPr>
          <w:sz w:val="20"/>
          <w:szCs w:val="20"/>
          <w:color w:val="auto"/>
        </w:rPr>
      </w:pPr>
    </w:p>
    <w:p>
      <w:pPr>
        <w:ind w:right="60" w:firstLine="436"/>
        <w:spacing w:after="0" w:line="266" w:lineRule="auto"/>
        <w:rPr>
          <w:sz w:val="20"/>
          <w:szCs w:val="20"/>
          <w:color w:val="auto"/>
        </w:rPr>
      </w:pPr>
      <w:r>
        <w:rPr>
          <w:rFonts w:ascii="Arial" w:cs="Arial" w:eastAsia="Arial" w:hAnsi="Arial"/>
          <w:sz w:val="17"/>
          <w:szCs w:val="17"/>
          <w:b w:val="1"/>
          <w:bCs w:val="1"/>
          <w:color w:val="auto"/>
        </w:rPr>
        <w:t>1.3. Pricing</w:t>
      </w:r>
      <w:r>
        <w:rPr>
          <w:rFonts w:ascii="Arial" w:cs="Arial" w:eastAsia="Arial" w:hAnsi="Arial"/>
          <w:sz w:val="17"/>
          <w:szCs w:val="17"/>
          <w:color w:val="auto"/>
        </w:rPr>
        <w:t>. The prices which DHL shall charge the Company for the Exclusive Services, as well as for all charges related to the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(such as shipping charges, surcharges, fuel surcharge, remote area charges, etc.), shall be DHL’s applicable top tier prices for like services for commercial customers then in effect for each respective country where the Exclusive Services are performed. The Company acknowledges that a small number of select or uniquely situated customers of DHL may receive better pricing than the otherwise applicable top tier prices (</w:t>
      </w:r>
      <w:r>
        <w:rPr>
          <w:rFonts w:ascii="Arial" w:cs="Arial" w:eastAsia="Arial" w:hAnsi="Arial"/>
          <w:sz w:val="17"/>
          <w:szCs w:val="17"/>
          <w:i w:val="1"/>
          <w:iCs w:val="1"/>
          <w:color w:val="auto"/>
        </w:rPr>
        <w:t>e.g.</w:t>
      </w:r>
      <w:r>
        <w:rPr>
          <w:rFonts w:ascii="Arial" w:cs="Arial" w:eastAsia="Arial" w:hAnsi="Arial"/>
          <w:sz w:val="17"/>
          <w:szCs w:val="17"/>
          <w:color w:val="auto"/>
        </w:rPr>
        <w:t>, customers that perform unusually large numbers of shipments in a short period of time following a new product launch). Upon the Company’s request from time to time (but not more frequent than once every six (6) months), DHL shall provide the Company with a confirmation by a senior DHL executive which states that DHL has complied with the terms of this Section 1.31.3. If at any time during the Exclusivity Undertaking, the Company reasonably believes that DHL did not comply with the terms of this Section 1.3, the issue shall be referred to the senior management of the parties in accordance with the process described in Section 1.5 below. If senior managements of both parties mutually agree that DHL did not comply with the terms of this Section 1.3, DHL shall immediately offer to the Company the appropriate top tier prices as required by this Section 1.3. It is agreed that repeated non-compliances (as determined by the senior managements in accordance with the foregoing) will be considered a material breach for purposes of Section 4.2.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 DHL Covenants</w:t>
      </w:r>
    </w:p>
    <w:p>
      <w:pPr>
        <w:spacing w:after="0" w:line="114" w:lineRule="exact"/>
        <w:rPr>
          <w:sz w:val="20"/>
          <w:szCs w:val="20"/>
          <w:color w:val="auto"/>
        </w:rPr>
      </w:pPr>
    </w:p>
    <w:p>
      <w:pPr>
        <w:ind w:firstLine="982"/>
        <w:spacing w:after="0" w:line="27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DHL will perform the Exclusive Services in a professional manner, consistent with high industry standards and the provisions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country’s specific agreement.</w:t>
      </w:r>
    </w:p>
    <w:p>
      <w:pPr>
        <w:spacing w:after="0" w:line="61" w:lineRule="exact"/>
        <w:rPr>
          <w:sz w:val="20"/>
          <w:szCs w:val="20"/>
          <w:color w:val="auto"/>
        </w:rPr>
      </w:pPr>
    </w:p>
    <w:p>
      <w:pPr>
        <w:ind w:right="100" w:firstLine="982"/>
        <w:spacing w:after="0" w:line="271"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DHL will use commercially reasonable efforts to promote the Company’s services, including by referring or introducing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to the Company. In furtherance thereof, in each territory where the Company is currently operating, and in each new territory in which the Company will become active during the term of this Letter, from time to time the Company may identify a DHL customer which the Company believes is relevant to its business (the “</w:t>
      </w:r>
      <w:r>
        <w:rPr>
          <w:rFonts w:ascii="Arial" w:cs="Arial" w:eastAsia="Arial" w:hAnsi="Arial"/>
          <w:sz w:val="17"/>
          <w:szCs w:val="17"/>
          <w:b w:val="1"/>
          <w:bCs w:val="1"/>
          <w:color w:val="auto"/>
        </w:rPr>
        <w:t>Potential Company Customer</w:t>
      </w:r>
      <w:r>
        <w:rPr>
          <w:rFonts w:ascii="Arial" w:cs="Arial" w:eastAsia="Arial" w:hAnsi="Arial"/>
          <w:sz w:val="17"/>
          <w:szCs w:val="17"/>
          <w:color w:val="auto"/>
        </w:rPr>
        <w:t>”), and upon the Company’s reasonable request, DHL will make a commercially reasonable effort to persuade and cause such customer to use the Company’s services, and to continue to make such effort until such time as the Potential Company Customer has become a Company customer.</w:t>
      </w:r>
    </w:p>
    <w:p>
      <w:pPr>
        <w:spacing w:after="0" w:line="67" w:lineRule="exact"/>
        <w:rPr>
          <w:sz w:val="20"/>
          <w:szCs w:val="20"/>
          <w:color w:val="auto"/>
        </w:rPr>
      </w:pPr>
    </w:p>
    <w:p>
      <w:pPr>
        <w:ind w:right="480" w:firstLine="982"/>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Absent the prior written consent of the Company, DHL shall not make an equity investment in, or acquire,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Competitor, as such term is defined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 “</w:t>
      </w:r>
      <w:r>
        <w:rPr>
          <w:rFonts w:ascii="Arial" w:cs="Arial" w:eastAsia="Arial" w:hAnsi="Arial"/>
          <w:sz w:val="18"/>
          <w:szCs w:val="18"/>
          <w:b w:val="1"/>
          <w:bCs w:val="1"/>
          <w:color w:val="auto"/>
        </w:rPr>
        <w:t>Company Competitor</w:t>
      </w:r>
      <w:r>
        <w:rPr>
          <w:rFonts w:ascii="Arial" w:cs="Arial" w:eastAsia="Arial" w:hAnsi="Arial"/>
          <w:sz w:val="18"/>
          <w:szCs w:val="18"/>
          <w:color w:val="auto"/>
        </w:rPr>
        <w:t>”), except in any of the following circumstances or conditions (each, a “</w:t>
      </w:r>
      <w:r>
        <w:rPr>
          <w:rFonts w:ascii="Arial" w:cs="Arial" w:eastAsia="Arial" w:hAnsi="Arial"/>
          <w:sz w:val="18"/>
          <w:szCs w:val="18"/>
          <w:b w:val="1"/>
          <w:bCs w:val="1"/>
          <w:color w:val="auto"/>
        </w:rPr>
        <w:t>Permitted Acquisition</w:t>
      </w:r>
      <w:r>
        <w:rPr>
          <w:rFonts w:ascii="Arial" w:cs="Arial" w:eastAsia="Arial" w:hAnsi="Arial"/>
          <w:sz w:val="18"/>
          <w:szCs w:val="18"/>
          <w:color w:val="auto"/>
        </w:rPr>
        <w:t>”):</w:t>
      </w:r>
    </w:p>
    <w:p>
      <w:pPr>
        <w:spacing w:after="0" w:line="78" w:lineRule="exact"/>
        <w:rPr>
          <w:sz w:val="20"/>
          <w:szCs w:val="20"/>
          <w:color w:val="auto"/>
        </w:rPr>
      </w:pPr>
    </w:p>
    <w:p>
      <w:pPr>
        <w:jc w:val="both"/>
        <w:ind w:right="80" w:firstLine="1426"/>
        <w:spacing w:after="0" w:line="259" w:lineRule="auto"/>
        <w:tabs>
          <w:tab w:leader="none" w:pos="166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geographic markets in which the Company Competitor (or the Company Competitor’s Affiliate or business unit which DHL is investing in or acquiring) is primarily active are outside of the United States, the United Kingdom, the EU, Australia and Canada, and the investment or acquisition will not limit DHL’s ability to meet its obligations to the Company under this Letter; or</w:t>
      </w:r>
    </w:p>
    <w:p>
      <w:pPr>
        <w:spacing w:after="0" w:line="78" w:lineRule="exact"/>
        <w:rPr>
          <w:rFonts w:ascii="Arial" w:cs="Arial" w:eastAsia="Arial" w:hAnsi="Arial"/>
          <w:sz w:val="18"/>
          <w:szCs w:val="18"/>
          <w:color w:val="auto"/>
        </w:rPr>
      </w:pPr>
    </w:p>
    <w:p>
      <w:pPr>
        <w:ind w:right="80" w:firstLine="1426"/>
        <w:spacing w:after="0" w:line="275" w:lineRule="auto"/>
        <w:tabs>
          <w:tab w:leader="none" w:pos="1671"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At the time of the contemplated investment or acquisition, the Company does not offer and does not plan to offer (based on its then-current product road map as presented to the Company’s Board of Directors) products or services that are the same or substantially similar to those of the Company Competitor (or the Company Competitor’s Affiliate or business unit which DHL is investing in or acquiring), and the investment or acquisition will not limit DHL’s ability to meet its obligations to the Company under this Letter.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that at any time following the completion of a Permitted Acquisition:</w:t>
      </w:r>
    </w:p>
    <w:p>
      <w:pPr>
        <w:spacing w:after="0" w:line="114" w:lineRule="exact"/>
        <w:rPr>
          <w:sz w:val="20"/>
          <w:szCs w:val="20"/>
          <w:color w:val="auto"/>
        </w:rPr>
      </w:pPr>
    </w:p>
    <w:p>
      <w:pPr>
        <w:ind w:right="160" w:firstLine="1426"/>
        <w:spacing w:after="0" w:line="293" w:lineRule="auto"/>
        <w:tabs>
          <w:tab w:leader="none" w:pos="163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if the Company becomes active in a new geographic market in which the respective Company Competitor is active, or the Company begins to offer products or services that are the same or substantially similar to those of the Company Competitor (or the applicable Affiliate or business unit), and DHL is unable to meet its obligations to the Company under Section 1 (Commercial Arrangement) of this Letter with respect to such new geographic market or such new products or services, then the Exclusivity Undertaking will not apply with respect to such new geographic market or such new products or services, as the case may be, but only so long as DHL does not meet such obligations; and</w:t>
      </w:r>
    </w:p>
    <w:p>
      <w:pPr>
        <w:spacing w:after="0" w:line="53" w:lineRule="exact"/>
        <w:rPr>
          <w:rFonts w:ascii="Arial" w:cs="Arial" w:eastAsia="Arial" w:hAnsi="Arial"/>
          <w:sz w:val="16"/>
          <w:szCs w:val="16"/>
          <w:color w:val="auto"/>
        </w:rPr>
      </w:pPr>
    </w:p>
    <w:p>
      <w:pPr>
        <w:jc w:val="both"/>
        <w:ind w:right="80" w:firstLine="1426"/>
        <w:spacing w:after="0" w:line="255" w:lineRule="auto"/>
        <w:tabs>
          <w:tab w:leader="none" w:pos="168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the Company Competitor becomes active in new geographic market in which the Company is already active, or the Company Competitor begins to offer products or services that are the same or substantially similar to those already offered by the Company, DHL will ensure that it treats the Company more favorably than the Company Competitor in such geographic market, or with respect to such products and services, as the case may be.</w:t>
      </w:r>
    </w:p>
    <w:p>
      <w:pPr>
        <w:spacing w:after="0" w:line="1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Notwithstanding anything in the Letter to the contrary, in this Section 1.4.3, all references to DHL mean DHL Express (International) Limited, its controlled (</w:t>
      </w:r>
      <w:r>
        <w:rPr>
          <w:rFonts w:ascii="Arial" w:cs="Arial" w:eastAsia="Arial" w:hAnsi="Arial"/>
          <w:sz w:val="18"/>
          <w:szCs w:val="18"/>
          <w:i w:val="1"/>
          <w:iCs w:val="1"/>
          <w:color w:val="auto"/>
        </w:rPr>
        <w:t>i.e.</w:t>
      </w:r>
      <w:r>
        <w:rPr>
          <w:rFonts w:ascii="Arial" w:cs="Arial" w:eastAsia="Arial" w:hAnsi="Arial"/>
          <w:sz w:val="18"/>
          <w:szCs w:val="18"/>
          <w:color w:val="auto"/>
        </w:rPr>
        <w:t>, majority-owned) Affiliates and any non-controlled Affiliate that enters into a Permitted Acquisition for the benefit of DHL Express (International) Limited, but exclude any other Affiliates.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68" w:right="49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ind w:right="440" w:firstLine="436"/>
        <w:spacing w:after="0" w:line="294" w:lineRule="auto"/>
        <w:rPr>
          <w:sz w:val="20"/>
          <w:szCs w:val="20"/>
          <w:color w:val="auto"/>
        </w:rPr>
      </w:pPr>
      <w:r>
        <w:rPr>
          <w:rFonts w:ascii="Arial" w:cs="Arial" w:eastAsia="Arial" w:hAnsi="Arial"/>
          <w:sz w:val="16"/>
          <w:szCs w:val="16"/>
          <w:b w:val="1"/>
          <w:bCs w:val="1"/>
          <w:color w:val="auto"/>
        </w:rPr>
        <w:t>1.5. Escalation</w:t>
      </w:r>
      <w:r>
        <w:rPr>
          <w:rFonts w:ascii="Arial" w:cs="Arial" w:eastAsia="Arial" w:hAnsi="Arial"/>
          <w:sz w:val="16"/>
          <w:szCs w:val="16"/>
          <w:color w:val="auto"/>
        </w:rPr>
        <w:t>. Any dispute, controversy or claim relating to all or any of the provisions of this Section 1 shall be referred to the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 the parties - the Company’s CMO and the local country manager of DHL in the relevant country - for good faith discussion and resolution. If any dispute, controversy, or claim cannot be resolved by such good faith discussion between the abovementioned senior management within three business days, it shall be referred to the Company’s CEO and DHL’s EMEA CEO for expeditious resolution. If the dispute is still not resolved within an additional ten (10) days, then each party shall have all remedies available to it at law and in equity.</w:t>
      </w:r>
    </w:p>
    <w:p>
      <w:pPr>
        <w:spacing w:after="0" w:line="50" w:lineRule="exact"/>
        <w:rPr>
          <w:sz w:val="20"/>
          <w:szCs w:val="20"/>
          <w:color w:val="auto"/>
        </w:rPr>
      </w:pPr>
    </w:p>
    <w:p>
      <w:pPr>
        <w:jc w:val="both"/>
        <w:ind w:right="40" w:firstLine="436"/>
        <w:spacing w:after="0" w:line="261" w:lineRule="auto"/>
        <w:rPr>
          <w:sz w:val="20"/>
          <w:szCs w:val="20"/>
          <w:color w:val="auto"/>
        </w:rPr>
      </w:pPr>
      <w:r>
        <w:rPr>
          <w:rFonts w:ascii="Arial" w:cs="Arial" w:eastAsia="Arial" w:hAnsi="Arial"/>
          <w:sz w:val="18"/>
          <w:szCs w:val="18"/>
          <w:b w:val="1"/>
          <w:bCs w:val="1"/>
          <w:color w:val="auto"/>
        </w:rPr>
        <w:t xml:space="preserve">1.6. Limitation of Liability. </w:t>
      </w:r>
      <w:r>
        <w:rPr>
          <w:rFonts w:ascii="Arial" w:cs="Arial" w:eastAsia="Arial" w:hAnsi="Arial"/>
          <w:sz w:val="18"/>
          <w:szCs w:val="18"/>
          <w:color w:val="auto"/>
        </w:rPr>
        <w:t>In no event shall either Party be liable to other Party for any consequential, indirect, special, punitive and exemplary</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or any damages for loss of profits, revenue or goodwill, in connection with this Letter. This clause will survive the expiration or termination of this Letter.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Issuance of Shares.</w:t>
      </w:r>
    </w:p>
    <w:p>
      <w:pPr>
        <w:spacing w:after="0" w:line="1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The Company hereby undertakes not to issue any of its Equity Securities (as such term is defined in the Amended Articles) to any DHL Competitor (as such term is defined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as long as this Letter remains in effect.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Rights in Connection with an Acquisition Proposal.</w:t>
      </w:r>
    </w:p>
    <w:p>
      <w:pPr>
        <w:spacing w:after="0" w:line="114" w:lineRule="exact"/>
        <w:rPr>
          <w:sz w:val="20"/>
          <w:szCs w:val="20"/>
          <w:color w:val="auto"/>
        </w:rPr>
      </w:pPr>
    </w:p>
    <w:p>
      <w:pPr>
        <w:ind w:right="20" w:firstLine="436"/>
        <w:spacing w:after="0" w:line="250"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In the event that either the Company, its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or any of its shareholders (or any Person acting on their behalf)</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discloses any confidential information of the Company to any Person (as defined below) in connection with a potential Acquisition (as defined below) by such Person (or any Person on its behalf), the Company shall provide DHL with prompt (and in any event within three (3) business days) written notice advising on such disclosure of information. Further, if either the Company or its shareholders receive an Acquisition Proposal (as defined below), the Company shall provide DHL with prompt (and in any event within three (3) business days) written notice of the receipt of such Acquisition Proposal (the “</w:t>
      </w:r>
      <w:r>
        <w:rPr>
          <w:rFonts w:ascii="Arial" w:cs="Arial" w:eastAsia="Arial" w:hAnsi="Arial"/>
          <w:sz w:val="18"/>
          <w:szCs w:val="18"/>
          <w:b w:val="1"/>
          <w:bCs w:val="1"/>
          <w:color w:val="auto"/>
        </w:rPr>
        <w:t>Notice</w:t>
      </w:r>
      <w:r>
        <w:rPr>
          <w:rFonts w:ascii="Arial" w:cs="Arial" w:eastAsia="Arial" w:hAnsi="Arial"/>
          <w:sz w:val="18"/>
          <w:szCs w:val="18"/>
          <w:color w:val="auto"/>
        </w:rPr>
        <w:t>”). The Notice shall (a) indicate that the Company has received an Acquisition Proposal, (b) describe the general nature and timing of the proposed transaction</w:t>
      </w:r>
    </w:p>
    <w:p>
      <w:pPr>
        <w:spacing w:after="0" w:line="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(i.e., cash or securities, and assets, securities or merger) if outlined in the Acquisition Proposal; provided that the Company need not disclose the proposed purchase price or the identity of the third party offeror in the Notice, except as described below, and (c) to the extent the Acquisition Proposal is submitted to the Company or its shareholders on or before December 31, 2017, the consideration offered in the Acquisition Proposal (including indicating any earn-out consideration, if any), and to the extent the Acquisition Proposal is submitted after December 31, 2017, the range, in increments of [***] within which the consideration (including any earn-out) under which the Acquisition Proposal resides and the percentage of the earn-out portion out of the entire consideration. Within three (3) business days of DHL’s receipt of any Notice, DHL may provide the Company with three</w:t>
      </w:r>
    </w:p>
    <w:p>
      <w:pPr>
        <w:spacing w:after="0" w:line="1" w:lineRule="exact"/>
        <w:rPr>
          <w:sz w:val="20"/>
          <w:szCs w:val="20"/>
          <w:color w:val="auto"/>
        </w:rPr>
      </w:pPr>
    </w:p>
    <w:p>
      <w:pPr>
        <w:ind w:firstLine="7"/>
        <w:spacing w:after="0" w:line="286" w:lineRule="auto"/>
        <w:tabs>
          <w:tab w:leader="none" w:pos="25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lists of five (5) potential third party offerors in each list (the “</w:t>
      </w:r>
      <w:r>
        <w:rPr>
          <w:rFonts w:ascii="Arial" w:cs="Arial" w:eastAsia="Arial" w:hAnsi="Arial"/>
          <w:sz w:val="16"/>
          <w:szCs w:val="16"/>
          <w:b w:val="1"/>
          <w:bCs w:val="1"/>
          <w:color w:val="auto"/>
        </w:rPr>
        <w:t>Third Party Lists</w:t>
      </w:r>
      <w:r>
        <w:rPr>
          <w:rFonts w:ascii="Arial" w:cs="Arial" w:eastAsia="Arial" w:hAnsi="Arial"/>
          <w:sz w:val="16"/>
          <w:szCs w:val="16"/>
          <w:color w:val="auto"/>
        </w:rPr>
        <w:t>”), and the Company shall, within twenty-four (24) hours of the Company’s receipt of such Third Party Lists notify DHL (the “</w:t>
      </w:r>
      <w:r>
        <w:rPr>
          <w:rFonts w:ascii="Arial" w:cs="Arial" w:eastAsia="Arial" w:hAnsi="Arial"/>
          <w:sz w:val="16"/>
          <w:szCs w:val="16"/>
          <w:b w:val="1"/>
          <w:bCs w:val="1"/>
          <w:color w:val="auto"/>
        </w:rPr>
        <w:t>DHL Notification</w:t>
      </w:r>
      <w:r>
        <w:rPr>
          <w:rFonts w:ascii="Arial" w:cs="Arial" w:eastAsia="Arial" w:hAnsi="Arial"/>
          <w:sz w:val="16"/>
          <w:szCs w:val="16"/>
          <w:color w:val="auto"/>
        </w:rPr>
        <w:t>”) whether the third party offeror in the relevant Acquisition Proposal appears on any of the Third Party Lists and under which list (without the need to disclose the identity of the specific offeror). As of the day on which the Notice is provided and until 11:59 pm Israel time of the 30th day after the Company provided DHL the Notice (the “</w:t>
      </w:r>
      <w:r>
        <w:rPr>
          <w:rFonts w:ascii="Arial" w:cs="Arial" w:eastAsia="Arial" w:hAnsi="Arial"/>
          <w:sz w:val="16"/>
          <w:szCs w:val="16"/>
          <w:b w:val="1"/>
          <w:bCs w:val="1"/>
          <w:color w:val="auto"/>
        </w:rPr>
        <w:t>Review Period</w:t>
      </w:r>
      <w:r>
        <w:rPr>
          <w:rFonts w:ascii="Arial" w:cs="Arial" w:eastAsia="Arial" w:hAnsi="Arial"/>
          <w:sz w:val="16"/>
          <w:szCs w:val="16"/>
          <w:color w:val="auto"/>
        </w:rPr>
        <w:t>”), DHL or any of its Affiliates may submit an offer (a “</w:t>
      </w:r>
      <w:r>
        <w:rPr>
          <w:rFonts w:ascii="Arial" w:cs="Arial" w:eastAsia="Arial" w:hAnsi="Arial"/>
          <w:sz w:val="16"/>
          <w:szCs w:val="16"/>
          <w:b w:val="1"/>
          <w:bCs w:val="1"/>
          <w:color w:val="auto"/>
        </w:rPr>
        <w:t>DHL Offer</w:t>
      </w:r>
      <w:r>
        <w:rPr>
          <w:rFonts w:ascii="Arial" w:cs="Arial" w:eastAsia="Arial" w:hAnsi="Arial"/>
          <w:sz w:val="16"/>
          <w:szCs w:val="16"/>
          <w:color w:val="auto"/>
        </w:rPr>
        <w:t>” and such entity which shall submit the offer, “</w:t>
      </w:r>
      <w:r>
        <w:rPr>
          <w:rFonts w:ascii="Arial" w:cs="Arial" w:eastAsia="Arial" w:hAnsi="Arial"/>
          <w:sz w:val="16"/>
          <w:szCs w:val="16"/>
          <w:b w:val="1"/>
          <w:bCs w:val="1"/>
          <w:color w:val="auto"/>
        </w:rPr>
        <w:t>DHL Offeror</w:t>
      </w:r>
      <w:r>
        <w:rPr>
          <w:rFonts w:ascii="Arial" w:cs="Arial" w:eastAsia="Arial" w:hAnsi="Arial"/>
          <w:sz w:val="16"/>
          <w:szCs w:val="16"/>
          <w:color w:val="auto"/>
        </w:rPr>
        <w:t>”) to acquire the Company’s share capital or all or a portion of its assets or securities (including through a merger, share purchase or asset transaction), and the Company agrees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68" w:right="49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refer such DHL Offer to the Board for its consideration. Prior to the expiration of the Review Period, the Company and its shareholders shall not, and the Company shall not permit any of its officers, directors, employees, agents, any investment banker, attorney, or other advisor or representative retained by any of them, to (i) enter into any definitive agreement relating to an Acquisition Proposal, or (ii) enter into any exclusivity, no-shop or other agreement that would preclude the Company or its shareholders from negotiating with DHL Offeror with respect to a DHL Offer or other indication of interest by a DHL Offeror.</w:t>
      </w:r>
    </w:p>
    <w:p>
      <w:pPr>
        <w:spacing w:after="0" w:line="82"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For purposes of this Section, an “</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any bona fide written (including by email) offer or indication of interest,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public announcement of intention known to the Company, in each case relating to, or involving, an Acquisition; and an “</w:t>
      </w:r>
      <w:r>
        <w:rPr>
          <w:rFonts w:ascii="Arial" w:cs="Arial" w:eastAsia="Arial" w:hAnsi="Arial"/>
          <w:sz w:val="16"/>
          <w:szCs w:val="16"/>
          <w:b w:val="1"/>
          <w:bCs w:val="1"/>
          <w:color w:val="auto"/>
        </w:rPr>
        <w:t>Acquisition</w:t>
      </w:r>
      <w:r>
        <w:rPr>
          <w:rFonts w:ascii="Arial" w:cs="Arial" w:eastAsia="Arial" w:hAnsi="Arial"/>
          <w:sz w:val="16"/>
          <w:szCs w:val="16"/>
          <w:color w:val="auto"/>
        </w:rPr>
        <w:t>” means a transaction or series of transactions by virtue of a merger or any other transaction that if consummated would result in: (a) an acquisition of more than a 50% interest in the total outstanding voting securities of Company or any tender offer or exchange offer that if consummated would result in any Person or group of Persons beneficially owning 50% or more of the total outstanding voting securities of the Company, or (b) any sale, lease, mortgage, pledge, exchange, transfer, license (other than in the ordinary course of business), acquisition, or disposition of all or substantially all the assets of the Company.</w:t>
      </w:r>
    </w:p>
    <w:p>
      <w:pPr>
        <w:spacing w:after="0" w:line="52"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color w:val="auto"/>
        </w:rPr>
        <w:t>Following the Company’s delivery of a Notice under Section 3.1 above, if (i) a DHL Offeror does not submit the DHL Offer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Review Period, or (ii) a DHL Offeror submits the DHL Offer but such DHL Offer is not accepted by the Board (in which case, the Company shall advise DHL in writing of the rejection), the Company shall have the right, but not the obligation, to execute a definitive agreement with the third party offeror making the Acquisition Proposal within one hundred and twenty (120) days of the Notice. Notwithstanding the foregoing, in the event of any material change in the terms of the Acquisition Proposal, the Company shall notify DHL of the same and DHL will be entitled to receive a new Notice and to submit a new DHL Offer, in accordance with the terms of Section 3.1, except that the Review Period following such material change will be limited to seven (7) days. If no definitive agreement is entered into with the third party offeror within such 120-day period, DHL will be entitled to receive a new Notice and to submit a new DHL Offer, in accordance with the terms of Section 3.1 with respect to any subsequent Acquisition Proposal (whether or not from the same potential acquirer).</w:t>
      </w:r>
    </w:p>
    <w:p>
      <w:pPr>
        <w:spacing w:after="0" w:line="68" w:lineRule="exact"/>
        <w:rPr>
          <w:sz w:val="20"/>
          <w:szCs w:val="20"/>
          <w:color w:val="auto"/>
        </w:rPr>
      </w:pPr>
    </w:p>
    <w:p>
      <w:pPr>
        <w:ind w:right="100" w:firstLine="436"/>
        <w:spacing w:after="0" w:line="299"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color w:val="auto"/>
        </w:rPr>
        <w:t>Without limiting or derogating anything in the foregoing, the Company will allow DHL and any of its Affiliates to participate on an equal</w:t>
      </w:r>
      <w:r>
        <w:rPr>
          <w:rFonts w:ascii="Arial" w:cs="Arial" w:eastAsia="Arial" w:hAnsi="Arial"/>
          <w:sz w:val="16"/>
          <w:szCs w:val="16"/>
          <w:b w:val="1"/>
          <w:bCs w:val="1"/>
          <w:color w:val="auto"/>
        </w:rPr>
        <w:t xml:space="preserve"> </w:t>
      </w:r>
      <w:r>
        <w:rPr>
          <w:rFonts w:ascii="Arial" w:cs="Arial" w:eastAsia="Arial" w:hAnsi="Arial"/>
          <w:sz w:val="16"/>
          <w:szCs w:val="16"/>
          <w:color w:val="auto"/>
        </w:rPr>
        <w:t>basis with other third parties should the Company’s Board resolve to initiate a process to solicit an Acquisition Proposal whether via an auction or otherwise; provided however that if such process shall commence following December 31, 2017 and the Company provided DHL with a written notice of the process prior to the commencement of such process, the provisions of this Section 3 shall not apply with respect to such process.</w:t>
      </w:r>
    </w:p>
    <w:p>
      <w:pPr>
        <w:spacing w:after="0" w:line="46"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color w:val="auto"/>
        </w:rPr>
        <w:t>In connection with any Review Period, the Company will promptly provide the DHL Offeror access to due diligence materials and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enable such DHL Offeror to conduct a due diligence investigation customary for making a proposal for an Acquisition Proposal and with the same level of access provided to any other party that has made an Acquisition Proposal, subject to customary confidentiality obligations and exclusions (redactions), if similar exclusions (redactions) apply to such other parties, for information related to competitors of DHL and information of the Company where there is a reasonable likelihood that it may be used by DHL or its Affiliates to compete with the Company. In all events, this access will terminate if DHL elects not to exercise the right to provide the DHL Offer (including through its Affiliates) within the Review Period or such DHL Offer is rejected (unless the right of first notice process starts again pursuant to the terms of this Letter).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68" w:right="53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jc w:val="both"/>
        <w:ind w:right="160" w:firstLine="436"/>
        <w:spacing w:after="0" w:line="284"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color w:val="auto"/>
        </w:rPr>
        <w:t>The Company may provide a summary of the material terms of this Section 3 without identifying DHL as the beneficiary of such right, but</w:t>
      </w:r>
      <w:r>
        <w:rPr>
          <w:rFonts w:ascii="Arial" w:cs="Arial" w:eastAsia="Arial" w:hAnsi="Arial"/>
          <w:sz w:val="17"/>
          <w:szCs w:val="17"/>
          <w:b w:val="1"/>
          <w:bCs w:val="1"/>
          <w:color w:val="auto"/>
        </w:rPr>
        <w:t xml:space="preserve"> </w:t>
      </w:r>
      <w:r>
        <w:rPr>
          <w:rFonts w:ascii="Arial" w:cs="Arial" w:eastAsia="Arial" w:hAnsi="Arial"/>
          <w:sz w:val="17"/>
          <w:szCs w:val="17"/>
          <w:color w:val="auto"/>
        </w:rPr>
        <w:t>only to a Person under a non-disclosure agreement and with whom the Company is having discussions with respect to a potential Acquisition Proposal or any person with whom the Company initiates activities that trigger a Review Period under Section 3 of this Agreement.</w:t>
      </w:r>
    </w:p>
    <w:p>
      <w:pPr>
        <w:spacing w:after="0" w:line="55"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The Company shall not grant rights of a superior or similar nature to those contained in this Section 3 to any Person (other than DHL).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any doubt, subject to Section 3.1, the Company may accept or reject any Acquisition Proposal, in accordance with its sole and absolute discretion.</w:t>
      </w:r>
    </w:p>
    <w:p>
      <w:pPr>
        <w:spacing w:after="0" w:line="74"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color w:val="auto"/>
        </w:rPr>
        <w:t>This Section 3 will terminate and be of no further force or effect upon the earliest to occur of (a) the closing of a public offering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capital stock pursuant to a registration statement filed by the Company under the Securities Act of 1933 which has become effective thereunder, or the Israeli Securities Law, 5728-1968, as amended, or under equivalent securities law of another jurisdiction, (b) a Merger and Acquisition (as defined in the Amended Articles), and (c) such time as DHL (including any of its Affiliates) holds less than 3% of the issued and outstanding share capital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and Termination.</w:t>
      </w:r>
    </w:p>
    <w:p>
      <w:pPr>
        <w:spacing w:after="0" w:line="114"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The Letter will commence as of the Effective Date and continue in effect for an initial period of three (3) years. Thereafter, this Letter will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automatically renew for a subsequent period of two (2) years, except that in the event a Major Market Change or a Strategic Partnership has occurred during the initial three (3)-year period, the Company will have the option to terminate this Letter at the end of the initial three (3)-year period by providing prior written notice to DHL. After the 2-year renewal period, this Letter will continue to be in full force and effect, unless either party provides a written termination notice to the other party, with an effective termination date of at least twelve (12) months after the date such notice is provided;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at any time after the initial three (3)-year period of this Letter the Company undergoes a Merger and Acquisition (as defined in the Amended Articles), then within thirty (30) days after completion of such transaction, the Company will have the right to provide written notice of the termination of this Letter, effective at least six (6) months after such notice is received by DHL. As used herein, a “</w:t>
      </w:r>
      <w:r>
        <w:rPr>
          <w:rFonts w:ascii="Arial" w:cs="Arial" w:eastAsia="Arial" w:hAnsi="Arial"/>
          <w:sz w:val="17"/>
          <w:szCs w:val="17"/>
          <w:b w:val="1"/>
          <w:bCs w:val="1"/>
          <w:color w:val="auto"/>
        </w:rPr>
        <w:t>Major Market</w:t>
      </w:r>
      <w:r>
        <w:rPr>
          <w:rFonts w:ascii="Arial" w:cs="Arial" w:eastAsia="Arial" w:hAnsi="Arial"/>
          <w:sz w:val="17"/>
          <w:szCs w:val="17"/>
          <w:color w:val="auto"/>
        </w:rPr>
        <w:t xml:space="preserve"> </w:t>
      </w:r>
      <w:r>
        <w:rPr>
          <w:rFonts w:ascii="Arial" w:cs="Arial" w:eastAsia="Arial" w:hAnsi="Arial"/>
          <w:sz w:val="17"/>
          <w:szCs w:val="17"/>
          <w:b w:val="1"/>
          <w:bCs w:val="1"/>
          <w:color w:val="auto"/>
        </w:rPr>
        <w:t>Change</w:t>
      </w:r>
      <w:r>
        <w:rPr>
          <w:rFonts w:ascii="Arial" w:cs="Arial" w:eastAsia="Arial" w:hAnsi="Arial"/>
          <w:sz w:val="17"/>
          <w:szCs w:val="17"/>
          <w:color w:val="auto"/>
        </w:rPr>
        <w:t>” means a significant change in the standards of the cross-border e-commerce shipments market, including if such change is due to new</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services or technology introduced to such market, if such change is not supported by DHL or any of its Affiliates in a competitive manner. If the parties disagree as to whether a Major Market Change has occurred, the issue shall be referred to the senior management of the parties in accordance with the process described in Section 1.5 above. “</w:t>
      </w:r>
      <w:r>
        <w:rPr>
          <w:rFonts w:ascii="Arial" w:cs="Arial" w:eastAsia="Arial" w:hAnsi="Arial"/>
          <w:sz w:val="17"/>
          <w:szCs w:val="17"/>
          <w:b w:val="1"/>
          <w:bCs w:val="1"/>
          <w:color w:val="auto"/>
        </w:rPr>
        <w:t>Strategic Partnership</w:t>
      </w:r>
      <w:r>
        <w:rPr>
          <w:rFonts w:ascii="Arial" w:cs="Arial" w:eastAsia="Arial" w:hAnsi="Arial"/>
          <w:sz w:val="17"/>
          <w:szCs w:val="17"/>
          <w:color w:val="auto"/>
        </w:rPr>
        <w:t>” means a strategic partnership of similar nature to the arrangement set forth in Section 1 of this Letter that is entered into between DHL and a Company Competitor in the United States, the United Kingdom, the EU or Australia during the initial three (3)-year period of this Letter.</w:t>
      </w:r>
    </w:p>
    <w:p>
      <w:pPr>
        <w:spacing w:after="0" w:line="70" w:lineRule="exact"/>
        <w:rPr>
          <w:sz w:val="20"/>
          <w:szCs w:val="20"/>
          <w:color w:val="auto"/>
        </w:rPr>
      </w:pPr>
    </w:p>
    <w:p>
      <w:pPr>
        <w:ind w:right="160" w:firstLine="436"/>
        <w:spacing w:after="0" w:line="25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Either party may terminate this Letter by providing written notice to the other party in the event that the other party has materially breached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has not cured such breach within forty-five (45) days after receiving written notice of such breach. Notwithstanding the foregoing, prior to submitting any termination notice, the parties must attempt to resolve the matter in good faith in accordance with the process descried in Section 1.5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Miscellaneous</w:t>
      </w:r>
      <w:r>
        <w:rPr>
          <w:rFonts w:ascii="Arial" w:cs="Arial" w:eastAsia="Arial" w:hAnsi="Arial"/>
          <w:sz w:val="18"/>
          <w:szCs w:val="18"/>
          <w:color w:val="auto"/>
        </w:rPr>
        <w:t>.</w:t>
      </w:r>
    </w:p>
    <w:p>
      <w:pPr>
        <w:spacing w:after="0" w:line="114" w:lineRule="exact"/>
        <w:rPr>
          <w:sz w:val="20"/>
          <w:szCs w:val="20"/>
          <w:color w:val="auto"/>
        </w:rPr>
      </w:pPr>
    </w:p>
    <w:p>
      <w:pPr>
        <w:ind w:right="60" w:firstLine="436"/>
        <w:spacing w:after="0" w:line="261" w:lineRule="auto"/>
        <w:rPr>
          <w:sz w:val="20"/>
          <w:szCs w:val="20"/>
          <w:color w:val="auto"/>
        </w:rPr>
      </w:pPr>
      <w:r>
        <w:rPr>
          <w:rFonts w:ascii="Arial" w:cs="Arial" w:eastAsia="Arial" w:hAnsi="Arial"/>
          <w:sz w:val="18"/>
          <w:szCs w:val="18"/>
          <w:b w:val="1"/>
          <w:bCs w:val="1"/>
          <w:color w:val="auto"/>
        </w:rPr>
        <w:t xml:space="preserve">5.1. Notices. </w:t>
      </w:r>
      <w:r>
        <w:rPr>
          <w:rFonts w:ascii="Arial" w:cs="Arial" w:eastAsia="Arial" w:hAnsi="Arial"/>
          <w:sz w:val="18"/>
          <w:szCs w:val="18"/>
          <w:color w:val="auto"/>
        </w:rPr>
        <w:t>For a notice or other communication under this Letter to be valid, it must be in writing and delivered via email, or by a globally</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express delivery service (e.g., DHL) or fax (followed by an email copy, receipt of which need not be acknowledged) to the other party at the address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8" w:right="51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listed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 Any such notice or communication will be deemed to have been delivered and received (1) in the case of email, on the date the recipient acknowledges having received the email, with an automatic “read receipt” constituting acknowledgment of an email for purposes of this Section and (2) in the case of a globally recognized express delivery service, the business day on which receipt by the addressee is confirmed pursuant to the service’s systems, and (3) by fax on the date of delivery of such fax with a confirmation of such fax being delivered. Either party may update this address for notice by giving the other party written notice of the new address.</w:t>
      </w:r>
    </w:p>
    <w:p>
      <w:pPr>
        <w:spacing w:after="0" w:line="65" w:lineRule="exact"/>
        <w:rPr>
          <w:sz w:val="20"/>
          <w:szCs w:val="20"/>
          <w:color w:val="auto"/>
        </w:rPr>
      </w:pPr>
    </w:p>
    <w:p>
      <w:pPr>
        <w:ind w:right="300" w:firstLine="436"/>
        <w:spacing w:after="0" w:line="306" w:lineRule="auto"/>
        <w:rPr>
          <w:sz w:val="20"/>
          <w:szCs w:val="20"/>
          <w:color w:val="auto"/>
        </w:rPr>
      </w:pPr>
      <w:r>
        <w:rPr>
          <w:rFonts w:ascii="Arial" w:cs="Arial" w:eastAsia="Arial" w:hAnsi="Arial"/>
          <w:sz w:val="17"/>
          <w:szCs w:val="17"/>
          <w:b w:val="1"/>
          <w:bCs w:val="1"/>
          <w:color w:val="auto"/>
        </w:rPr>
        <w:t xml:space="preserve">5.2. Amendment and Waiver. </w:t>
      </w:r>
      <w:r>
        <w:rPr>
          <w:rFonts w:ascii="Arial" w:cs="Arial" w:eastAsia="Arial" w:hAnsi="Arial"/>
          <w:sz w:val="17"/>
          <w:szCs w:val="17"/>
          <w:color w:val="auto"/>
        </w:rPr>
        <w:t>No amendment of this Letter will be effective unless it is in writing and signed by both parties. No waiver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party’s failure to comply with an obligation under this Letter will be effective unless it is in writing and signed by the other party.</w:t>
      </w:r>
    </w:p>
    <w:p>
      <w:pPr>
        <w:spacing w:after="0" w:line="36" w:lineRule="exact"/>
        <w:rPr>
          <w:sz w:val="20"/>
          <w:szCs w:val="20"/>
          <w:color w:val="auto"/>
        </w:rPr>
      </w:pPr>
    </w:p>
    <w:p>
      <w:pPr>
        <w:ind w:right="60" w:firstLine="436"/>
        <w:spacing w:after="0" w:line="257" w:lineRule="auto"/>
        <w:rPr>
          <w:sz w:val="20"/>
          <w:szCs w:val="20"/>
          <w:color w:val="auto"/>
        </w:rPr>
      </w:pPr>
      <w:r>
        <w:rPr>
          <w:rFonts w:ascii="Arial" w:cs="Arial" w:eastAsia="Arial" w:hAnsi="Arial"/>
          <w:sz w:val="18"/>
          <w:szCs w:val="18"/>
          <w:b w:val="1"/>
          <w:bCs w:val="1"/>
          <w:color w:val="auto"/>
        </w:rPr>
        <w:t xml:space="preserve">5.3. Governing Law and Forum. </w:t>
      </w:r>
      <w:r>
        <w:rPr>
          <w:rFonts w:ascii="Arial" w:cs="Arial" w:eastAsia="Arial" w:hAnsi="Arial"/>
          <w:sz w:val="18"/>
          <w:szCs w:val="18"/>
          <w:color w:val="auto"/>
        </w:rPr>
        <w:t>This Letter is governed by the laws of the State of Israel without giving effect to its principles of conflicts of</w:t>
      </w:r>
      <w:r>
        <w:rPr>
          <w:rFonts w:ascii="Arial" w:cs="Arial" w:eastAsia="Arial" w:hAnsi="Arial"/>
          <w:sz w:val="18"/>
          <w:szCs w:val="18"/>
          <w:b w:val="1"/>
          <w:bCs w:val="1"/>
          <w:color w:val="auto"/>
        </w:rPr>
        <w:t xml:space="preserve"> </w:t>
      </w:r>
      <w:r>
        <w:rPr>
          <w:rFonts w:ascii="Arial" w:cs="Arial" w:eastAsia="Arial" w:hAnsi="Arial"/>
          <w:sz w:val="18"/>
          <w:szCs w:val="18"/>
          <w:color w:val="auto"/>
        </w:rPr>
        <w:t>law. Any dispute regarding this Letter must be decided by a court of competent jurisdiction located in Tel-Aviv, Israel. Nothing herein shall derogate from either party’s right to seek for an injunction, restraining order or other equitable relief from any court of competent jurisdiction in the event of any breach by the other party of any of its obligations under this Letter.</w:t>
      </w:r>
    </w:p>
    <w:p>
      <w:pPr>
        <w:spacing w:after="0" w:line="76" w:lineRule="exact"/>
        <w:rPr>
          <w:sz w:val="20"/>
          <w:szCs w:val="20"/>
          <w:color w:val="auto"/>
        </w:rPr>
      </w:pPr>
    </w:p>
    <w:p>
      <w:pPr>
        <w:ind w:right="760" w:firstLine="436"/>
        <w:spacing w:after="0" w:line="340" w:lineRule="auto"/>
        <w:rPr>
          <w:sz w:val="20"/>
          <w:szCs w:val="20"/>
          <w:color w:val="auto"/>
        </w:rPr>
      </w:pPr>
      <w:r>
        <w:rPr>
          <w:rFonts w:ascii="Arial" w:cs="Arial" w:eastAsia="Arial" w:hAnsi="Arial"/>
          <w:sz w:val="16"/>
          <w:szCs w:val="16"/>
          <w:b w:val="1"/>
          <w:bCs w:val="1"/>
          <w:color w:val="auto"/>
        </w:rPr>
        <w:t xml:space="preserve">5.4. Integration. </w:t>
      </w:r>
      <w:r>
        <w:rPr>
          <w:rFonts w:ascii="Arial" w:cs="Arial" w:eastAsia="Arial" w:hAnsi="Arial"/>
          <w:sz w:val="16"/>
          <w:szCs w:val="16"/>
          <w:color w:val="auto"/>
        </w:rPr>
        <w:t>This Letter is the complete and exclusive statement regarding the subject matter of this Letter and supersedes all prior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understandings and communications, oral or written, between the parties regarding the subject matter of this letter agreement.</w:t>
      </w:r>
    </w:p>
    <w:p>
      <w:pPr>
        <w:spacing w:after="0" w:line="14" w:lineRule="exact"/>
        <w:rPr>
          <w:sz w:val="20"/>
          <w:szCs w:val="20"/>
          <w:color w:val="auto"/>
        </w:rPr>
      </w:pPr>
    </w:p>
    <w:p>
      <w:pPr>
        <w:ind w:firstLine="436"/>
        <w:spacing w:after="0" w:line="273" w:lineRule="auto"/>
        <w:rPr>
          <w:sz w:val="20"/>
          <w:szCs w:val="20"/>
          <w:color w:val="auto"/>
        </w:rPr>
      </w:pPr>
      <w:r>
        <w:rPr>
          <w:rFonts w:ascii="Arial" w:cs="Arial" w:eastAsia="Arial" w:hAnsi="Arial"/>
          <w:sz w:val="17"/>
          <w:szCs w:val="17"/>
          <w:b w:val="1"/>
          <w:bCs w:val="1"/>
          <w:color w:val="auto"/>
        </w:rPr>
        <w:t>5.5. Affiliates</w:t>
      </w:r>
      <w:r>
        <w:rPr>
          <w:rFonts w:ascii="Arial" w:cs="Arial" w:eastAsia="Arial" w:hAnsi="Arial"/>
          <w:sz w:val="17"/>
          <w:szCs w:val="17"/>
          <w:color w:val="auto"/>
        </w:rPr>
        <w:t>. For the purposes of this Agreement, (i)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controls, is controlled by, or is under common control with, such Person, including without limitation any general partner, managing member, officer or director of such Person or any venture capital fund now or hereafter existing of which such Person is a partner or member that is controlled by one or more general partners or managing members of, or shares the same management company with, such Person and (ii)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trust, limited liability company, association or other entity.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480" w:top="268" w:right="55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GLOBAL-E ONLINE LTD.</w:t>
      </w:r>
    </w:p>
    <w:p>
      <w:pPr>
        <w:spacing w:after="0" w:line="236"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Amir Schlachet</w:t>
      </w:r>
    </w:p>
    <w:p>
      <w:pPr>
        <w:spacing w:after="0" w:line="221"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CEO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DHL INTERNATIONAL GMBH</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Joe Joseph</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79"/>
          </w:cols>
          <w:pgMar w:left="480" w:top="268" w:right="1440"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DHL Competitor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DHL Competitor</w:t>
      </w:r>
      <w:r>
        <w:rPr>
          <w:rFonts w:ascii="Arial" w:cs="Arial" w:eastAsia="Arial" w:hAnsi="Arial"/>
          <w:sz w:val="18"/>
          <w:szCs w:val="18"/>
          <w:color w:val="auto"/>
        </w:rPr>
        <w:t>” means any of the following:</w:t>
      </w:r>
    </w:p>
    <w:p>
      <w:pPr>
        <w:spacing w:after="0" w:line="131" w:lineRule="exact"/>
        <w:rPr>
          <w:sz w:val="20"/>
          <w:szCs w:val="20"/>
          <w:color w:val="auto"/>
        </w:rPr>
      </w:pPr>
    </w:p>
    <w:p>
      <w:pPr>
        <w:ind w:left="980" w:hanging="545"/>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line="271" w:lineRule="auto"/>
        <w:tabs>
          <w:tab w:leader="none" w:pos="9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other large courier delivery services company, which now or hereinafter controls 25% or more of the e-commerce shipments market in Europe, the USA or China, or any Affiliate of such company.</w:t>
      </w:r>
    </w:p>
    <w:p>
      <w:pPr>
        <w:sectPr>
          <w:pgSz w:w="11900" w:h="16838" w:orient="portrait"/>
          <w:cols w:equalWidth="0" w:num="1">
            <w:col w:w="10920"/>
          </w:cols>
          <w:pgMar w:left="480" w:top="268" w:right="49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Company Competitor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Competitor</w:t>
      </w:r>
      <w:r>
        <w:rPr>
          <w:rFonts w:ascii="Arial" w:cs="Arial" w:eastAsia="Arial" w:hAnsi="Arial"/>
          <w:sz w:val="18"/>
          <w:szCs w:val="18"/>
          <w:color w:val="auto"/>
        </w:rPr>
        <w:t>” means any of the following:</w:t>
      </w:r>
    </w:p>
    <w:p>
      <w:pPr>
        <w:spacing w:after="0" w:line="131" w:lineRule="exact"/>
        <w:rPr>
          <w:sz w:val="20"/>
          <w:szCs w:val="20"/>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It is hereby agreed that due to the dynamic nature of the e-commerce market, the Company may, from time to time, request to add to the list in this Schedule B an additional competitor of the Company which has similar technology and/or characteristics and/or business-model as the companies listed in this Schedule B. Such addition will be subject to DHL’s consent, which will not be unreasonably delayed or denied. If DHL objects to such addition request, the matter will be referred to the senior management of the parties in accordance with the process described in Section 1.5 of this Letter.</w:t>
      </w:r>
    </w:p>
    <w:p>
      <w:pPr>
        <w:sectPr>
          <w:pgSz w:w="11900" w:h="16838" w:orient="portrait"/>
          <w:cols w:equalWidth="0" w:num="1">
            <w:col w:w="10860"/>
          </w:cols>
          <w:pgMar w:left="480" w:top="268" w:right="55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Execution Version</w:t>
      </w:r>
    </w:p>
    <w:p>
      <w:pPr>
        <w:spacing w:after="0" w:line="154"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DHL: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DHL International GmbH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Charles-de-Gaulle-Straße 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53113 Bonn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Federal Republic of Germany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Henrik Hänche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henrik.haenche@dpdhl.com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Herzog Fox &amp; Neeman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Asia House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 Weizmann 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6423904, Israel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Hanan Haviv, Adv. and Yuval Meidar, Adv.</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havivh@hfn.co.il; meidary@hfn.co.il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25 Bazel 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Petach Tichva, 4951038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Amir Schlachet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Amir@global-e.com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Meitar Liquornik Geva Leshem Tal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16 Abba Hillel Rd.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Ramat Gan 52506, Israel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Maya Liquornik, Advocate; and Simcha Koevary, Advocate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maya@meitar.com; simchak@meitar.com</w:t>
      </w:r>
    </w:p>
    <w:p>
      <w:pPr>
        <w:sectPr>
          <w:pgSz w:w="11900" w:h="16838" w:orient="portrait"/>
          <w:cols w:equalWidth="0" w:num="1">
            <w:col w:w="9979"/>
          </w:cols>
          <w:pgMar w:left="480" w:top="268" w:right="1440"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b w:val="1"/>
          <w:bCs w:val="1"/>
          <w:color w:val="auto"/>
        </w:rPr>
        <w:t>Exhibit 10.6</w:t>
      </w:r>
    </w:p>
    <w:p>
      <w:pPr>
        <w:spacing w:after="0" w:line="22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COMPENSATION POLICY</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GLOBAL-E ONLINE LTD.</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Compensation Policy for Executive Officers and Directors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 Adopted on March, 2021)</w:t>
      </w:r>
    </w:p>
    <w:p>
      <w:pPr>
        <w:sectPr>
          <w:pgSz w:w="11900" w:h="16838" w:orient="portrait"/>
          <w:cols w:equalWidth="0" w:num="1">
            <w:col w:w="9960"/>
          </w:cols>
          <w:pgMar w:left="1440" w:top="120" w:right="49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 </w:t>
      </w:r>
      <w:r>
        <w:rPr>
          <w:rFonts w:ascii="Arial" w:cs="Arial" w:eastAsia="Arial" w:hAnsi="Arial"/>
          <w:sz w:val="18"/>
          <w:szCs w:val="18"/>
          <w:b w:val="1"/>
          <w:bCs w:val="1"/>
          <w:u w:val="single" w:color="auto"/>
          <w:color w:val="auto"/>
        </w:rPr>
        <w:t>Overview and Objectives</w:t>
      </w:r>
    </w:p>
    <w:p>
      <w:pPr>
        <w:spacing w:after="0" w:line="248" w:lineRule="exact"/>
        <w:rPr>
          <w:sz w:val="20"/>
          <w:szCs w:val="20"/>
          <w:color w:val="auto"/>
        </w:rPr>
      </w:pPr>
    </w:p>
    <w:p>
      <w:pPr>
        <w:ind w:left="440" w:hanging="433"/>
        <w:spacing w:after="0"/>
        <w:tabs>
          <w:tab w:leader="none" w:pos="440"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13" w:lineRule="exact"/>
        <w:rPr>
          <w:rFonts w:ascii="Arial" w:cs="Arial" w:eastAsia="Arial" w:hAnsi="Arial"/>
          <w:sz w:val="18"/>
          <w:szCs w:val="18"/>
          <w:color w:val="auto"/>
        </w:rPr>
      </w:pPr>
    </w:p>
    <w:p>
      <w:pPr>
        <w:jc w:val="both"/>
        <w:ind w:left="440" w:right="220"/>
        <w:spacing w:after="0" w:line="340" w:lineRule="auto"/>
        <w:rPr>
          <w:rFonts w:ascii="Arial" w:cs="Arial" w:eastAsia="Arial" w:hAnsi="Arial"/>
          <w:sz w:val="18"/>
          <w:szCs w:val="18"/>
          <w:color w:val="auto"/>
        </w:rPr>
      </w:pPr>
      <w:r>
        <w:rPr>
          <w:rFonts w:ascii="Arial" w:cs="Arial" w:eastAsia="Arial" w:hAnsi="Arial"/>
          <w:sz w:val="16"/>
          <w:szCs w:val="16"/>
          <w:color w:val="auto"/>
        </w:rPr>
        <w:t>This document sets forth the Compensation Policy for Executive Officers and Directors (this “</w:t>
      </w:r>
      <w:r>
        <w:rPr>
          <w:rFonts w:ascii="Arial" w:cs="Arial" w:eastAsia="Arial" w:hAnsi="Arial"/>
          <w:sz w:val="16"/>
          <w:szCs w:val="16"/>
          <w:b w:val="1"/>
          <w:bCs w:val="1"/>
          <w:color w:val="auto"/>
        </w:rPr>
        <w:t>Compensation Policy</w:t>
      </w:r>
      <w:r>
        <w:rPr>
          <w:rFonts w:ascii="Arial" w:cs="Arial" w:eastAsia="Arial" w:hAnsi="Arial"/>
          <w:sz w:val="16"/>
          <w:szCs w:val="16"/>
          <w:color w:val="auto"/>
        </w:rPr>
        <w:t>” or “</w:t>
      </w:r>
      <w:r>
        <w:rPr>
          <w:rFonts w:ascii="Arial" w:cs="Arial" w:eastAsia="Arial" w:hAnsi="Arial"/>
          <w:sz w:val="16"/>
          <w:szCs w:val="16"/>
          <w:b w:val="1"/>
          <w:bCs w:val="1"/>
          <w:color w:val="auto"/>
        </w:rPr>
        <w:t>Policy</w:t>
      </w:r>
      <w:r>
        <w:rPr>
          <w:rFonts w:ascii="Arial" w:cs="Arial" w:eastAsia="Arial" w:hAnsi="Arial"/>
          <w:sz w:val="16"/>
          <w:szCs w:val="16"/>
          <w:color w:val="auto"/>
        </w:rPr>
        <w:t>”) of Global-E Online Ltd. (“</w:t>
      </w:r>
      <w:r>
        <w:rPr>
          <w:rFonts w:ascii="Arial" w:cs="Arial" w:eastAsia="Arial" w:hAnsi="Arial"/>
          <w:sz w:val="16"/>
          <w:szCs w:val="16"/>
          <w:b w:val="1"/>
          <w:bCs w:val="1"/>
          <w:color w:val="auto"/>
        </w:rPr>
        <w:t>Global-e</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in accordance with the requirements of the Companies Law, 5759-1999 (the “</w:t>
      </w:r>
      <w:r>
        <w:rPr>
          <w:rFonts w:ascii="Arial" w:cs="Arial" w:eastAsia="Arial" w:hAnsi="Arial"/>
          <w:sz w:val="16"/>
          <w:szCs w:val="16"/>
          <w:b w:val="1"/>
          <w:bCs w:val="1"/>
          <w:color w:val="auto"/>
        </w:rPr>
        <w:t>Companies Law</w:t>
      </w:r>
      <w:r>
        <w:rPr>
          <w:rFonts w:ascii="Arial" w:cs="Arial" w:eastAsia="Arial" w:hAnsi="Arial"/>
          <w:sz w:val="16"/>
          <w:szCs w:val="16"/>
          <w:color w:val="auto"/>
        </w:rPr>
        <w:t>”).</w:t>
      </w:r>
    </w:p>
    <w:p>
      <w:pPr>
        <w:spacing w:after="0" w:line="17" w:lineRule="exact"/>
        <w:rPr>
          <w:rFonts w:ascii="Arial" w:cs="Arial" w:eastAsia="Arial" w:hAnsi="Arial"/>
          <w:sz w:val="18"/>
          <w:szCs w:val="18"/>
          <w:color w:val="auto"/>
        </w:rPr>
      </w:pPr>
    </w:p>
    <w:p>
      <w:pPr>
        <w:ind w:left="440" w:right="140"/>
        <w:spacing w:after="0" w:line="281" w:lineRule="auto"/>
        <w:rPr>
          <w:rFonts w:ascii="Arial" w:cs="Arial" w:eastAsia="Arial" w:hAnsi="Arial"/>
          <w:sz w:val="18"/>
          <w:szCs w:val="18"/>
          <w:color w:val="auto"/>
        </w:rPr>
      </w:pPr>
      <w:r>
        <w:rPr>
          <w:rFonts w:ascii="Arial" w:cs="Arial" w:eastAsia="Arial" w:hAnsi="Arial"/>
          <w:sz w:val="17"/>
          <w:szCs w:val="17"/>
          <w:color w:val="auto"/>
        </w:rPr>
        <w:t>Compensation is a key component of Global-e’s overall human capital strategy to attract, retain, reward, and motivate highly skilled individuals that will enhance Global-e’s value and otherwise assist Global-e to reach its business and financial long-term goals. Accordingly, the structure of this Policy is established to tie the compensation of each officer to Global-e’s goals and performance.</w:t>
      </w:r>
    </w:p>
    <w:p>
      <w:pPr>
        <w:spacing w:after="0" w:line="62" w:lineRule="exact"/>
        <w:rPr>
          <w:rFonts w:ascii="Arial" w:cs="Arial" w:eastAsia="Arial" w:hAnsi="Arial"/>
          <w:sz w:val="18"/>
          <w:szCs w:val="18"/>
          <w:color w:val="auto"/>
        </w:rPr>
      </w:pPr>
    </w:p>
    <w:p>
      <w:pPr>
        <w:ind w:left="440" w:right="400"/>
        <w:spacing w:after="0" w:line="259" w:lineRule="auto"/>
        <w:rPr>
          <w:rFonts w:ascii="Arial" w:cs="Arial" w:eastAsia="Arial" w:hAnsi="Arial"/>
          <w:sz w:val="18"/>
          <w:szCs w:val="18"/>
          <w:color w:val="auto"/>
        </w:rPr>
      </w:pPr>
      <w:r>
        <w:rPr>
          <w:rFonts w:ascii="Arial" w:cs="Arial" w:eastAsia="Arial" w:hAnsi="Arial"/>
          <w:sz w:val="18"/>
          <w:szCs w:val="18"/>
          <w:color w:val="auto"/>
        </w:rPr>
        <w:t>For purposes of this Policy, “Executive Officers” shall mean “Office Holders” as such term is defined in Section 1 of the Companies Law, excluding, unless otherwise expressly indicated herein, non-employee members of the Global-e’s Board (and such committees formed by the Board).</w:t>
      </w:r>
    </w:p>
    <w:p>
      <w:pPr>
        <w:spacing w:after="0" w:line="78" w:lineRule="exact"/>
        <w:rPr>
          <w:rFonts w:ascii="Arial" w:cs="Arial" w:eastAsia="Arial" w:hAnsi="Arial"/>
          <w:sz w:val="18"/>
          <w:szCs w:val="18"/>
          <w:color w:val="auto"/>
        </w:rPr>
      </w:pPr>
    </w:p>
    <w:p>
      <w:pPr>
        <w:ind w:left="440" w:right="100"/>
        <w:spacing w:after="0" w:line="271" w:lineRule="auto"/>
        <w:rPr>
          <w:rFonts w:ascii="Arial" w:cs="Arial" w:eastAsia="Arial" w:hAnsi="Arial"/>
          <w:sz w:val="18"/>
          <w:szCs w:val="18"/>
          <w:color w:val="auto"/>
        </w:rPr>
      </w:pPr>
      <w:r>
        <w:rPr>
          <w:rFonts w:ascii="Arial" w:cs="Arial" w:eastAsia="Arial" w:hAnsi="Arial"/>
          <w:sz w:val="18"/>
          <w:szCs w:val="18"/>
          <w:color w:val="auto"/>
        </w:rPr>
        <w:t>This Policy is subject to applicable law and is not intended, and should not be interpreted as limiting or derogating from, provisions of applicable law to the extent not permitted.</w:t>
      </w:r>
    </w:p>
    <w:p>
      <w:pPr>
        <w:spacing w:after="0" w:line="67" w:lineRule="exact"/>
        <w:rPr>
          <w:rFonts w:ascii="Arial" w:cs="Arial" w:eastAsia="Arial" w:hAnsi="Arial"/>
          <w:sz w:val="18"/>
          <w:szCs w:val="18"/>
          <w:color w:val="auto"/>
        </w:rPr>
      </w:pPr>
    </w:p>
    <w:p>
      <w:pPr>
        <w:ind w:left="440" w:right="160"/>
        <w:spacing w:after="0" w:line="301" w:lineRule="auto"/>
        <w:rPr>
          <w:rFonts w:ascii="Arial" w:cs="Arial" w:eastAsia="Arial" w:hAnsi="Arial"/>
          <w:sz w:val="18"/>
          <w:szCs w:val="18"/>
          <w:color w:val="auto"/>
        </w:rPr>
      </w:pPr>
      <w:r>
        <w:rPr>
          <w:rFonts w:ascii="Arial" w:cs="Arial" w:eastAsia="Arial" w:hAnsi="Arial"/>
          <w:sz w:val="17"/>
          <w:szCs w:val="17"/>
          <w:color w:val="auto"/>
        </w:rPr>
        <w:t>This Policy shall apply to compensation agreements and arrangements which will be approved after the date on which this Policy is adopted and shall serve as Global-e’s Compensation Policy for five (5) years, commencing as of its adoption, unless amended earlier.</w:t>
      </w:r>
    </w:p>
    <w:p>
      <w:pPr>
        <w:spacing w:after="0" w:line="40" w:lineRule="exact"/>
        <w:rPr>
          <w:rFonts w:ascii="Arial" w:cs="Arial" w:eastAsia="Arial" w:hAnsi="Arial"/>
          <w:sz w:val="18"/>
          <w:szCs w:val="18"/>
          <w:color w:val="auto"/>
        </w:rPr>
      </w:pPr>
    </w:p>
    <w:p>
      <w:pPr>
        <w:ind w:left="440" w:right="320"/>
        <w:spacing w:after="0" w:line="275" w:lineRule="auto"/>
        <w:rPr>
          <w:rFonts w:ascii="Arial" w:cs="Arial" w:eastAsia="Arial" w:hAnsi="Arial"/>
          <w:sz w:val="18"/>
          <w:szCs w:val="18"/>
          <w:color w:val="auto"/>
        </w:rPr>
      </w:pPr>
      <w:r>
        <w:rPr>
          <w:rFonts w:ascii="Arial" w:cs="Arial" w:eastAsia="Arial" w:hAnsi="Arial"/>
          <w:sz w:val="18"/>
          <w:szCs w:val="18"/>
          <w:color w:val="auto"/>
        </w:rPr>
        <w:t>The Compensation Committee and the Board of Directors of Global-e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the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64" w:lineRule="exact"/>
        <w:rPr>
          <w:rFonts w:ascii="Arial" w:cs="Arial" w:eastAsia="Arial" w:hAnsi="Arial"/>
          <w:sz w:val="18"/>
          <w:szCs w:val="18"/>
          <w:color w:val="auto"/>
        </w:rPr>
      </w:pPr>
    </w:p>
    <w:p>
      <w:pPr>
        <w:ind w:left="440"/>
        <w:spacing w:after="0" w:line="259" w:lineRule="auto"/>
        <w:rPr>
          <w:rFonts w:ascii="Arial" w:cs="Arial" w:eastAsia="Arial" w:hAnsi="Arial"/>
          <w:sz w:val="18"/>
          <w:szCs w:val="18"/>
          <w:color w:val="auto"/>
        </w:rPr>
      </w:pPr>
      <w:r>
        <w:rPr>
          <w:rFonts w:ascii="Arial" w:cs="Arial" w:eastAsia="Arial" w:hAnsi="Arial"/>
          <w:sz w:val="18"/>
          <w:szCs w:val="18"/>
          <w:color w:val="auto"/>
        </w:rPr>
        <w:t>In determining the terms of the compensation pursuant to this Policy, the Compensation Committee will take into consideration information prepared and presented by the Company’s management, Company’s management’s recommendations, as well as information that may be provided by third party advisors who may be engaged by the Compensation Committee from time to time.</w:t>
      </w:r>
    </w:p>
    <w:p>
      <w:pPr>
        <w:spacing w:after="0" w:line="208" w:lineRule="exact"/>
        <w:rPr>
          <w:rFonts w:ascii="Arial" w:cs="Arial" w:eastAsia="Arial" w:hAnsi="Arial"/>
          <w:sz w:val="18"/>
          <w:szCs w:val="18"/>
          <w:color w:val="auto"/>
        </w:rPr>
      </w:pPr>
    </w:p>
    <w:p>
      <w:pPr>
        <w:ind w:left="440" w:hanging="433"/>
        <w:spacing w:after="0"/>
        <w:tabs>
          <w:tab w:leader="none" w:pos="440"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117" w:lineRule="exact"/>
        <w:rPr>
          <w:rFonts w:ascii="Arial" w:cs="Arial" w:eastAsia="Arial" w:hAnsi="Arial"/>
          <w:sz w:val="18"/>
          <w:szCs w:val="18"/>
          <w:color w:val="auto"/>
        </w:rPr>
      </w:pPr>
    </w:p>
    <w:p>
      <w:pPr>
        <w:ind w:left="440" w:right="60"/>
        <w:spacing w:after="0" w:line="255" w:lineRule="auto"/>
        <w:rPr>
          <w:rFonts w:ascii="Arial" w:cs="Arial" w:eastAsia="Arial" w:hAnsi="Arial"/>
          <w:sz w:val="18"/>
          <w:szCs w:val="18"/>
          <w:color w:val="auto"/>
        </w:rPr>
      </w:pPr>
      <w:r>
        <w:rPr>
          <w:rFonts w:ascii="Arial" w:cs="Arial" w:eastAsia="Arial" w:hAnsi="Arial"/>
          <w:sz w:val="18"/>
          <w:szCs w:val="18"/>
          <w:color w:val="auto"/>
        </w:rPr>
        <w:t>Global-e’s objectives and goals in setting this Policy are to attract, motivate and retain highly experienced leaders who will contribute to Global-e’s success and enhance shareholder value, while demonstrating professionalism in a highly achievement-oriented culture that is based on merit and rewards excellent performance in the long term, and embedding Global-e’s core values as part of a motivated behavior. To that end, this Policy is designed, among others:</w:t>
      </w:r>
    </w:p>
    <w:p>
      <w:pPr>
        <w:spacing w:after="0" w:line="9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2.1.   to closely align the interests of the Executive Officers with those of Global-e’s shareholders in order to enhance shareholder value;</w:t>
      </w:r>
    </w:p>
    <w:p>
      <w:pPr>
        <w:spacing w:after="0" w:line="13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2.2.   to align a significant portion of the Executive Officers’ compensation with Global-e’s short and long-term goals and performance;</w:t>
      </w:r>
    </w:p>
    <w:p>
      <w:pPr>
        <w:spacing w:after="0" w:line="138" w:lineRule="exact"/>
        <w:rPr>
          <w:rFonts w:ascii="Arial" w:cs="Arial" w:eastAsia="Arial" w:hAnsi="Arial"/>
          <w:sz w:val="18"/>
          <w:szCs w:val="18"/>
          <w:color w:val="auto"/>
        </w:rPr>
      </w:pPr>
    </w:p>
    <w:p>
      <w:pPr>
        <w:ind w:left="980" w:right="240" w:hanging="535"/>
        <w:spacing w:after="0" w:line="259" w:lineRule="auto"/>
        <w:rPr>
          <w:rFonts w:ascii="Arial" w:cs="Arial" w:eastAsia="Arial" w:hAnsi="Arial"/>
          <w:sz w:val="18"/>
          <w:szCs w:val="18"/>
          <w:color w:val="auto"/>
        </w:rPr>
      </w:pPr>
      <w:r>
        <w:rPr>
          <w:rFonts w:ascii="Arial" w:cs="Arial" w:eastAsia="Arial" w:hAnsi="Arial"/>
          <w:sz w:val="18"/>
          <w:szCs w:val="18"/>
          <w:color w:val="auto"/>
        </w:rPr>
        <w:t>2.3. 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9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2.4.   to strengthen the retention and the motivation of Executive Officers in the long-term;</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2.5.   to provide appropriate awards in order to incentivize superior individual excellency and corporate performance; and</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2.6.   to maintain consistency in the way Executive Officers are compensated.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432" w:name="page433"/>
    <w:bookmarkEnd w:id="432"/>
    <w:p>
      <w:pPr>
        <w:ind w:left="440" w:hanging="433"/>
        <w:spacing w:after="0"/>
        <w:tabs>
          <w:tab w:leader="none" w:pos="44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Compensation Instruments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Compensation instruments under this Policy may include the following:</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3.1.   base salary;</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3.2.   benefits;</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3.3.   cash bonuses;</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3.4.   equity based compensation;</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3.5.   change of control terms; and</w:t>
      </w:r>
    </w:p>
    <w:p>
      <w:pPr>
        <w:spacing w:after="0" w:line="12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3.6.   retirement and termination terms.</w:t>
      </w:r>
    </w:p>
    <w:p>
      <w:pPr>
        <w:spacing w:after="0" w:line="243" w:lineRule="exact"/>
        <w:rPr>
          <w:rFonts w:ascii="Arial" w:cs="Arial" w:eastAsia="Arial" w:hAnsi="Arial"/>
          <w:sz w:val="18"/>
          <w:szCs w:val="18"/>
          <w:color w:val="auto"/>
        </w:rPr>
      </w:pPr>
    </w:p>
    <w:p>
      <w:pPr>
        <w:ind w:left="440" w:hanging="433"/>
        <w:spacing w:after="0"/>
        <w:tabs>
          <w:tab w:leader="none" w:pos="44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Overall Compensation—Ratio Between Fixed and Variable Compensation</w:t>
      </w:r>
    </w:p>
    <w:p>
      <w:pPr>
        <w:spacing w:after="0" w:line="131" w:lineRule="exact"/>
        <w:rPr>
          <w:rFonts w:ascii="Arial" w:cs="Arial" w:eastAsia="Arial" w:hAnsi="Arial"/>
          <w:sz w:val="18"/>
          <w:szCs w:val="18"/>
          <w:color w:val="auto"/>
        </w:rPr>
      </w:pPr>
    </w:p>
    <w:p>
      <w:pPr>
        <w:ind w:left="980" w:right="40" w:hanging="535"/>
        <w:spacing w:after="0" w:line="307" w:lineRule="auto"/>
        <w:rPr>
          <w:rFonts w:ascii="Arial" w:cs="Arial" w:eastAsia="Arial" w:hAnsi="Arial"/>
          <w:sz w:val="18"/>
          <w:szCs w:val="18"/>
          <w:color w:val="auto"/>
        </w:rPr>
      </w:pPr>
      <w:r>
        <w:rPr>
          <w:rFonts w:ascii="Arial" w:cs="Arial" w:eastAsia="Arial" w:hAnsi="Arial"/>
          <w:sz w:val="16"/>
          <w:szCs w:val="16"/>
          <w:color w:val="auto"/>
        </w:rPr>
        <w:t>4.1. This Policy aims to balance the mix of “Fixed Compensation” (comprised of base salary and benefits) and “Variable Compensation” (comprised of cash bonuses and equity-based compensation) in order to, among other things, appropriately incentivize Executive Officers to meet Global-e’s short and long-term goals while taking into consideration the Company’s need to manage a variety of business risks.</w:t>
      </w:r>
    </w:p>
    <w:p>
      <w:pPr>
        <w:spacing w:after="0" w:line="56" w:lineRule="exact"/>
        <w:rPr>
          <w:rFonts w:ascii="Arial" w:cs="Arial" w:eastAsia="Arial" w:hAnsi="Arial"/>
          <w:sz w:val="18"/>
          <w:szCs w:val="18"/>
          <w:color w:val="auto"/>
        </w:rPr>
      </w:pPr>
    </w:p>
    <w:p>
      <w:pPr>
        <w:ind w:left="980" w:right="160" w:hanging="535"/>
        <w:spacing w:after="0" w:line="259" w:lineRule="auto"/>
        <w:rPr>
          <w:rFonts w:ascii="Arial" w:cs="Arial" w:eastAsia="Arial" w:hAnsi="Arial"/>
          <w:sz w:val="18"/>
          <w:szCs w:val="18"/>
          <w:color w:val="auto"/>
        </w:rPr>
      </w:pPr>
      <w:r>
        <w:rPr>
          <w:rFonts w:ascii="Arial" w:cs="Arial" w:eastAsia="Arial" w:hAnsi="Arial"/>
          <w:sz w:val="18"/>
          <w:szCs w:val="18"/>
          <w:color w:val="auto"/>
        </w:rPr>
        <w:t>4.2. The total annual target bonus and equity-based compensation per vesting annum (based on the fair market value at the time of grant calculated on a linear basis) of each Executive Officer shall not exceed 95% of such Executive Officer’s total compensation package for such year.</w:t>
      </w:r>
    </w:p>
    <w:p>
      <w:pPr>
        <w:spacing w:after="0" w:line="208" w:lineRule="exact"/>
        <w:rPr>
          <w:rFonts w:ascii="Arial" w:cs="Arial" w:eastAsia="Arial" w:hAnsi="Arial"/>
          <w:sz w:val="18"/>
          <w:szCs w:val="18"/>
          <w:color w:val="auto"/>
        </w:rPr>
      </w:pPr>
    </w:p>
    <w:p>
      <w:pPr>
        <w:ind w:left="440" w:hanging="433"/>
        <w:spacing w:after="0"/>
        <w:tabs>
          <w:tab w:leader="none" w:pos="44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Inter-Company Compensation Ratio</w:t>
      </w:r>
    </w:p>
    <w:p>
      <w:pPr>
        <w:spacing w:after="0" w:line="131" w:lineRule="exact"/>
        <w:rPr>
          <w:rFonts w:ascii="Arial" w:cs="Arial" w:eastAsia="Arial" w:hAnsi="Arial"/>
          <w:sz w:val="18"/>
          <w:szCs w:val="18"/>
          <w:color w:val="auto"/>
        </w:rPr>
      </w:pPr>
    </w:p>
    <w:p>
      <w:pPr>
        <w:ind w:left="980" w:right="160" w:hanging="535"/>
        <w:spacing w:after="0" w:line="255" w:lineRule="auto"/>
        <w:rPr>
          <w:rFonts w:ascii="Arial" w:cs="Arial" w:eastAsia="Arial" w:hAnsi="Arial"/>
          <w:sz w:val="18"/>
          <w:szCs w:val="18"/>
          <w:color w:val="auto"/>
        </w:rPr>
      </w:pPr>
      <w:r>
        <w:rPr>
          <w:rFonts w:ascii="Arial" w:cs="Arial" w:eastAsia="Arial" w:hAnsi="Arial"/>
          <w:sz w:val="18"/>
          <w:szCs w:val="18"/>
          <w:color w:val="auto"/>
        </w:rPr>
        <w:t>5.1. In the process of drafting and updating this Policy, Global-e’s Board and Compensation Committee have examined the ratio between employer cost associated with the engagement of the Executive Officers, including directors, and the average and median employer cost associated with the engagement of Global-e’s other employees (including contractor employees as defined in the Companies Law) (the “</w:t>
      </w:r>
      <w:r>
        <w:rPr>
          <w:rFonts w:ascii="Arial" w:cs="Arial" w:eastAsia="Arial" w:hAnsi="Arial"/>
          <w:sz w:val="18"/>
          <w:szCs w:val="18"/>
          <w:b w:val="1"/>
          <w:bCs w:val="1"/>
          <w:color w:val="auto"/>
        </w:rPr>
        <w:t>Ratio</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80" w:hanging="535"/>
        <w:spacing w:after="0" w:line="259" w:lineRule="auto"/>
        <w:rPr>
          <w:rFonts w:ascii="Arial" w:cs="Arial" w:eastAsia="Arial" w:hAnsi="Arial"/>
          <w:sz w:val="18"/>
          <w:szCs w:val="18"/>
          <w:color w:val="auto"/>
        </w:rPr>
      </w:pPr>
      <w:r>
        <w:rPr>
          <w:rFonts w:ascii="Arial" w:cs="Arial" w:eastAsia="Arial" w:hAnsi="Arial"/>
          <w:sz w:val="18"/>
          <w:szCs w:val="18"/>
          <w:color w:val="auto"/>
        </w:rPr>
        <w:t>5.2. The possible ramifications of the Ratio on the daily working environment in Global-e were examined and will continue to be examined by Global-e from time to time in order to ensure that levels of executive compensation, as compared to the overall workforce will not have a negative impact on work relations in Global-e.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Base Salary and Benefits</w:t>
      </w:r>
    </w:p>
    <w:p>
      <w:pPr>
        <w:spacing w:after="0" w:line="248" w:lineRule="exact"/>
        <w:rPr>
          <w:sz w:val="20"/>
          <w:szCs w:val="20"/>
          <w:color w:val="auto"/>
        </w:rPr>
      </w:pPr>
    </w:p>
    <w:p>
      <w:pPr>
        <w:ind w:left="440" w:hanging="433"/>
        <w:spacing w:after="0"/>
        <w:tabs>
          <w:tab w:leader="none" w:pos="440"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Base Salary</w:t>
      </w:r>
    </w:p>
    <w:p>
      <w:pPr>
        <w:spacing w:after="0" w:line="131" w:lineRule="exact"/>
        <w:rPr>
          <w:rFonts w:ascii="Arial" w:cs="Arial" w:eastAsia="Arial" w:hAnsi="Arial"/>
          <w:sz w:val="18"/>
          <w:szCs w:val="18"/>
          <w:color w:val="auto"/>
        </w:rPr>
      </w:pPr>
    </w:p>
    <w:p>
      <w:pPr>
        <w:ind w:left="980" w:right="20" w:hanging="535"/>
        <w:spacing w:after="0" w:line="255" w:lineRule="auto"/>
        <w:rPr>
          <w:rFonts w:ascii="Arial" w:cs="Arial" w:eastAsia="Arial" w:hAnsi="Arial"/>
          <w:sz w:val="18"/>
          <w:szCs w:val="18"/>
          <w:color w:val="auto"/>
        </w:rPr>
      </w:pPr>
      <w:r>
        <w:rPr>
          <w:rFonts w:ascii="Arial" w:cs="Arial" w:eastAsia="Arial" w:hAnsi="Arial"/>
          <w:sz w:val="18"/>
          <w:szCs w:val="18"/>
          <w:color w:val="auto"/>
        </w:rPr>
        <w:t>6.1. A base salary provides stable compensation to Executive Officers and allows Global-e to attract and retain competent executive talent and maintain a stable management team. The base salary varies among Executive Officers, and is individually determined according to the educational background, prior vocational experience, qualifications, company’s role, business responsibilities and the past performance of each Executive Officer.</w:t>
      </w:r>
    </w:p>
    <w:p>
      <w:pPr>
        <w:spacing w:after="0" w:line="96" w:lineRule="exact"/>
        <w:rPr>
          <w:rFonts w:ascii="Arial" w:cs="Arial" w:eastAsia="Arial" w:hAnsi="Arial"/>
          <w:sz w:val="18"/>
          <w:szCs w:val="18"/>
          <w:color w:val="auto"/>
        </w:rPr>
      </w:pPr>
    </w:p>
    <w:p>
      <w:pPr>
        <w:ind w:left="980" w:right="140" w:hanging="535"/>
        <w:spacing w:after="0" w:line="252" w:lineRule="auto"/>
        <w:rPr>
          <w:rFonts w:ascii="Arial" w:cs="Arial" w:eastAsia="Arial" w:hAnsi="Arial"/>
          <w:sz w:val="18"/>
          <w:szCs w:val="18"/>
          <w:color w:val="auto"/>
        </w:rPr>
      </w:pPr>
      <w:r>
        <w:rPr>
          <w:rFonts w:ascii="Arial" w:cs="Arial" w:eastAsia="Arial" w:hAnsi="Arial"/>
          <w:sz w:val="18"/>
          <w:szCs w:val="18"/>
          <w:color w:val="auto"/>
        </w:rPr>
        <w:t>6.2. Since a competitive base salary is essential to Global-e’s ability to attract and retain highly skilled professionals, Global-e will seek to establish a base salary that is competitive with base salaries paid to Executive Officers in a peer group of other companies operating in technology sectors which are similar in their characteristics to Global-e’s, as much as possible, while considering, among others, such companies’ size and characteristics including their revenues, profitability rate, growth rates, market capitalization, number of employees and operating arena (in Israel and globally), the list of which shall be reviewed and approved by the Compensation Committee. To that end, Global-e shall utilize as a</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80" w:top="268" w:right="579" w:bottom="1440" w:gutter="0" w:footer="0" w:header="0"/>
        </w:sectPr>
      </w:pPr>
    </w:p>
    <w:bookmarkStart w:id="433" w:name="page434"/>
    <w:bookmarkEnd w:id="433"/>
    <w:p>
      <w:pPr>
        <w:ind w:left="97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reference, comparative market data and practices, which will include a compensation survey that analyses and compares the level of the overall compensation package offered to an Executive Officer of the Company with compensation packages in positions with similar scope and responsibilities (to that of the relevant officer) in such companies. Such compensation survey may be conducted internally or through an external independent consultant.</w:t>
      </w:r>
    </w:p>
    <w:p>
      <w:pPr>
        <w:spacing w:after="0" w:line="97" w:lineRule="exact"/>
        <w:rPr>
          <w:sz w:val="20"/>
          <w:szCs w:val="20"/>
          <w:color w:val="auto"/>
        </w:rPr>
      </w:pPr>
    </w:p>
    <w:p>
      <w:pPr>
        <w:ind w:left="973" w:right="80" w:hanging="534"/>
        <w:spacing w:after="0" w:line="269" w:lineRule="auto"/>
        <w:tabs>
          <w:tab w:leader="none" w:pos="9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Compensation Committee and the Board may periodically consider and approve base salary adjustments for Executive Officers. The main considerations for approving salary adjustment are similar to those used in initially determining the base salary, but may also include change of role or responsibilities, recognition for professional achievements, regulatory or contractual requirements, budgetary constraints or market trends. When approving salary adjustments for the Executive Officers,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174" w:lineRule="exact"/>
        <w:rPr>
          <w:sz w:val="20"/>
          <w:szCs w:val="20"/>
          <w:color w:val="auto"/>
        </w:rPr>
      </w:pPr>
    </w:p>
    <w:p>
      <w:pPr>
        <w:ind w:left="173" w:hanging="173"/>
        <w:spacing w:after="0"/>
        <w:tabs>
          <w:tab w:leader="none" w:pos="173"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Benefits</w:t>
      </w:r>
    </w:p>
    <w:p>
      <w:pPr>
        <w:spacing w:after="0" w:line="131"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following benefits may be granted to the Executive Officers in order, among other things, to comply with legal requirements:</w:t>
      </w:r>
    </w:p>
    <w:p>
      <w:pPr>
        <w:spacing w:after="0" w:line="127" w:lineRule="exact"/>
        <w:rPr>
          <w:sz w:val="20"/>
          <w:szCs w:val="20"/>
          <w:color w:val="auto"/>
        </w:rPr>
      </w:pPr>
    </w:p>
    <w:p>
      <w:pPr>
        <w:ind w:left="973"/>
        <w:spacing w:after="0"/>
        <w:rPr>
          <w:sz w:val="20"/>
          <w:szCs w:val="20"/>
          <w:color w:val="auto"/>
        </w:rPr>
      </w:pPr>
      <w:r>
        <w:rPr>
          <w:rFonts w:ascii="Arial" w:cs="Arial" w:eastAsia="Arial" w:hAnsi="Arial"/>
          <w:sz w:val="16"/>
          <w:szCs w:val="16"/>
          <w:color w:val="auto"/>
        </w:rPr>
        <w:t>7.1.1. paid time off / vacation days in accordance with market practice (as relevant in the domicile of the applicable Executive Officer);</w:t>
      </w:r>
    </w:p>
    <w:p>
      <w:pPr>
        <w:spacing w:after="0" w:line="150" w:lineRule="exact"/>
        <w:rPr>
          <w:sz w:val="20"/>
          <w:szCs w:val="20"/>
          <w:color w:val="auto"/>
        </w:rPr>
      </w:pPr>
    </w:p>
    <w:p>
      <w:pPr>
        <w:ind w:left="973"/>
        <w:spacing w:after="0"/>
        <w:rPr>
          <w:sz w:val="20"/>
          <w:szCs w:val="20"/>
          <w:color w:val="auto"/>
        </w:rPr>
      </w:pPr>
      <w:r>
        <w:rPr>
          <w:rFonts w:ascii="Arial" w:cs="Arial" w:eastAsia="Arial" w:hAnsi="Arial"/>
          <w:sz w:val="18"/>
          <w:szCs w:val="18"/>
          <w:color w:val="auto"/>
        </w:rPr>
        <w:t>7.1.2. sick days in accordance with domicile market practice;</w:t>
      </w:r>
    </w:p>
    <w:p>
      <w:pPr>
        <w:spacing w:after="0" w:line="127" w:lineRule="exact"/>
        <w:rPr>
          <w:sz w:val="20"/>
          <w:szCs w:val="20"/>
          <w:color w:val="auto"/>
        </w:rPr>
      </w:pPr>
    </w:p>
    <w:p>
      <w:pPr>
        <w:ind w:left="973"/>
        <w:spacing w:after="0"/>
        <w:rPr>
          <w:sz w:val="20"/>
          <w:szCs w:val="20"/>
          <w:color w:val="auto"/>
        </w:rPr>
      </w:pPr>
      <w:r>
        <w:rPr>
          <w:rFonts w:ascii="Arial" w:cs="Arial" w:eastAsia="Arial" w:hAnsi="Arial"/>
          <w:sz w:val="18"/>
          <w:szCs w:val="18"/>
          <w:color w:val="auto"/>
        </w:rPr>
        <w:t>7.1.3. convalescence pay according to applicable law;</w:t>
      </w:r>
    </w:p>
    <w:p>
      <w:pPr>
        <w:spacing w:after="0" w:line="127" w:lineRule="exact"/>
        <w:rPr>
          <w:sz w:val="20"/>
          <w:szCs w:val="20"/>
          <w:color w:val="auto"/>
        </w:rPr>
      </w:pPr>
    </w:p>
    <w:p>
      <w:pPr>
        <w:ind w:left="1413" w:right="600" w:hanging="427"/>
        <w:spacing w:after="0" w:line="271" w:lineRule="auto"/>
        <w:rPr>
          <w:sz w:val="20"/>
          <w:szCs w:val="20"/>
          <w:color w:val="auto"/>
        </w:rPr>
      </w:pPr>
      <w:r>
        <w:rPr>
          <w:rFonts w:ascii="Arial" w:cs="Arial" w:eastAsia="Arial" w:hAnsi="Arial"/>
          <w:sz w:val="18"/>
          <w:szCs w:val="18"/>
          <w:color w:val="auto"/>
        </w:rPr>
        <w:t>7.1.4. monthly remuneration for a study fund, per domicile market practice, and as allowed by applicable law and with reference to Global-e’s practice and the practice in peer group companies;</w:t>
      </w:r>
    </w:p>
    <w:p>
      <w:pPr>
        <w:spacing w:after="0" w:line="81" w:lineRule="exact"/>
        <w:rPr>
          <w:sz w:val="20"/>
          <w:szCs w:val="20"/>
          <w:color w:val="auto"/>
        </w:rPr>
      </w:pPr>
    </w:p>
    <w:p>
      <w:pPr>
        <w:ind w:left="1413" w:right="60" w:hanging="427"/>
        <w:spacing w:after="0" w:line="259" w:lineRule="auto"/>
        <w:rPr>
          <w:sz w:val="20"/>
          <w:szCs w:val="20"/>
          <w:color w:val="auto"/>
        </w:rPr>
      </w:pPr>
      <w:r>
        <w:rPr>
          <w:rFonts w:ascii="Arial" w:cs="Arial" w:eastAsia="Arial" w:hAnsi="Arial"/>
          <w:sz w:val="18"/>
          <w:szCs w:val="18"/>
          <w:color w:val="auto"/>
        </w:rPr>
        <w:t>7.1.5. Global-e shall contribute on behalf of the Executive Officer to an insurance policy or a pension fund, as allowed by applicable law and with reference to Global-e’s policies and procedures and the practice in peer group companies (including contributions on bonus payments); and</w:t>
      </w:r>
    </w:p>
    <w:p>
      <w:pPr>
        <w:spacing w:after="0" w:line="92" w:lineRule="exact"/>
        <w:rPr>
          <w:sz w:val="20"/>
          <w:szCs w:val="20"/>
          <w:color w:val="auto"/>
        </w:rPr>
      </w:pPr>
    </w:p>
    <w:p>
      <w:pPr>
        <w:ind w:left="1413" w:right="120" w:hanging="427"/>
        <w:spacing w:after="0" w:line="335" w:lineRule="auto"/>
        <w:rPr>
          <w:sz w:val="20"/>
          <w:szCs w:val="20"/>
          <w:color w:val="auto"/>
        </w:rPr>
      </w:pPr>
      <w:r>
        <w:rPr>
          <w:rFonts w:ascii="Arial" w:cs="Arial" w:eastAsia="Arial" w:hAnsi="Arial"/>
          <w:sz w:val="16"/>
          <w:szCs w:val="16"/>
          <w:color w:val="auto"/>
        </w:rPr>
        <w:t>7.1.6. Global-e shall contribute on behalf of the Executive Officer towards work disability insurance, per domicile market practice, and as allowed by applicable law and with reference to Global-e’s policies and procedures and to the practice in peer group companies.</w:t>
      </w:r>
    </w:p>
    <w:p>
      <w:pPr>
        <w:spacing w:after="0" w:line="35" w:lineRule="exact"/>
        <w:rPr>
          <w:sz w:val="20"/>
          <w:szCs w:val="20"/>
          <w:color w:val="auto"/>
        </w:rPr>
      </w:pPr>
    </w:p>
    <w:p>
      <w:pPr>
        <w:jc w:val="both"/>
        <w:ind w:left="973" w:right="20" w:hanging="534"/>
        <w:spacing w:after="0" w:line="275" w:lineRule="auto"/>
        <w:tabs>
          <w:tab w:leader="none" w:pos="9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Executive Officers will receive domicile-applicable, based on, and subject to, the principles of this Policy, as customary and as applicable in the relevant jurisdiction in which they are employed, and will not be entitled to any duplicates or such benefits that are not applicable in such domicile or any compensation ‘in-lieu’ of benefits provided in other domiciles. Such customary benefits shall be determined based on the methods described in Section 6.2 of this Policy (with the necessary changes and adjustments.</w:t>
      </w:r>
    </w:p>
    <w:p>
      <w:pPr>
        <w:spacing w:after="0" w:line="80" w:lineRule="exact"/>
        <w:rPr>
          <w:sz w:val="20"/>
          <w:szCs w:val="20"/>
          <w:color w:val="auto"/>
        </w:rPr>
      </w:pPr>
    </w:p>
    <w:p>
      <w:pPr>
        <w:ind w:left="973" w:right="160" w:hanging="534"/>
        <w:spacing w:after="0" w:line="253" w:lineRule="auto"/>
        <w:tabs>
          <w:tab w:leader="none" w:pos="9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events of relocation or repatriation of an Executive Officer to another geography, such Executive Officer may receive customary benefits applicable in the relevant jurisdiction in which he or she is employed following the relocation, in lieu of the benefits otherwise applicable the relocating Executive Officer in the origin country, but may be entitled to additional payments to reflect adjustments in cost of living. Such benefits may include reimbursement for out-of-pocket one-time payments and other ongoing expenses, such as housing allowance, car allowance, and home leave visit, etc.</w:t>
      </w:r>
    </w:p>
    <w:p>
      <w:pPr>
        <w:spacing w:after="0" w:line="12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13"/>
          </w:cols>
          <w:pgMar w:left="487" w:top="272" w:right="499" w:bottom="1440" w:gutter="0" w:footer="0" w:header="0"/>
        </w:sectPr>
      </w:pPr>
    </w:p>
    <w:bookmarkStart w:id="434" w:name="page435"/>
    <w:bookmarkEnd w:id="434"/>
    <w:p>
      <w:pPr>
        <w:ind w:left="980" w:right="80" w:hanging="534"/>
        <w:spacing w:after="0" w:line="253"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Global-e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Global-e’s policies and procedures, and shall be set on a domicile-basis.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Cash Bonuses</w:t>
      </w:r>
    </w:p>
    <w:p>
      <w:pPr>
        <w:spacing w:after="0" w:line="127" w:lineRule="exact"/>
        <w:rPr>
          <w:sz w:val="20"/>
          <w:szCs w:val="20"/>
          <w:color w:val="auto"/>
        </w:rPr>
      </w:pPr>
    </w:p>
    <w:p>
      <w:pPr>
        <w:ind w:left="440" w:hanging="433"/>
        <w:spacing w:after="0"/>
        <w:tabs>
          <w:tab w:leader="none" w:pos="44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Annual Cash Bonuses—The Objective</w:t>
      </w:r>
    </w:p>
    <w:p>
      <w:pPr>
        <w:spacing w:after="0" w:line="131" w:lineRule="exact"/>
        <w:rPr>
          <w:rFonts w:ascii="Arial" w:cs="Arial" w:eastAsia="Arial" w:hAnsi="Arial"/>
          <w:sz w:val="18"/>
          <w:szCs w:val="18"/>
          <w:color w:val="auto"/>
        </w:rPr>
      </w:pPr>
    </w:p>
    <w:p>
      <w:pPr>
        <w:ind w:left="980" w:hanging="535"/>
        <w:spacing w:after="0" w:line="255" w:lineRule="auto"/>
        <w:rPr>
          <w:rFonts w:ascii="Arial" w:cs="Arial" w:eastAsia="Arial" w:hAnsi="Arial"/>
          <w:sz w:val="18"/>
          <w:szCs w:val="18"/>
          <w:color w:val="auto"/>
        </w:rPr>
      </w:pPr>
      <w:r>
        <w:rPr>
          <w:rFonts w:ascii="Arial" w:cs="Arial" w:eastAsia="Arial" w:hAnsi="Arial"/>
          <w:sz w:val="18"/>
          <w:szCs w:val="18"/>
          <w:color w:val="auto"/>
        </w:rPr>
        <w:t>8.1. Compensation in the form of an annual cash bonus is an important element in aligning the Executive Officers’ compensation with Global-e’s objectives and business goals. Therefore, annual cash bonuses will reflect a pay-for-performance element, with payout eligibility and levels determined based on actual financial and operational results, in addition to other factors the Compensation Committee may establish as a policy parameter.</w:t>
      </w:r>
    </w:p>
    <w:p>
      <w:pPr>
        <w:spacing w:after="0" w:line="96" w:lineRule="exact"/>
        <w:rPr>
          <w:rFonts w:ascii="Arial" w:cs="Arial" w:eastAsia="Arial" w:hAnsi="Arial"/>
          <w:sz w:val="18"/>
          <w:szCs w:val="18"/>
          <w:color w:val="auto"/>
        </w:rPr>
      </w:pPr>
    </w:p>
    <w:p>
      <w:pPr>
        <w:ind w:left="980" w:right="100" w:hanging="535"/>
        <w:spacing w:after="0" w:line="286" w:lineRule="auto"/>
        <w:rPr>
          <w:rFonts w:ascii="Arial" w:cs="Arial" w:eastAsia="Arial" w:hAnsi="Arial"/>
          <w:sz w:val="18"/>
          <w:szCs w:val="18"/>
          <w:color w:val="auto"/>
        </w:rPr>
      </w:pPr>
      <w:r>
        <w:rPr>
          <w:rFonts w:ascii="Arial" w:cs="Arial" w:eastAsia="Arial" w:hAnsi="Arial"/>
          <w:sz w:val="16"/>
          <w:szCs w:val="16"/>
          <w:color w:val="auto"/>
        </w:rPr>
        <w:t>8.2. An annual cash bonus may be awarded to Executive Officers upon the attainment of pre-set periodical objectives and individual targets as may be approved by the Compensation Committee (and, if required by law, by the Board) for each fiscal year, or in connection with such Executive Officer’s engagement, in case of newly hired Executive Officers, taking into account Global-e’s short and long-term goals, as well as its compliance and risk management policies. The Compensation Committee (and, if required by law, the Board) may approve applicable minimum thresholds that must be met for entitlement to the annual cash bonus (all or any portion thereof) and the principle formula for calculating any annual cash bonus payout, with respect to each fiscal year. In special circumstances (e.g., regulatory changes, significant changes in Global-e’s business environment, a significant organizational change, a significant merger and acquisition event etc.), the Compensation Committee and the Board may approve a modification of the objectives and/or their relative weights during the fiscal year, or of the payouts following the conclusion of the year.</w:t>
      </w:r>
    </w:p>
    <w:p>
      <w:pPr>
        <w:spacing w:after="0" w:line="72" w:lineRule="exact"/>
        <w:rPr>
          <w:rFonts w:ascii="Arial" w:cs="Arial" w:eastAsia="Arial" w:hAnsi="Arial"/>
          <w:sz w:val="18"/>
          <w:szCs w:val="18"/>
          <w:color w:val="auto"/>
        </w:rPr>
      </w:pPr>
    </w:p>
    <w:p>
      <w:pPr>
        <w:ind w:left="980" w:right="380" w:hanging="535"/>
        <w:spacing w:after="0" w:line="259" w:lineRule="auto"/>
        <w:rPr>
          <w:rFonts w:ascii="Arial" w:cs="Arial" w:eastAsia="Arial" w:hAnsi="Arial"/>
          <w:sz w:val="18"/>
          <w:szCs w:val="18"/>
          <w:color w:val="auto"/>
        </w:rPr>
      </w:pPr>
      <w:r>
        <w:rPr>
          <w:rFonts w:ascii="Arial" w:cs="Arial" w:eastAsia="Arial" w:hAnsi="Arial"/>
          <w:sz w:val="18"/>
          <w:szCs w:val="18"/>
          <w:color w:val="auto"/>
        </w:rPr>
        <w:t>8.3. In the event the employment of an Executive Officer is terminated prior to the end of a fiscal year, the Company may (but shall not be obligated to) pay such Executive Officer an annual cash bonus (which may or may not be pro-rated), taking into consideration any contractual commitments or obligations.</w:t>
      </w:r>
    </w:p>
    <w:p>
      <w:pPr>
        <w:spacing w:after="0" w:line="9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8.4.   The actual annual bonus paid to the Executive Officers shall be approved by the Compensation Committee and the Board.</w:t>
      </w:r>
    </w:p>
    <w:p>
      <w:pPr>
        <w:spacing w:after="0" w:line="243" w:lineRule="exact"/>
        <w:rPr>
          <w:rFonts w:ascii="Arial" w:cs="Arial" w:eastAsia="Arial" w:hAnsi="Arial"/>
          <w:sz w:val="18"/>
          <w:szCs w:val="18"/>
          <w:color w:val="auto"/>
        </w:rPr>
      </w:pPr>
    </w:p>
    <w:p>
      <w:pPr>
        <w:ind w:left="440" w:hanging="433"/>
        <w:spacing w:after="0"/>
        <w:tabs>
          <w:tab w:leader="none" w:pos="44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Annual Cash Bonuses—The Formula</w:t>
      </w:r>
    </w:p>
    <w:p>
      <w:pPr>
        <w:spacing w:after="0" w:line="131" w:lineRule="exact"/>
        <w:rPr>
          <w:rFonts w:ascii="Arial" w:cs="Arial" w:eastAsia="Arial" w:hAnsi="Arial"/>
          <w:sz w:val="18"/>
          <w:szCs w:val="18"/>
          <w:color w:val="auto"/>
        </w:rPr>
      </w:pPr>
    </w:p>
    <w:p>
      <w:pPr>
        <w:ind w:left="980" w:right="180" w:hanging="535"/>
        <w:spacing w:after="0" w:line="267" w:lineRule="auto"/>
        <w:rPr>
          <w:rFonts w:ascii="Arial" w:cs="Arial" w:eastAsia="Arial" w:hAnsi="Arial"/>
          <w:sz w:val="18"/>
          <w:szCs w:val="18"/>
          <w:color w:val="auto"/>
        </w:rPr>
      </w:pPr>
      <w:r>
        <w:rPr>
          <w:rFonts w:ascii="Arial" w:cs="Arial" w:eastAsia="Arial" w:hAnsi="Arial"/>
          <w:sz w:val="17"/>
          <w:szCs w:val="17"/>
          <w:color w:val="auto"/>
        </w:rPr>
        <w:t>9.1. The performance objectives for the annual cash bonus of Global-e’s Executive Officers, other than the CEO, may be determined and approved by the CEO (in lieu of the Compensation Committee) and may be based on company, division and individual objectives. The performance measurable objectives, which include the objectives and the weight to be assigned to each achievement in the overall evaluation, will be based, among other things, on overall company performance measures, which are based on actual financial and operational results, such as (by way of example and not by way of limitation) revenues, operating income and cash flow and may further include, divisional or personal objectives which may include operational objectives, such as (by way of example and not by way of limitation) market share, initiation of new markets and operational efficiency, customer focused objectives, project milestone objectives and investment in human capital objectives, such as (by way of example and not by way of limitation) employee satisfaction, employee retention and employee training and leadership programs. The Company may also grant annual cash bonuses to Global-e’s Executive Officers on a discretionary basis.</w:t>
      </w:r>
    </w:p>
    <w:p>
      <w:pPr>
        <w:spacing w:after="0" w:line="85" w:lineRule="exact"/>
        <w:rPr>
          <w:rFonts w:ascii="Arial" w:cs="Arial" w:eastAsia="Arial" w:hAnsi="Arial"/>
          <w:sz w:val="18"/>
          <w:szCs w:val="18"/>
          <w:color w:val="auto"/>
        </w:rPr>
      </w:pPr>
    </w:p>
    <w:p>
      <w:pPr>
        <w:ind w:left="980" w:right="240" w:hanging="535"/>
        <w:spacing w:after="0" w:line="271" w:lineRule="auto"/>
        <w:rPr>
          <w:rFonts w:ascii="Arial" w:cs="Arial" w:eastAsia="Arial" w:hAnsi="Arial"/>
          <w:sz w:val="18"/>
          <w:szCs w:val="18"/>
          <w:color w:val="auto"/>
        </w:rPr>
      </w:pPr>
      <w:r>
        <w:rPr>
          <w:rFonts w:ascii="Arial" w:cs="Arial" w:eastAsia="Arial" w:hAnsi="Arial"/>
          <w:sz w:val="18"/>
          <w:szCs w:val="18"/>
          <w:color w:val="auto"/>
        </w:rPr>
        <w:t>9.2. The target annual cash bonus that an Executive Officer, other than the CEO, will be entitled to receive for any given fiscal year, will not exceed 125% of such Executive Officer’s annual base salary.</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435" w:name="page436"/>
    <w:bookmarkEnd w:id="435"/>
    <w:p>
      <w:pPr>
        <w:ind w:left="973" w:right="80" w:hanging="534"/>
        <w:spacing w:after="0" w:line="338" w:lineRule="auto"/>
        <w:tabs>
          <w:tab w:leader="none" w:pos="9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9.3.</w:t>
      </w:r>
      <w:r>
        <w:rPr>
          <w:sz w:val="20"/>
          <w:szCs w:val="20"/>
          <w:color w:val="auto"/>
        </w:rPr>
        <w:tab/>
      </w:r>
      <w:r>
        <w:rPr>
          <w:rFonts w:ascii="Arial" w:cs="Arial" w:eastAsia="Arial" w:hAnsi="Arial"/>
          <w:sz w:val="14"/>
          <w:szCs w:val="14"/>
          <w:color w:val="auto"/>
        </w:rPr>
        <w:t>The annual cash bonus of Global-e’s CEO will be mainly based on performance measurable objectives and subject to minimum thresholds as provided in Section 8.2 above. Such performance measurable objectives will be determined annually by Global-e’s Compensation Committee (and, if required by law, by Global-e’s Board) and will be based on company and/or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(by way of example and not by way of limitation) revenues, sales, operating income, cash flow or Company’s annual operating plan and long-term plan.</w:t>
      </w:r>
    </w:p>
    <w:p>
      <w:pPr>
        <w:spacing w:after="0" w:line="44" w:lineRule="exact"/>
        <w:rPr>
          <w:sz w:val="20"/>
          <w:szCs w:val="20"/>
          <w:color w:val="auto"/>
        </w:rPr>
      </w:pPr>
    </w:p>
    <w:p>
      <w:pPr>
        <w:ind w:left="973" w:hanging="534"/>
        <w:spacing w:after="0" w:line="259" w:lineRule="auto"/>
        <w:tabs>
          <w:tab w:leader="none" w:pos="95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less significant part of the annual cash bonus granted to Global-e’s CEO, and in any event not more than 30% of the annual cash bonus, may be based on a discretionary evaluation of the CEO’s overall performance by the Compensation Committee and the Board based on quantitative and qualitative criteria.</w:t>
      </w:r>
    </w:p>
    <w:p>
      <w:pPr>
        <w:spacing w:after="0" w:line="92" w:lineRule="exact"/>
        <w:rPr>
          <w:sz w:val="20"/>
          <w:szCs w:val="20"/>
          <w:color w:val="auto"/>
        </w:rPr>
      </w:pPr>
    </w:p>
    <w:p>
      <w:pPr>
        <w:ind w:left="973" w:right="200" w:hanging="534"/>
        <w:spacing w:after="0" w:line="271" w:lineRule="auto"/>
        <w:tabs>
          <w:tab w:leader="none" w:pos="95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target annual cash bonus that the CEO will be entitled to receive for any given fiscal year, will not exceed 125% of his or her annual base salary.</w:t>
      </w:r>
    </w:p>
    <w:p>
      <w:pPr>
        <w:spacing w:after="0" w:line="197" w:lineRule="exact"/>
        <w:rPr>
          <w:sz w:val="20"/>
          <w:szCs w:val="20"/>
          <w:color w:val="auto"/>
        </w:rPr>
      </w:pPr>
    </w:p>
    <w:p>
      <w:pPr>
        <w:ind w:left="433" w:hanging="433"/>
        <w:spacing w:after="0"/>
        <w:tabs>
          <w:tab w:leader="none" w:pos="433"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Other Bonuses</w:t>
      </w:r>
    </w:p>
    <w:p>
      <w:pPr>
        <w:spacing w:after="0" w:line="131" w:lineRule="exact"/>
        <w:rPr>
          <w:rFonts w:ascii="Arial" w:cs="Arial" w:eastAsia="Arial" w:hAnsi="Arial"/>
          <w:sz w:val="18"/>
          <w:szCs w:val="18"/>
          <w:color w:val="auto"/>
        </w:rPr>
      </w:pPr>
    </w:p>
    <w:p>
      <w:pPr>
        <w:ind w:left="973" w:right="20" w:hanging="535"/>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Special Bonus</w:t>
      </w:r>
      <w:r>
        <w:rPr>
          <w:rFonts w:ascii="Arial" w:cs="Arial" w:eastAsia="Arial" w:hAnsi="Arial"/>
          <w:sz w:val="17"/>
          <w:szCs w:val="17"/>
          <w:color w:val="auto"/>
        </w:rPr>
        <w:t>. Global-e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for Executive Officers other than the CEO (and in the CEO’s case, at the Compensation Committee’s and the Board’s discretion), subject to any additional approval as may be required by the Companies Law (the “</w:t>
      </w:r>
      <w:r>
        <w:rPr>
          <w:rFonts w:ascii="Arial" w:cs="Arial" w:eastAsia="Arial" w:hAnsi="Arial"/>
          <w:sz w:val="17"/>
          <w:szCs w:val="17"/>
          <w:b w:val="1"/>
          <w:bCs w:val="1"/>
          <w:color w:val="auto"/>
        </w:rPr>
        <w:t>Special Bonus</w:t>
      </w:r>
      <w:r>
        <w:rPr>
          <w:rFonts w:ascii="Arial" w:cs="Arial" w:eastAsia="Arial" w:hAnsi="Arial"/>
          <w:sz w:val="17"/>
          <w:szCs w:val="17"/>
          <w:color w:val="auto"/>
        </w:rPr>
        <w:t>”). Any such Special Bonus will not exceed 200% of the Executive Officer’s annual base salary. Special Bonus can be paid, in whole or in part, in equity in lieu of cash.</w:t>
      </w:r>
    </w:p>
    <w:p>
      <w:pPr>
        <w:spacing w:after="0" w:line="84" w:lineRule="exact"/>
        <w:rPr>
          <w:rFonts w:ascii="Arial" w:cs="Arial" w:eastAsia="Arial" w:hAnsi="Arial"/>
          <w:sz w:val="18"/>
          <w:szCs w:val="18"/>
          <w:color w:val="auto"/>
        </w:rPr>
      </w:pPr>
    </w:p>
    <w:p>
      <w:pPr>
        <w:ind w:left="973" w:right="280" w:hanging="535"/>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Signing Bonus</w:t>
      </w:r>
      <w:r>
        <w:rPr>
          <w:rFonts w:ascii="Arial" w:cs="Arial" w:eastAsia="Arial" w:hAnsi="Arial"/>
          <w:sz w:val="18"/>
          <w:szCs w:val="18"/>
          <w:color w:val="auto"/>
        </w:rPr>
        <w:t>. Global-e may grant a newly recruited Executive Officer a signing bonus, at the CEO’s discretion for Executive Officers other than the CEO (and in the CEO’s case, at the Compensation Committee’s and the Board’s discretion), subject to any additional approval as may be required by the Companies Law (the “</w:t>
      </w:r>
      <w:r>
        <w:rPr>
          <w:rFonts w:ascii="Arial" w:cs="Arial" w:eastAsia="Arial" w:hAnsi="Arial"/>
          <w:sz w:val="18"/>
          <w:szCs w:val="18"/>
          <w:b w:val="1"/>
          <w:bCs w:val="1"/>
          <w:color w:val="auto"/>
        </w:rPr>
        <w:t>Signing Bonus</w:t>
      </w:r>
      <w:r>
        <w:rPr>
          <w:rFonts w:ascii="Arial" w:cs="Arial" w:eastAsia="Arial" w:hAnsi="Arial"/>
          <w:sz w:val="18"/>
          <w:szCs w:val="18"/>
          <w:color w:val="auto"/>
        </w:rPr>
        <w:t>”). Any such Signing Bonus will not exceed 100% of the Executive Officer’s annual base salary.</w:t>
      </w:r>
    </w:p>
    <w:p>
      <w:pPr>
        <w:spacing w:after="0" w:line="96" w:lineRule="exact"/>
        <w:rPr>
          <w:rFonts w:ascii="Arial" w:cs="Arial" w:eastAsia="Arial" w:hAnsi="Arial"/>
          <w:sz w:val="18"/>
          <w:szCs w:val="18"/>
          <w:color w:val="auto"/>
        </w:rPr>
      </w:pPr>
    </w:p>
    <w:p>
      <w:pPr>
        <w:ind w:left="973" w:right="80" w:hanging="535"/>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Relocation/ Repatriation Bonus</w:t>
      </w:r>
      <w:r>
        <w:rPr>
          <w:rFonts w:ascii="Arial" w:cs="Arial" w:eastAsia="Arial" w:hAnsi="Arial"/>
          <w:sz w:val="17"/>
          <w:szCs w:val="17"/>
          <w:color w:val="auto"/>
        </w:rPr>
        <w:t>. Global-e may grant its Executive Officers a special bonus in the event of relocation or repatriation of an Executive Officer to another geography (the “</w:t>
      </w:r>
      <w:r>
        <w:rPr>
          <w:rFonts w:ascii="Arial" w:cs="Arial" w:eastAsia="Arial" w:hAnsi="Arial"/>
          <w:sz w:val="17"/>
          <w:szCs w:val="17"/>
          <w:b w:val="1"/>
          <w:bCs w:val="1"/>
          <w:color w:val="auto"/>
        </w:rPr>
        <w:t>Relocation Bonus</w:t>
      </w:r>
      <w:r>
        <w:rPr>
          <w:rFonts w:ascii="Arial" w:cs="Arial" w:eastAsia="Arial" w:hAnsi="Arial"/>
          <w:sz w:val="17"/>
          <w:szCs w:val="17"/>
          <w:color w:val="auto"/>
        </w:rPr>
        <w:t>”). Any such Relocation bonus will include customary benefits associated with such relocation and its monetary value will not exceed 100% of the Executive Officer’s annual base salary.</w:t>
      </w:r>
    </w:p>
    <w:p>
      <w:pPr>
        <w:spacing w:after="0" w:line="192" w:lineRule="exact"/>
        <w:rPr>
          <w:rFonts w:ascii="Arial" w:cs="Arial" w:eastAsia="Arial" w:hAnsi="Arial"/>
          <w:sz w:val="18"/>
          <w:szCs w:val="18"/>
          <w:color w:val="auto"/>
        </w:rPr>
      </w:pPr>
    </w:p>
    <w:p>
      <w:pPr>
        <w:ind w:left="433" w:hanging="433"/>
        <w:spacing w:after="0"/>
        <w:tabs>
          <w:tab w:leader="none" w:pos="433"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Compensation Recovery (“Clawback”)</w:t>
      </w:r>
    </w:p>
    <w:p>
      <w:pPr>
        <w:spacing w:after="0" w:line="131" w:lineRule="exact"/>
        <w:rPr>
          <w:sz w:val="20"/>
          <w:szCs w:val="20"/>
          <w:color w:val="auto"/>
        </w:rPr>
      </w:pPr>
    </w:p>
    <w:p>
      <w:pPr>
        <w:jc w:val="both"/>
        <w:ind w:left="973" w:right="320" w:hanging="534"/>
        <w:spacing w:after="0" w:line="255" w:lineRule="auto"/>
        <w:tabs>
          <w:tab w:leader="none" w:pos="952" w:val="left"/>
        </w:tabs>
        <w:rPr>
          <w:sz w:val="20"/>
          <w:szCs w:val="20"/>
          <w:color w:val="auto"/>
        </w:rPr>
      </w:pPr>
      <w:r>
        <w:rPr>
          <w:rFonts w:ascii="Arial" w:cs="Arial" w:eastAsia="Arial" w:hAnsi="Arial"/>
          <w:sz w:val="18"/>
          <w:szCs w:val="18"/>
          <w:color w:val="auto"/>
        </w:rPr>
        <w:t>11.1.</w:t>
        <w:tab/>
        <w:t>In the event of an accounting restatement, Global-e shall be entitled to recover from its Executive Officers the bonus compensation or performance-based equity compensation in the amount in which such compensation exceeded what would have been paid based on the financial statements, as restated, provided that a claim is made by Global-e prior to the second anniversary following the filing of such restated financial statements.</w:t>
      </w:r>
    </w:p>
    <w:p>
      <w:pPr>
        <w:spacing w:after="0" w:line="97" w:lineRule="exact"/>
        <w:rPr>
          <w:sz w:val="20"/>
          <w:szCs w:val="20"/>
          <w:color w:val="auto"/>
        </w:rPr>
      </w:pPr>
    </w:p>
    <w:p>
      <w:pPr>
        <w:ind w:left="433"/>
        <w:spacing w:after="0"/>
        <w:tabs>
          <w:tab w:leader="none" w:pos="9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Notwithstanding the aforesaid, the compensation recovery will not be triggered in the following events:</w:t>
      </w:r>
    </w:p>
    <w:p>
      <w:pPr>
        <w:spacing w:after="0" w:line="127" w:lineRule="exact"/>
        <w:rPr>
          <w:sz w:val="20"/>
          <w:szCs w:val="20"/>
          <w:color w:val="auto"/>
        </w:rPr>
      </w:pPr>
    </w:p>
    <w:p>
      <w:pPr>
        <w:ind w:left="973"/>
        <w:spacing w:after="0"/>
        <w:rPr>
          <w:sz w:val="20"/>
          <w:szCs w:val="20"/>
          <w:color w:val="auto"/>
        </w:rPr>
      </w:pPr>
      <w:r>
        <w:rPr>
          <w:rFonts w:ascii="Arial" w:cs="Arial" w:eastAsia="Arial" w:hAnsi="Arial"/>
          <w:sz w:val="18"/>
          <w:szCs w:val="18"/>
          <w:color w:val="auto"/>
        </w:rPr>
        <w:t>11.2.1.The financial restatement is required due to changes in the applicable financial reporting standards; or</w:t>
      </w:r>
    </w:p>
    <w:p>
      <w:pPr>
        <w:spacing w:after="0" w:line="127" w:lineRule="exact"/>
        <w:rPr>
          <w:sz w:val="20"/>
          <w:szCs w:val="20"/>
          <w:color w:val="auto"/>
        </w:rPr>
      </w:pPr>
    </w:p>
    <w:p>
      <w:pPr>
        <w:ind w:left="1473" w:right="100" w:hanging="494"/>
        <w:spacing w:after="0" w:line="271" w:lineRule="auto"/>
        <w:rPr>
          <w:sz w:val="20"/>
          <w:szCs w:val="20"/>
          <w:color w:val="auto"/>
        </w:rPr>
      </w:pPr>
      <w:r>
        <w:rPr>
          <w:rFonts w:ascii="Arial" w:cs="Arial" w:eastAsia="Arial" w:hAnsi="Arial"/>
          <w:sz w:val="18"/>
          <w:szCs w:val="18"/>
          <w:color w:val="auto"/>
        </w:rPr>
        <w:t>11.2.2.The Compensation Committee has determined that Clawback proceedings in the specific case would be impossible, impractical, or not commercially or legally efficient.</w:t>
      </w:r>
    </w:p>
    <w:p>
      <w:pPr>
        <w:spacing w:after="0" w:line="1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13"/>
          </w:cols>
          <w:pgMar w:left="487" w:top="272" w:right="499" w:bottom="1440" w:gutter="0" w:footer="0" w:header="0"/>
        </w:sectPr>
      </w:pPr>
    </w:p>
    <w:bookmarkStart w:id="436" w:name="page437"/>
    <w:bookmarkEnd w:id="436"/>
    <w:p>
      <w:pPr>
        <w:ind w:left="980" w:right="720" w:hanging="534"/>
        <w:spacing w:after="0" w:line="271"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11.3.</w:t>
        <w:tab/>
        <w:t>Nothing in this Section 11 derogates from any other “Clawback” or similar provisions regarding disgorging of profits imposed on Executive Officers by virtue of applicable securities laws or a separate contractual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Equity Based Compensation</w:t>
      </w:r>
    </w:p>
    <w:p>
      <w:pPr>
        <w:spacing w:after="0" w:line="127" w:lineRule="exact"/>
        <w:rPr>
          <w:sz w:val="20"/>
          <w:szCs w:val="20"/>
          <w:color w:val="auto"/>
        </w:rPr>
      </w:pPr>
    </w:p>
    <w:p>
      <w:pPr>
        <w:ind w:left="440" w:hanging="433"/>
        <w:spacing w:after="0"/>
        <w:tabs>
          <w:tab w:leader="none" w:pos="44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The Objective</w:t>
      </w:r>
    </w:p>
    <w:p>
      <w:pPr>
        <w:spacing w:after="0" w:line="131" w:lineRule="exact"/>
        <w:rPr>
          <w:rFonts w:ascii="Arial" w:cs="Arial" w:eastAsia="Arial" w:hAnsi="Arial"/>
          <w:sz w:val="18"/>
          <w:szCs w:val="18"/>
          <w:color w:val="auto"/>
        </w:rPr>
      </w:pPr>
    </w:p>
    <w:p>
      <w:pPr>
        <w:ind w:left="980" w:hanging="535"/>
        <w:spacing w:after="0" w:line="272" w:lineRule="auto"/>
        <w:rPr>
          <w:rFonts w:ascii="Arial" w:cs="Arial" w:eastAsia="Arial" w:hAnsi="Arial"/>
          <w:sz w:val="18"/>
          <w:szCs w:val="18"/>
          <w:color w:val="auto"/>
        </w:rPr>
      </w:pPr>
      <w:r>
        <w:rPr>
          <w:rFonts w:ascii="Arial" w:cs="Arial" w:eastAsia="Arial" w:hAnsi="Arial"/>
          <w:sz w:val="17"/>
          <w:szCs w:val="17"/>
          <w:color w:val="auto"/>
        </w:rPr>
        <w:t>12.1. The equity-based compensation for Global-e’s Executive Officers will be designed in a manner consistent with the underlying objectives of the Company in determining the base salary and the annual cash bonus, with its main objectives being to enhance the alignment between the Executive Officers’ interests with the long-term interests of Global-e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spacing w:after="0" w:line="82" w:lineRule="exact"/>
        <w:rPr>
          <w:rFonts w:ascii="Arial" w:cs="Arial" w:eastAsia="Arial" w:hAnsi="Arial"/>
          <w:sz w:val="18"/>
          <w:szCs w:val="18"/>
          <w:color w:val="auto"/>
        </w:rPr>
      </w:pPr>
    </w:p>
    <w:p>
      <w:pPr>
        <w:ind w:left="980" w:right="120" w:hanging="535"/>
        <w:spacing w:after="0" w:line="335" w:lineRule="auto"/>
        <w:rPr>
          <w:rFonts w:ascii="Arial" w:cs="Arial" w:eastAsia="Arial" w:hAnsi="Arial"/>
          <w:sz w:val="18"/>
          <w:szCs w:val="18"/>
          <w:color w:val="auto"/>
        </w:rPr>
      </w:pPr>
      <w:r>
        <w:rPr>
          <w:rFonts w:ascii="Arial" w:cs="Arial" w:eastAsia="Arial" w:hAnsi="Arial"/>
          <w:sz w:val="16"/>
          <w:szCs w:val="16"/>
          <w:color w:val="auto"/>
        </w:rPr>
        <w:t>12.2. The equity-based compensation offered by Global-e is intended to be in a form of share options and/or other equity-based awards, such as RSUs or performance stock units, in accordance with the Company’s equity incentive plan in place as may be updated from time to time.</w:t>
      </w:r>
    </w:p>
    <w:p>
      <w:pPr>
        <w:spacing w:after="0" w:line="34" w:lineRule="exact"/>
        <w:rPr>
          <w:rFonts w:ascii="Arial" w:cs="Arial" w:eastAsia="Arial" w:hAnsi="Arial"/>
          <w:sz w:val="18"/>
          <w:szCs w:val="18"/>
          <w:color w:val="auto"/>
        </w:rPr>
      </w:pPr>
    </w:p>
    <w:p>
      <w:pPr>
        <w:ind w:left="980" w:hanging="535"/>
        <w:spacing w:after="0" w:line="270" w:lineRule="auto"/>
        <w:rPr>
          <w:rFonts w:ascii="Arial" w:cs="Arial" w:eastAsia="Arial" w:hAnsi="Arial"/>
          <w:sz w:val="18"/>
          <w:szCs w:val="18"/>
          <w:color w:val="auto"/>
        </w:rPr>
      </w:pPr>
      <w:r>
        <w:rPr>
          <w:rFonts w:ascii="Arial" w:cs="Arial" w:eastAsia="Arial" w:hAnsi="Arial"/>
          <w:sz w:val="17"/>
          <w:szCs w:val="17"/>
          <w:color w:val="auto"/>
        </w:rPr>
        <w:t>12.3. All equity-based incentives granted to Executive Officers (other than bonuses paid in equity in lieu of cash) shall normally be subject to vesting periods in order to promote long-term retention of the awarded Executive Officers. Unless determined otherwise in a specific award agreement or in a specific compensation plan approved by the Compensation Committee and the Board, grants to Executive Officers other than non-employee directors shall vest based on time, gradually over a period of at least 2-4 years, or based on performance. The exercise price of options shall be determined in accordance with Global-e’s policies as may be adopted from time to time, the main terms of which shall be disclosed as required by law or other applicable accounting requirements.</w:t>
      </w:r>
    </w:p>
    <w:p>
      <w:pPr>
        <w:spacing w:after="0" w:line="84" w:lineRule="exact"/>
        <w:rPr>
          <w:rFonts w:ascii="Arial" w:cs="Arial" w:eastAsia="Arial" w:hAnsi="Arial"/>
          <w:sz w:val="18"/>
          <w:szCs w:val="18"/>
          <w:color w:val="auto"/>
        </w:rPr>
      </w:pPr>
    </w:p>
    <w:p>
      <w:pPr>
        <w:ind w:left="980" w:right="120" w:hanging="535"/>
        <w:spacing w:after="0" w:line="281" w:lineRule="auto"/>
        <w:rPr>
          <w:rFonts w:ascii="Arial" w:cs="Arial" w:eastAsia="Arial" w:hAnsi="Arial"/>
          <w:sz w:val="18"/>
          <w:szCs w:val="18"/>
          <w:color w:val="auto"/>
        </w:rPr>
      </w:pPr>
      <w:r>
        <w:rPr>
          <w:rFonts w:ascii="Arial" w:cs="Arial" w:eastAsia="Arial" w:hAnsi="Arial"/>
          <w:sz w:val="17"/>
          <w:szCs w:val="17"/>
          <w:color w:val="auto"/>
        </w:rPr>
        <w:t>12.4. All other terms of the equity awards shall be in accordance with Global-e’s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192" w:lineRule="exact"/>
        <w:rPr>
          <w:rFonts w:ascii="Arial" w:cs="Arial" w:eastAsia="Arial" w:hAnsi="Arial"/>
          <w:sz w:val="18"/>
          <w:szCs w:val="18"/>
          <w:color w:val="auto"/>
        </w:rPr>
      </w:pPr>
    </w:p>
    <w:p>
      <w:pPr>
        <w:ind w:left="440" w:hanging="433"/>
        <w:spacing w:after="0"/>
        <w:tabs>
          <w:tab w:leader="none" w:pos="44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General Guidelines for the Grant of Awards</w:t>
      </w:r>
    </w:p>
    <w:p>
      <w:pPr>
        <w:spacing w:after="0" w:line="131" w:lineRule="exact"/>
        <w:rPr>
          <w:rFonts w:ascii="Arial" w:cs="Arial" w:eastAsia="Arial" w:hAnsi="Arial"/>
          <w:sz w:val="18"/>
          <w:szCs w:val="18"/>
          <w:color w:val="auto"/>
        </w:rPr>
      </w:pPr>
    </w:p>
    <w:p>
      <w:pPr>
        <w:ind w:left="980" w:right="380" w:hanging="535"/>
        <w:spacing w:after="0" w:line="259" w:lineRule="auto"/>
        <w:rPr>
          <w:rFonts w:ascii="Arial" w:cs="Arial" w:eastAsia="Arial" w:hAnsi="Arial"/>
          <w:sz w:val="18"/>
          <w:szCs w:val="18"/>
          <w:color w:val="auto"/>
        </w:rPr>
      </w:pPr>
      <w:r>
        <w:rPr>
          <w:rFonts w:ascii="Arial" w:cs="Arial" w:eastAsia="Arial" w:hAnsi="Arial"/>
          <w:sz w:val="18"/>
          <w:szCs w:val="18"/>
          <w:color w:val="auto"/>
        </w:rPr>
        <w:t>13.1.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92" w:lineRule="exact"/>
        <w:rPr>
          <w:rFonts w:ascii="Arial" w:cs="Arial" w:eastAsia="Arial" w:hAnsi="Arial"/>
          <w:sz w:val="18"/>
          <w:szCs w:val="18"/>
          <w:color w:val="auto"/>
        </w:rPr>
      </w:pPr>
    </w:p>
    <w:p>
      <w:pPr>
        <w:ind w:left="980" w:right="140" w:hanging="535"/>
        <w:spacing w:after="0" w:line="281" w:lineRule="auto"/>
        <w:rPr>
          <w:rFonts w:ascii="Arial" w:cs="Arial" w:eastAsia="Arial" w:hAnsi="Arial"/>
          <w:sz w:val="18"/>
          <w:szCs w:val="18"/>
          <w:color w:val="auto"/>
        </w:rPr>
      </w:pPr>
      <w:r>
        <w:rPr>
          <w:rFonts w:ascii="Arial" w:cs="Arial" w:eastAsia="Arial" w:hAnsi="Arial"/>
          <w:sz w:val="17"/>
          <w:szCs w:val="17"/>
          <w:color w:val="auto"/>
        </w:rPr>
        <w:t>13.2. Notwithstanding the aforementioned in Section 13.1, the total fair market value of an annual equity-based compensation at the time of grant (not including bonuses paid in equity in lieu of cash) shall not exceed with respect to each Executive Officer (including the CEO)— the higher of (y) 500% of his or her annual base salary or (z) 0.35% of the Company’s fair market value.</w:t>
      </w:r>
    </w:p>
    <w:p>
      <w:pPr>
        <w:spacing w:after="0" w:line="75" w:lineRule="exact"/>
        <w:rPr>
          <w:rFonts w:ascii="Arial" w:cs="Arial" w:eastAsia="Arial" w:hAnsi="Arial"/>
          <w:sz w:val="18"/>
          <w:szCs w:val="18"/>
          <w:color w:val="auto"/>
        </w:rPr>
      </w:pPr>
    </w:p>
    <w:p>
      <w:pPr>
        <w:ind w:left="980" w:right="60" w:hanging="535"/>
        <w:spacing w:after="0" w:line="307" w:lineRule="auto"/>
        <w:rPr>
          <w:rFonts w:ascii="Arial" w:cs="Arial" w:eastAsia="Arial" w:hAnsi="Arial"/>
          <w:sz w:val="18"/>
          <w:szCs w:val="18"/>
          <w:color w:val="auto"/>
        </w:rPr>
      </w:pPr>
      <w:r>
        <w:rPr>
          <w:rFonts w:ascii="Arial" w:cs="Arial" w:eastAsia="Arial" w:hAnsi="Arial"/>
          <w:sz w:val="16"/>
          <w:szCs w:val="16"/>
          <w:color w:val="auto"/>
        </w:rPr>
        <w:t>13.3. The fair market value of the equity-based compensation for the Executive Officers will be determined by multiplying the number of shares underlying the grant by the market price of Global-e’s ordinary shares on or around the time of the grant or according to other acceptable valuation practices at the time of grant, in each case, as determined by the Compensation Committee and the Board.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 </w:t>
      </w:r>
      <w:r>
        <w:rPr>
          <w:rFonts w:ascii="Arial" w:cs="Arial" w:eastAsia="Arial" w:hAnsi="Arial"/>
          <w:sz w:val="18"/>
          <w:szCs w:val="18"/>
          <w:b w:val="1"/>
          <w:bCs w:val="1"/>
          <w:u w:val="single" w:color="auto"/>
          <w:color w:val="auto"/>
        </w:rPr>
        <w:t>Retirement and Termination of Service Arrangements</w:t>
      </w:r>
    </w:p>
    <w:p>
      <w:pPr>
        <w:spacing w:after="0" w:line="127" w:lineRule="exact"/>
        <w:rPr>
          <w:sz w:val="20"/>
          <w:szCs w:val="20"/>
          <w:color w:val="auto"/>
        </w:rPr>
      </w:pPr>
    </w:p>
    <w:p>
      <w:pPr>
        <w:ind w:left="440" w:hanging="433"/>
        <w:spacing w:after="0"/>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Advanced Notice Period</w:t>
      </w:r>
    </w:p>
    <w:p>
      <w:pPr>
        <w:spacing w:after="0" w:line="117" w:lineRule="exact"/>
        <w:rPr>
          <w:rFonts w:ascii="Arial" w:cs="Arial" w:eastAsia="Arial" w:hAnsi="Arial"/>
          <w:sz w:val="18"/>
          <w:szCs w:val="18"/>
          <w:color w:val="auto"/>
        </w:rPr>
      </w:pPr>
    </w:p>
    <w:p>
      <w:pPr>
        <w:ind w:left="440" w:right="120"/>
        <w:spacing w:after="0" w:line="293" w:lineRule="auto"/>
        <w:rPr>
          <w:rFonts w:ascii="Arial" w:cs="Arial" w:eastAsia="Arial" w:hAnsi="Arial"/>
          <w:sz w:val="18"/>
          <w:szCs w:val="18"/>
          <w:color w:val="auto"/>
        </w:rPr>
      </w:pPr>
      <w:r>
        <w:rPr>
          <w:rFonts w:ascii="Arial" w:cs="Arial" w:eastAsia="Arial" w:hAnsi="Arial"/>
          <w:sz w:val="16"/>
          <w:szCs w:val="16"/>
          <w:color w:val="auto"/>
        </w:rPr>
        <w:t>Global-e may provide any Executive Officer (including the CEO) according to his/her seniority in the Company, his/her contribution to the Company’s goals and achievements and the circumstances of retirement a prior notice of termination of up to twelve (12) months, during which the Executive Officer may be entitled to all of the compensation elements, and to the continuation of vesting of his/her equity-based compensation. Such advance notice may or may not be provided in addition to severance, provided, however, that the Compensation Committee shall take into consideration the Executive Officer’s entitlement to advance notice in establishing any entitlement to severance and vice versa.</w:t>
      </w:r>
    </w:p>
    <w:p>
      <w:pPr>
        <w:spacing w:after="0" w:line="183" w:lineRule="exact"/>
        <w:rPr>
          <w:rFonts w:ascii="Arial" w:cs="Arial" w:eastAsia="Arial" w:hAnsi="Arial"/>
          <w:sz w:val="18"/>
          <w:szCs w:val="18"/>
          <w:color w:val="auto"/>
        </w:rPr>
      </w:pPr>
    </w:p>
    <w:p>
      <w:pPr>
        <w:ind w:left="440" w:hanging="433"/>
        <w:spacing w:after="0"/>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Adjustment Period</w:t>
      </w:r>
    </w:p>
    <w:p>
      <w:pPr>
        <w:spacing w:after="0" w:line="117" w:lineRule="exact"/>
        <w:rPr>
          <w:rFonts w:ascii="Arial" w:cs="Arial" w:eastAsia="Arial" w:hAnsi="Arial"/>
          <w:sz w:val="18"/>
          <w:szCs w:val="18"/>
          <w:color w:val="auto"/>
        </w:rPr>
      </w:pPr>
    </w:p>
    <w:p>
      <w:pPr>
        <w:ind w:left="440"/>
        <w:spacing w:after="0" w:line="281" w:lineRule="auto"/>
        <w:rPr>
          <w:rFonts w:ascii="Arial" w:cs="Arial" w:eastAsia="Arial" w:hAnsi="Arial"/>
          <w:sz w:val="18"/>
          <w:szCs w:val="18"/>
          <w:color w:val="auto"/>
        </w:rPr>
      </w:pPr>
      <w:r>
        <w:rPr>
          <w:rFonts w:ascii="Arial" w:cs="Arial" w:eastAsia="Arial" w:hAnsi="Arial"/>
          <w:sz w:val="17"/>
          <w:szCs w:val="17"/>
          <w:color w:val="auto"/>
        </w:rPr>
        <w:t>Global-e may provide an additional adjustment period of up to six (6) months to any Executive Officer according to his/her seniority in the Company, his/her contribution to the Company’s goals and achievements and the circumstances of retirement, during which the Executive Officer may be entitled to all of the compensation elements, and to the continuation of vesting of his/her equity-based compensation.</w:t>
      </w:r>
    </w:p>
    <w:p>
      <w:pPr>
        <w:spacing w:after="0" w:line="192" w:lineRule="exact"/>
        <w:rPr>
          <w:rFonts w:ascii="Arial" w:cs="Arial" w:eastAsia="Arial" w:hAnsi="Arial"/>
          <w:sz w:val="18"/>
          <w:szCs w:val="18"/>
          <w:color w:val="auto"/>
        </w:rPr>
      </w:pPr>
    </w:p>
    <w:p>
      <w:pPr>
        <w:ind w:left="440" w:hanging="433"/>
        <w:spacing w:after="0"/>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Additional Retirement and Termination Benefits</w:t>
      </w:r>
    </w:p>
    <w:p>
      <w:pPr>
        <w:spacing w:after="0" w:line="117" w:lineRule="exact"/>
        <w:rPr>
          <w:rFonts w:ascii="Arial" w:cs="Arial" w:eastAsia="Arial" w:hAnsi="Arial"/>
          <w:sz w:val="18"/>
          <w:szCs w:val="18"/>
          <w:color w:val="auto"/>
        </w:rPr>
      </w:pPr>
    </w:p>
    <w:p>
      <w:pPr>
        <w:ind w:left="440" w:right="540"/>
        <w:spacing w:after="0" w:line="271" w:lineRule="auto"/>
        <w:rPr>
          <w:rFonts w:ascii="Arial" w:cs="Arial" w:eastAsia="Arial" w:hAnsi="Arial"/>
          <w:sz w:val="18"/>
          <w:szCs w:val="18"/>
          <w:color w:val="auto"/>
        </w:rPr>
      </w:pPr>
      <w:r>
        <w:rPr>
          <w:rFonts w:ascii="Arial" w:cs="Arial" w:eastAsia="Arial" w:hAnsi="Arial"/>
          <w:sz w:val="18"/>
          <w:szCs w:val="18"/>
          <w:color w:val="auto"/>
        </w:rPr>
        <w:t>Global-e may provide additional retirement and terminations benefits and payments as may be required by applicable law (e.g., mandatory severance pay under Israeli labor laws), or which will be comparable to customary market practices.</w:t>
      </w:r>
    </w:p>
    <w:p>
      <w:pPr>
        <w:spacing w:after="0" w:line="197" w:lineRule="exact"/>
        <w:rPr>
          <w:rFonts w:ascii="Arial" w:cs="Arial" w:eastAsia="Arial" w:hAnsi="Arial"/>
          <w:sz w:val="18"/>
          <w:szCs w:val="18"/>
          <w:color w:val="auto"/>
        </w:rPr>
      </w:pPr>
    </w:p>
    <w:p>
      <w:pPr>
        <w:ind w:left="440" w:hanging="433"/>
        <w:spacing w:after="0"/>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Non-Compete Grant</w:t>
      </w:r>
    </w:p>
    <w:p>
      <w:pPr>
        <w:spacing w:after="0" w:line="117" w:lineRule="exact"/>
        <w:rPr>
          <w:rFonts w:ascii="Arial" w:cs="Arial" w:eastAsia="Arial" w:hAnsi="Arial"/>
          <w:sz w:val="18"/>
          <w:szCs w:val="18"/>
          <w:color w:val="auto"/>
        </w:rPr>
      </w:pPr>
    </w:p>
    <w:p>
      <w:pPr>
        <w:ind w:left="440" w:right="60"/>
        <w:spacing w:after="0" w:line="275" w:lineRule="auto"/>
        <w:rPr>
          <w:rFonts w:ascii="Arial" w:cs="Arial" w:eastAsia="Arial" w:hAnsi="Arial"/>
          <w:sz w:val="18"/>
          <w:szCs w:val="18"/>
          <w:color w:val="auto"/>
        </w:rPr>
      </w:pPr>
      <w:r>
        <w:rPr>
          <w:rFonts w:ascii="Arial" w:cs="Arial" w:eastAsia="Arial" w:hAnsi="Arial"/>
          <w:sz w:val="17"/>
          <w:szCs w:val="17"/>
          <w:color w:val="auto"/>
        </w:rPr>
        <w:t>Upon termination of employment and subject to applicable law, Global-e may grant to its Executive Officers a non-compete grant as an incentive to refrain from competing with Global-e for a defined period of time. The terms and conditions of the non-compete grant shall be decided by the Board and shall not exceed such Executive Officer’s monthly base salary multiplied by twelve (12). The Board shall consider the existing entitlements of the Executive Officer in connection with the consideration of any non-compete grant.</w:t>
      </w:r>
    </w:p>
    <w:p>
      <w:pPr>
        <w:spacing w:after="0" w:line="196" w:lineRule="exact"/>
        <w:rPr>
          <w:rFonts w:ascii="Arial" w:cs="Arial" w:eastAsia="Arial" w:hAnsi="Arial"/>
          <w:sz w:val="18"/>
          <w:szCs w:val="18"/>
          <w:color w:val="auto"/>
        </w:rPr>
      </w:pPr>
    </w:p>
    <w:p>
      <w:pPr>
        <w:ind w:left="440" w:hanging="433"/>
        <w:spacing w:after="0"/>
        <w:tabs>
          <w:tab w:leader="none" w:pos="4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Limitation Retirement and Termination of Service Arrangements</w:t>
      </w:r>
    </w:p>
    <w:p>
      <w:pPr>
        <w:spacing w:after="0" w:line="117" w:lineRule="exact"/>
        <w:rPr>
          <w:rFonts w:ascii="Arial" w:cs="Arial" w:eastAsia="Arial" w:hAnsi="Arial"/>
          <w:sz w:val="18"/>
          <w:szCs w:val="18"/>
          <w:color w:val="auto"/>
        </w:rPr>
      </w:pPr>
    </w:p>
    <w:p>
      <w:pPr>
        <w:jc w:val="both"/>
        <w:ind w:left="440" w:right="20"/>
        <w:spacing w:after="0" w:line="259" w:lineRule="auto"/>
        <w:rPr>
          <w:rFonts w:ascii="Arial" w:cs="Arial" w:eastAsia="Arial" w:hAnsi="Arial"/>
          <w:sz w:val="18"/>
          <w:szCs w:val="18"/>
          <w:color w:val="auto"/>
        </w:rPr>
      </w:pPr>
      <w:r>
        <w:rPr>
          <w:rFonts w:ascii="Arial" w:cs="Arial" w:eastAsia="Arial" w:hAnsi="Arial"/>
          <w:sz w:val="18"/>
          <w:szCs w:val="18"/>
          <w:color w:val="auto"/>
        </w:rPr>
        <w:t>The total non-statutory payments under Section 14-17 above for a given Executive Officer shall not exceed the Executive Officer’s monthly base salary multiplied by twenty-four (24). The limitation under this Section 18 does not apply to benefits and payments provided under other chapters of this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u w:val="single" w:color="auto"/>
          <w:color w:val="auto"/>
        </w:rPr>
        <w:t>Exculpation, Indemnification and Insurance</w:t>
      </w:r>
    </w:p>
    <w:p>
      <w:pPr>
        <w:spacing w:after="0" w:line="127" w:lineRule="exact"/>
        <w:rPr>
          <w:sz w:val="20"/>
          <w:szCs w:val="20"/>
          <w:color w:val="auto"/>
        </w:rPr>
      </w:pPr>
    </w:p>
    <w:p>
      <w:pPr>
        <w:ind w:left="440" w:hanging="433"/>
        <w:spacing w:after="0"/>
        <w:tabs>
          <w:tab w:leader="none" w:pos="44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Exculpation</w:t>
      </w:r>
    </w:p>
    <w:p>
      <w:pPr>
        <w:spacing w:after="0" w:line="117" w:lineRule="exact"/>
        <w:rPr>
          <w:rFonts w:ascii="Arial" w:cs="Arial" w:eastAsia="Arial" w:hAnsi="Arial"/>
          <w:sz w:val="18"/>
          <w:szCs w:val="18"/>
          <w:color w:val="auto"/>
        </w:rPr>
      </w:pPr>
    </w:p>
    <w:p>
      <w:pPr>
        <w:ind w:left="440" w:right="180"/>
        <w:spacing w:after="0" w:line="271" w:lineRule="auto"/>
        <w:rPr>
          <w:rFonts w:ascii="Arial" w:cs="Arial" w:eastAsia="Arial" w:hAnsi="Arial"/>
          <w:sz w:val="18"/>
          <w:szCs w:val="18"/>
          <w:color w:val="auto"/>
        </w:rPr>
      </w:pPr>
      <w:r>
        <w:rPr>
          <w:rFonts w:ascii="Arial" w:cs="Arial" w:eastAsia="Arial" w:hAnsi="Arial"/>
          <w:sz w:val="18"/>
          <w:szCs w:val="18"/>
          <w:color w:val="auto"/>
        </w:rPr>
        <w:t>Global-e may exempt its directors and Executive Officers in advance for all or any of his/her liability for damage in consequence of a breach of the duty of care vis-a-vis Global-e, to the fullest extent permitted by applicable law.</w:t>
      </w:r>
    </w:p>
    <w:p>
      <w:pPr>
        <w:spacing w:after="0" w:line="197" w:lineRule="exact"/>
        <w:rPr>
          <w:rFonts w:ascii="Arial" w:cs="Arial" w:eastAsia="Arial" w:hAnsi="Arial"/>
          <w:sz w:val="18"/>
          <w:szCs w:val="18"/>
          <w:color w:val="auto"/>
        </w:rPr>
      </w:pPr>
    </w:p>
    <w:p>
      <w:pPr>
        <w:ind w:left="440" w:hanging="433"/>
        <w:spacing w:after="0"/>
        <w:tabs>
          <w:tab w:leader="none" w:pos="44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Insurance and Indemnification</w:t>
      </w:r>
    </w:p>
    <w:p>
      <w:pPr>
        <w:spacing w:after="0" w:line="131" w:lineRule="exact"/>
        <w:rPr>
          <w:rFonts w:ascii="Arial" w:cs="Arial" w:eastAsia="Arial" w:hAnsi="Arial"/>
          <w:sz w:val="18"/>
          <w:szCs w:val="18"/>
          <w:color w:val="auto"/>
        </w:rPr>
      </w:pPr>
    </w:p>
    <w:p>
      <w:pPr>
        <w:ind w:left="980" w:right="20" w:hanging="535"/>
        <w:spacing w:after="0" w:line="259" w:lineRule="auto"/>
        <w:rPr>
          <w:rFonts w:ascii="Arial" w:cs="Arial" w:eastAsia="Arial" w:hAnsi="Arial"/>
          <w:sz w:val="18"/>
          <w:szCs w:val="18"/>
          <w:color w:val="auto"/>
        </w:rPr>
      </w:pPr>
      <w:r>
        <w:rPr>
          <w:rFonts w:ascii="Arial" w:cs="Arial" w:eastAsia="Arial" w:hAnsi="Arial"/>
          <w:sz w:val="18"/>
          <w:szCs w:val="18"/>
          <w:color w:val="auto"/>
        </w:rPr>
        <w:t>20.1. Global-e may indemnify its directors and Executive Officers to the fullest extent permitted by applicable law, for any liability and expense that may be imposed on the director or the Executive Officer, as provided in the indemnity agreement between such individuals and Global-e, all subject to applicable law and the Company’s articles of association.</w:t>
      </w:r>
    </w:p>
    <w:p>
      <w:pPr>
        <w:spacing w:after="0" w:line="88" w:lineRule="exact"/>
        <w:rPr>
          <w:rFonts w:ascii="Arial" w:cs="Arial" w:eastAsia="Arial" w:hAnsi="Arial"/>
          <w:sz w:val="18"/>
          <w:szCs w:val="18"/>
          <w:color w:val="auto"/>
        </w:rPr>
      </w:pPr>
    </w:p>
    <w:p>
      <w:pPr>
        <w:ind w:left="980" w:right="460" w:hanging="535"/>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20.2. Global-e will provide directors’ and officers’ liability insurance (the </w:t>
      </w:r>
      <w:r>
        <w:rPr>
          <w:rFonts w:ascii="Arial" w:cs="Arial" w:eastAsia="Arial" w:hAnsi="Arial"/>
          <w:sz w:val="18"/>
          <w:szCs w:val="18"/>
          <w:b w:val="1"/>
          <w:bCs w:val="1"/>
          <w:color w:val="auto"/>
        </w:rPr>
        <w:t>“Insurance Policy”)</w:t>
      </w:r>
      <w:r>
        <w:rPr>
          <w:rFonts w:ascii="Arial" w:cs="Arial" w:eastAsia="Arial" w:hAnsi="Arial"/>
          <w:sz w:val="18"/>
          <w:szCs w:val="18"/>
          <w:color w:val="auto"/>
        </w:rPr>
        <w:t xml:space="preserve"> for its directors and Executive Officers as follows: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480" w:top="268" w:right="559" w:bottom="1440" w:gutter="0" w:footer="0" w:header="0"/>
        </w:sectPr>
      </w:pPr>
    </w:p>
    <w:bookmarkStart w:id="438" w:name="page439"/>
    <w:bookmarkEnd w:id="438"/>
    <w:p>
      <w:pPr>
        <w:ind w:left="1740" w:right="240" w:hanging="534"/>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20.2.1. The limit of liability of the insurer shall not exceed the greater of $500 million or 50% of the Company’s shareholders equity based on the most recent financial statements of the Company at the time of approval by the Compensation Committee; and</w:t>
      </w:r>
    </w:p>
    <w:p>
      <w:pPr>
        <w:spacing w:after="0" w:line="35" w:lineRule="exact"/>
        <w:rPr>
          <w:sz w:val="20"/>
          <w:szCs w:val="20"/>
          <w:color w:val="auto"/>
        </w:rPr>
      </w:pPr>
    </w:p>
    <w:p>
      <w:pPr>
        <w:ind w:left="1740" w:right="240" w:hanging="534"/>
        <w:spacing w:after="0" w:line="297" w:lineRule="auto"/>
        <w:rPr>
          <w:sz w:val="20"/>
          <w:szCs w:val="20"/>
          <w:color w:val="auto"/>
        </w:rPr>
      </w:pPr>
      <w:r>
        <w:rPr>
          <w:rFonts w:ascii="Arial" w:cs="Arial" w:eastAsia="Arial" w:hAnsi="Arial"/>
          <w:sz w:val="16"/>
          <w:szCs w:val="16"/>
          <w:color w:val="auto"/>
        </w:rPr>
        <w:t>20.2.2. The Insurance Policy, as well as the limit of liability and the premium for each extension or renewal shall be approved by the Compensation Committee (and, if required by law, by the Board) which shall determine that the sums are reasonable considering Global-e’s exposures, the scope of coverage and the market conditions and that the Insurance Policy reflects the current market conditions, and it shall not materially affect the Company’s profitability, assets or liabilities.</w:t>
      </w:r>
    </w:p>
    <w:p>
      <w:pPr>
        <w:spacing w:after="0" w:line="66" w:lineRule="exact"/>
        <w:rPr>
          <w:sz w:val="20"/>
          <w:szCs w:val="20"/>
          <w:color w:val="auto"/>
        </w:rPr>
      </w:pPr>
    </w:p>
    <w:p>
      <w:pPr>
        <w:ind w:left="980" w:right="120" w:hanging="534"/>
        <w:spacing w:after="0" w:line="301" w:lineRule="auto"/>
        <w:tabs>
          <w:tab w:leader="none" w:pos="9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Upon circumstances to be approved by the Compensation Committee (and, if required by law, by the Board), Global-e shall be entitled to enter into a “run off” Insurance Policy of up to seven (7) years, with the same insurer or any other insurance, as follows:</w:t>
      </w:r>
    </w:p>
    <w:p>
      <w:pPr>
        <w:spacing w:after="0" w:line="58" w:lineRule="exact"/>
        <w:rPr>
          <w:sz w:val="20"/>
          <w:szCs w:val="20"/>
          <w:color w:val="auto"/>
        </w:rPr>
      </w:pPr>
    </w:p>
    <w:p>
      <w:pPr>
        <w:ind w:left="1740" w:right="240" w:hanging="534"/>
        <w:spacing w:after="0" w:line="335" w:lineRule="auto"/>
        <w:rPr>
          <w:sz w:val="20"/>
          <w:szCs w:val="20"/>
          <w:color w:val="auto"/>
        </w:rPr>
      </w:pPr>
      <w:r>
        <w:rPr>
          <w:rFonts w:ascii="Arial" w:cs="Arial" w:eastAsia="Arial" w:hAnsi="Arial"/>
          <w:sz w:val="16"/>
          <w:szCs w:val="16"/>
          <w:color w:val="auto"/>
        </w:rPr>
        <w:t>20.3.1. The limit of liability of the insurer shall not exceed the greater of $500 million or 50% of the Company’s shareholders equity based on the most recent financial statements of the Company at the time of approval by the Compensation Committee; and</w:t>
      </w:r>
    </w:p>
    <w:p>
      <w:pPr>
        <w:spacing w:after="0" w:line="35" w:lineRule="exact"/>
        <w:rPr>
          <w:sz w:val="20"/>
          <w:szCs w:val="20"/>
          <w:color w:val="auto"/>
        </w:rPr>
      </w:pPr>
    </w:p>
    <w:p>
      <w:pPr>
        <w:ind w:left="1740" w:right="120" w:hanging="534"/>
        <w:spacing w:after="0" w:line="253" w:lineRule="auto"/>
        <w:rPr>
          <w:sz w:val="20"/>
          <w:szCs w:val="20"/>
          <w:color w:val="auto"/>
        </w:rPr>
      </w:pPr>
      <w:r>
        <w:rPr>
          <w:rFonts w:ascii="Arial" w:cs="Arial" w:eastAsia="Arial" w:hAnsi="Arial"/>
          <w:sz w:val="18"/>
          <w:szCs w:val="18"/>
          <w:color w:val="auto"/>
        </w:rPr>
        <w:t>20.3.2. 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99"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Global-e may extend the Insurance Policy in place to include cover for liability pursuant to a future public offering of securities as follows:</w:t>
      </w:r>
    </w:p>
    <w:p>
      <w:pPr>
        <w:spacing w:after="0" w:line="127" w:lineRule="exact"/>
        <w:rPr>
          <w:sz w:val="20"/>
          <w:szCs w:val="20"/>
          <w:color w:val="auto"/>
        </w:rPr>
      </w:pPr>
    </w:p>
    <w:p>
      <w:pPr>
        <w:ind w:left="1740" w:right="80" w:hanging="534"/>
        <w:spacing w:after="0" w:line="275" w:lineRule="auto"/>
        <w:rPr>
          <w:sz w:val="20"/>
          <w:szCs w:val="20"/>
          <w:color w:val="auto"/>
        </w:rPr>
      </w:pPr>
      <w:r>
        <w:rPr>
          <w:rFonts w:ascii="Arial" w:cs="Arial" w:eastAsia="Arial" w:hAnsi="Arial"/>
          <w:sz w:val="17"/>
          <w:szCs w:val="17"/>
          <w:color w:val="auto"/>
        </w:rPr>
        <w:t>20.4.1.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b w:val="1"/>
          <w:bCs w:val="1"/>
          <w:u w:val="single" w:color="auto"/>
          <w:color w:val="auto"/>
        </w:rPr>
        <w:t>Arrangements upon Change of Control</w:t>
      </w:r>
    </w:p>
    <w:p>
      <w:pPr>
        <w:spacing w:after="0" w:line="131" w:lineRule="exact"/>
        <w:rPr>
          <w:sz w:val="20"/>
          <w:szCs w:val="20"/>
          <w:color w:val="auto"/>
        </w:rPr>
      </w:pPr>
    </w:p>
    <w:p>
      <w:pPr>
        <w:ind w:left="440" w:right="60" w:hanging="433"/>
        <w:spacing w:after="0" w:line="259" w:lineRule="auto"/>
        <w:tabs>
          <w:tab w:leader="none" w:pos="4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following benefits may be granted to any Executive Officers (in addition to, or in lieu of, the benefits applicable in the case of any retirement or termination of service) upon or in connection with a “Change of Control” or, where applicable, in the event of a Change of Control following which the employment of the Executive Officer is terminated or adversely adjusted in a material way:</w:t>
      </w:r>
    </w:p>
    <w:p>
      <w:pPr>
        <w:spacing w:after="0" w:line="9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21.1.  Vesting acceleration of outstanding equity-based awards;</w:t>
      </w:r>
    </w:p>
    <w:p>
      <w:pPr>
        <w:spacing w:after="0" w:line="127" w:lineRule="exact"/>
        <w:rPr>
          <w:rFonts w:ascii="Arial" w:cs="Arial" w:eastAsia="Arial" w:hAnsi="Arial"/>
          <w:sz w:val="18"/>
          <w:szCs w:val="18"/>
          <w:color w:val="auto"/>
        </w:rPr>
      </w:pPr>
    </w:p>
    <w:p>
      <w:pPr>
        <w:ind w:left="980" w:right="800" w:hanging="535"/>
        <w:spacing w:after="0" w:line="271" w:lineRule="auto"/>
        <w:rPr>
          <w:rFonts w:ascii="Arial" w:cs="Arial" w:eastAsia="Arial" w:hAnsi="Arial"/>
          <w:sz w:val="18"/>
          <w:szCs w:val="18"/>
          <w:color w:val="auto"/>
        </w:rPr>
      </w:pPr>
      <w:r>
        <w:rPr>
          <w:rFonts w:ascii="Arial" w:cs="Arial" w:eastAsia="Arial" w:hAnsi="Arial"/>
          <w:sz w:val="18"/>
          <w:szCs w:val="18"/>
          <w:color w:val="auto"/>
        </w:rPr>
        <w:t>21.2. Extended exercising period of equity-based compensation for a period of up to two (2) years, following the date of employment termination; and</w:t>
      </w:r>
    </w:p>
    <w:p>
      <w:pPr>
        <w:spacing w:after="0" w:line="76" w:lineRule="exact"/>
        <w:rPr>
          <w:rFonts w:ascii="Arial" w:cs="Arial" w:eastAsia="Arial" w:hAnsi="Arial"/>
          <w:sz w:val="18"/>
          <w:szCs w:val="18"/>
          <w:color w:val="auto"/>
        </w:rPr>
      </w:pPr>
    </w:p>
    <w:p>
      <w:pPr>
        <w:ind w:left="980" w:right="180" w:hanging="535"/>
        <w:spacing w:after="0" w:line="309" w:lineRule="auto"/>
        <w:rPr>
          <w:rFonts w:ascii="Arial" w:cs="Arial" w:eastAsia="Arial" w:hAnsi="Arial"/>
          <w:sz w:val="18"/>
          <w:szCs w:val="18"/>
          <w:color w:val="auto"/>
        </w:rPr>
      </w:pPr>
      <w:r>
        <w:rPr>
          <w:rFonts w:ascii="Arial" w:cs="Arial" w:eastAsia="Arial" w:hAnsi="Arial"/>
          <w:sz w:val="16"/>
          <w:szCs w:val="16"/>
          <w:color w:val="auto"/>
        </w:rPr>
        <w:t>21.3. Up to an additional six (6) months of continued base salary and benefits following the date of employment termination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Period</w:t>
      </w:r>
      <w:r>
        <w:rPr>
          <w:rFonts w:ascii="Arial" w:cs="Arial" w:eastAsia="Arial" w:hAnsi="Arial"/>
          <w:sz w:val="16"/>
          <w:szCs w:val="16"/>
          <w:color w:val="auto"/>
        </w:rPr>
        <w:t>”). For avoidance of doubt, such additional Adjustment Period may be in addition to the advance notice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periods pursuant to Sections 14 and 15 of this Policy, but subject to the limitation set forth in Section 18 of this Policy.</w:t>
      </w:r>
    </w:p>
    <w:p>
      <w:pPr>
        <w:spacing w:after="0" w:line="5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21.4.  A cash bonus not to exceed 250% of the Executive Officer’s annual base salary.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80" w:top="272" w:right="53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H. </w:t>
      </w:r>
      <w:r>
        <w:rPr>
          <w:rFonts w:ascii="Arial" w:cs="Arial" w:eastAsia="Arial" w:hAnsi="Arial"/>
          <w:sz w:val="18"/>
          <w:szCs w:val="18"/>
          <w:b w:val="1"/>
          <w:bCs w:val="1"/>
          <w:u w:val="single" w:color="auto"/>
          <w:color w:val="auto"/>
        </w:rPr>
        <w:t>Board of Directors Compensation</w:t>
      </w:r>
    </w:p>
    <w:p>
      <w:pPr>
        <w:spacing w:after="0" w:line="131" w:lineRule="exact"/>
        <w:rPr>
          <w:sz w:val="20"/>
          <w:szCs w:val="20"/>
          <w:color w:val="auto"/>
        </w:rPr>
      </w:pPr>
    </w:p>
    <w:p>
      <w:pPr>
        <w:ind w:left="440" w:hanging="433"/>
        <w:spacing w:after="0" w:line="255" w:lineRule="auto"/>
        <w:tabs>
          <w:tab w:leader="none" w:pos="4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Global-e’s non-employee Board members may be entitled to an annual cash fee retainer of up to $35,000 (and up to $60,000 for the chairperson of Global-e’s Board), and in addition an annual committee membership fee retainer of up to $20,000, or an annual committee chairperson cash fee retainer of up to $30,000 (it is being clarified that the payment for the chairpersons would be in lieu of (and not in addition) to the payments referenced above for committee membership).</w:t>
      </w:r>
    </w:p>
    <w:p>
      <w:pPr>
        <w:spacing w:after="0" w:line="96" w:lineRule="exact"/>
        <w:rPr>
          <w:rFonts w:ascii="Arial" w:cs="Arial" w:eastAsia="Arial" w:hAnsi="Arial"/>
          <w:sz w:val="18"/>
          <w:szCs w:val="18"/>
          <w:color w:val="auto"/>
        </w:rPr>
      </w:pPr>
    </w:p>
    <w:p>
      <w:pPr>
        <w:ind w:left="440" w:right="240" w:hanging="433"/>
        <w:spacing w:after="0" w:line="281" w:lineRule="auto"/>
        <w:tabs>
          <w:tab w:leader="none" w:pos="4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75" w:lineRule="exact"/>
        <w:rPr>
          <w:rFonts w:ascii="Arial" w:cs="Arial" w:eastAsia="Arial" w:hAnsi="Arial"/>
          <w:sz w:val="17"/>
          <w:szCs w:val="17"/>
          <w:color w:val="auto"/>
        </w:rPr>
      </w:pPr>
    </w:p>
    <w:p>
      <w:pPr>
        <w:ind w:left="440" w:right="280" w:hanging="433"/>
        <w:spacing w:after="0" w:line="307" w:lineRule="auto"/>
        <w:tabs>
          <w:tab w:leader="none" w:pos="44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Each non-employee member of Global-e’s Board may be granted equity-based compensation. The total fair market value of a “welcome” or an annual equity-based compensation at the time of grant shall not exceed the higher of (i) $350,000 or (x) 0.05% of the Company’s fair market value. Such equity-based awards shall vest in accordance with a vesting schedule that may vary from a period of 6 months to 4 years.</w:t>
      </w:r>
    </w:p>
    <w:p>
      <w:pPr>
        <w:spacing w:after="0" w:line="56" w:lineRule="exact"/>
        <w:rPr>
          <w:rFonts w:ascii="Arial" w:cs="Arial" w:eastAsia="Arial" w:hAnsi="Arial"/>
          <w:sz w:val="16"/>
          <w:szCs w:val="16"/>
          <w:color w:val="auto"/>
        </w:rPr>
      </w:pPr>
    </w:p>
    <w:p>
      <w:pPr>
        <w:ind w:left="440" w:right="180" w:hanging="433"/>
        <w:spacing w:after="0" w:line="259" w:lineRule="auto"/>
        <w:tabs>
          <w:tab w:leader="none" w:pos="4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other terms of the equity awards shall be in accordance with Global-e’s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92" w:lineRule="exact"/>
        <w:rPr>
          <w:rFonts w:ascii="Arial" w:cs="Arial" w:eastAsia="Arial" w:hAnsi="Arial"/>
          <w:sz w:val="18"/>
          <w:szCs w:val="18"/>
          <w:color w:val="auto"/>
        </w:rPr>
      </w:pPr>
    </w:p>
    <w:p>
      <w:pPr>
        <w:ind w:left="440" w:hanging="433"/>
        <w:spacing w:after="0"/>
        <w:tabs>
          <w:tab w:leader="none" w:pos="4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In addition, members of Global-e’s Board may be entitled to reimbursement of expenses in connection with the performance of their duties.</w:t>
      </w:r>
    </w:p>
    <w:p>
      <w:pPr>
        <w:spacing w:after="0" w:line="138" w:lineRule="exact"/>
        <w:rPr>
          <w:rFonts w:ascii="Arial" w:cs="Arial" w:eastAsia="Arial" w:hAnsi="Arial"/>
          <w:sz w:val="17"/>
          <w:szCs w:val="17"/>
          <w:color w:val="auto"/>
        </w:rPr>
      </w:pPr>
    </w:p>
    <w:p>
      <w:pPr>
        <w:ind w:left="440" w:hanging="433"/>
        <w:spacing w:after="0"/>
        <w:tabs>
          <w:tab w:leader="none" w:pos="44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It is hereby clarified that the compensation (and limitations) stated under Section H will not apply to directors who serve as Executive Officers.</w:t>
      </w:r>
    </w:p>
    <w:p>
      <w:pPr>
        <w:spacing w:after="0" w:line="267" w:lineRule="exact"/>
        <w:rPr>
          <w:sz w:val="20"/>
          <w:szCs w:val="20"/>
          <w:color w:val="auto"/>
        </w:rPr>
      </w:pPr>
    </w:p>
    <w:p>
      <w:pPr>
        <w:ind w:left="440" w:hanging="433"/>
        <w:spacing w:after="0"/>
        <w:tabs>
          <w:tab w:leader="none" w:pos="4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31" w:lineRule="exact"/>
        <w:rPr>
          <w:sz w:val="20"/>
          <w:szCs w:val="20"/>
          <w:color w:val="auto"/>
        </w:rPr>
      </w:pPr>
    </w:p>
    <w:p>
      <w:pPr>
        <w:ind w:left="440" w:hanging="433"/>
        <w:spacing w:after="0" w:line="252" w:lineRule="auto"/>
        <w:tabs>
          <w:tab w:leader="none" w:pos="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Nothing in this Policy shall be deemed to grant to any of Global-e’s Executive Officers, employees, directors, or any third party any right or privilege in connection with their employment by or service to the Company, nor deemed to require Global-e to provide any compensation or benefits to any person. Such rights and privileges shall be governed by applicable personal employment agreements or other separate compensation arrangements entered into between Global-e and the recipient of such compensation or benefits. The Board may determine that none or only part of the payments, benefits and perquisites detailed in this Policy shall be granted, and is authorized to cancel or suspend a compensation package or any part of it.</w:t>
      </w:r>
    </w:p>
    <w:p>
      <w:pPr>
        <w:spacing w:after="0" w:line="100" w:lineRule="exact"/>
        <w:rPr>
          <w:rFonts w:ascii="Arial" w:cs="Arial" w:eastAsia="Arial" w:hAnsi="Arial"/>
          <w:sz w:val="18"/>
          <w:szCs w:val="18"/>
          <w:color w:val="auto"/>
        </w:rPr>
      </w:pPr>
    </w:p>
    <w:p>
      <w:pPr>
        <w:ind w:left="440" w:right="160" w:hanging="433"/>
        <w:spacing w:after="0" w:line="255" w:lineRule="auto"/>
        <w:tabs>
          <w:tab w:leader="none" w:pos="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96" w:lineRule="exact"/>
        <w:rPr>
          <w:rFonts w:ascii="Arial" w:cs="Arial" w:eastAsia="Arial" w:hAnsi="Arial"/>
          <w:sz w:val="18"/>
          <w:szCs w:val="18"/>
          <w:color w:val="auto"/>
        </w:rPr>
      </w:pPr>
    </w:p>
    <w:p>
      <w:pPr>
        <w:jc w:val="both"/>
        <w:ind w:left="440" w:right="40" w:hanging="433"/>
        <w:spacing w:after="0" w:line="259" w:lineRule="auto"/>
        <w:tabs>
          <w:tab w:leader="none" w:pos="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 the event that new regulations or law amendment in connection with Executive Officers’ and directors’ compensation will be enacted following the adoption of this Policy, Global-e may follow such new regulations or law amendments, even if such new regulations are in contradiction to the compensation terms set forth 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This Policy is designed solely for the benefit of Global-e and none of the provisions thereof are intended to provide any rights or remedies to any person other than Global-e.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68" w:right="49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328295</wp:posOffset>
            </wp:positionV>
            <wp:extent cx="6934200" cy="3524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34200" cy="35242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SHARE PURCHASE PLAN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08"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The purpose of this Plan is to assist Eligible Employees of the Company and its Designated Subsidiaries in acquiring a share ownership interest in the Company.</w:t>
      </w:r>
    </w:p>
    <w:p>
      <w:pPr>
        <w:spacing w:after="0" w:line="175" w:lineRule="exact"/>
        <w:rPr>
          <w:sz w:val="20"/>
          <w:szCs w:val="20"/>
          <w:color w:val="auto"/>
        </w:rPr>
      </w:pPr>
    </w:p>
    <w:p>
      <w:pPr>
        <w:ind w:right="260" w:firstLine="436"/>
        <w:spacing w:after="0" w:line="286" w:lineRule="auto"/>
        <w:rPr>
          <w:sz w:val="20"/>
          <w:szCs w:val="20"/>
          <w:color w:val="auto"/>
        </w:rPr>
      </w:pPr>
      <w:r>
        <w:rPr>
          <w:rFonts w:ascii="Arial" w:cs="Arial" w:eastAsia="Arial" w:hAnsi="Arial"/>
          <w:sz w:val="16"/>
          <w:szCs w:val="16"/>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67"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137"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including any committee specifically designated by the Board, that conducts the general administration of the Plan as provided in Article XI.</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on which the Company has an equity or other ownership interests.</w:t>
      </w:r>
    </w:p>
    <w:p>
      <w:pPr>
        <w:spacing w:after="0" w:line="11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68" w:lineRule="exact"/>
        <w:rPr>
          <w:sz w:val="20"/>
          <w:szCs w:val="20"/>
          <w:color w:val="auto"/>
        </w:rPr>
      </w:pPr>
    </w:p>
    <w:p>
      <w:pPr>
        <w:ind w:right="20" w:firstLine="436"/>
        <w:spacing w:after="0" w:line="28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non-U.S. country or other jurisdiction where rights under this Plan are granted.</w:t>
      </w:r>
    </w:p>
    <w:p>
      <w:pPr>
        <w:sectPr>
          <w:pgSz w:w="11900" w:h="16838" w:orient="portrait"/>
          <w:cols w:equalWidth="0" w:num="1">
            <w:col w:w="10920"/>
          </w:cols>
          <w:pgMar w:left="480" w:top="121" w:right="499" w:bottom="1440" w:gutter="0" w:footer="0" w:header="0"/>
        </w:sectPr>
      </w:pPr>
    </w:p>
    <w:bookmarkStart w:id="441" w:name="page442"/>
    <w:bookmarkEnd w:id="4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Global-E Online Ltd., an Israeli company, or any successor.</w:t>
      </w:r>
    </w:p>
    <w:p>
      <w:pPr>
        <w:spacing w:after="0" w:line="114" w:lineRule="exact"/>
        <w:rPr>
          <w:sz w:val="20"/>
          <w:szCs w:val="20"/>
          <w:color w:val="auto"/>
        </w:rPr>
      </w:pPr>
    </w:p>
    <w:p>
      <w:pPr>
        <w:ind w:right="60" w:firstLine="436"/>
        <w:spacing w:after="0" w:line="281"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of an Eligible Employee means, unless otherwise determined by the Administrator, the gross base compensation received by such Eligible Employee as compensation for services to the Company or any Designated Subsidiary, including overtime payments and excluding sales commissions, incentive compensation, bonuses, expense reimbursements, fringe benefits and other special payments.</w:t>
      </w:r>
    </w:p>
    <w:p>
      <w:pPr>
        <w:spacing w:after="0" w:line="62" w:lineRule="exact"/>
        <w:rPr>
          <w:sz w:val="20"/>
          <w:szCs w:val="20"/>
          <w:color w:val="auto"/>
        </w:rPr>
      </w:pPr>
    </w:p>
    <w:p>
      <w:pPr>
        <w:ind w:right="20" w:firstLine="436"/>
        <w:spacing w:after="0" w:line="268" w:lineRule="auto"/>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i w:val="1"/>
          <w:iCs w:val="1"/>
          <w:color w:val="auto"/>
        </w:rPr>
        <w:t>Designated Subsidiary</w:t>
      </w:r>
      <w:r>
        <w:rPr>
          <w:rFonts w:ascii="Arial" w:cs="Arial" w:eastAsia="Arial" w:hAnsi="Arial"/>
          <w:sz w:val="17"/>
          <w:szCs w:val="17"/>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shareholder approval. Only entities that are subsidiary corporations of the Company within the meaning of Section 424 of the Code may be designated as Designated Subsidiaries for purposes of the Section 423 Component, and if an entity does not so qualify, it shall automatically be deemed to be a Designated Subsidiary in the Non-Section 423 Component.</w:t>
      </w:r>
    </w:p>
    <w:p>
      <w:pPr>
        <w:spacing w:after="0" w:line="73"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w:t>
      </w: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means the date upon which the Plan is approved by the shareholders of the Company, provided that the Board has adopted the Plan on, or within 12 months prior to, such date.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w:t>
      </w:r>
    </w:p>
    <w:p>
      <w:pPr>
        <w:spacing w:after="0" w:line="114" w:lineRule="exact"/>
        <w:rPr>
          <w:sz w:val="20"/>
          <w:szCs w:val="20"/>
          <w:color w:val="auto"/>
        </w:rPr>
      </w:pPr>
    </w:p>
    <w:p>
      <w:pPr>
        <w:ind w:firstLine="990"/>
        <w:spacing w:after="0" w:line="290" w:lineRule="auto"/>
        <w:tabs>
          <w:tab w:leader="none" w:pos="1225"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With respect to the Section 423 Component of the Plan, an Employee who does not, immediately after any rights under this Plan are granted, own (directly or through attribution) share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share ownership shall apply in determining the share ownership of an individual, and a share that an Employee may purchase under outstanding options shall be treated as a share owned by the Employee. With respect to an Employee participating in the Non-Section 423 Component, such qualification shall not apply, unless otherwise required by Applicable Law.</w:t>
      </w:r>
    </w:p>
    <w:p>
      <w:pPr>
        <w:spacing w:after="0" w:line="56" w:lineRule="exact"/>
        <w:rPr>
          <w:rFonts w:ascii="Arial" w:cs="Arial" w:eastAsia="Arial" w:hAnsi="Arial"/>
          <w:sz w:val="16"/>
          <w:szCs w:val="16"/>
          <w:color w:val="auto"/>
        </w:rPr>
      </w:pPr>
    </w:p>
    <w:p>
      <w:pPr>
        <w:jc w:val="both"/>
        <w:ind w:right="120" w:firstLine="990"/>
        <w:spacing w:after="0" w:line="284" w:lineRule="auto"/>
        <w:tabs>
          <w:tab w:leader="none" w:pos="1235" w:val="left"/>
        </w:tabs>
        <w:numPr>
          <w:ilvl w:val="1"/>
          <w:numId w:val="401"/>
        </w:numPr>
        <w:rPr>
          <w:rFonts w:ascii="Arial" w:cs="Arial" w:eastAsia="Arial" w:hAnsi="Arial"/>
          <w:sz w:val="16"/>
          <w:szCs w:val="16"/>
          <w:color w:val="auto"/>
        </w:rPr>
      </w:pPr>
      <w:r>
        <w:rPr>
          <w:rFonts w:ascii="Arial" w:cs="Arial" w:eastAsia="Arial" w:hAnsi="Arial"/>
          <w:sz w:val="16"/>
          <w:szCs w:val="16"/>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1" w:lineRule="exact"/>
        <w:rPr>
          <w:rFonts w:ascii="Arial" w:cs="Arial" w:eastAsia="Arial" w:hAnsi="Arial"/>
          <w:sz w:val="16"/>
          <w:szCs w:val="16"/>
          <w:color w:val="auto"/>
        </w:rPr>
      </w:pPr>
    </w:p>
    <w:p>
      <w:pPr>
        <w:ind w:right="100" w:firstLine="7"/>
        <w:spacing w:after="0" w:line="252" w:lineRule="auto"/>
        <w:tabs>
          <w:tab w:leader="none" w:pos="29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non-U.S. jurisdiction and the grant of a right to purchase Shares 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442" w:name="page443"/>
    <w:bookmarkEnd w:id="442"/>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Plan to such Employee would be prohibited under the laws of such non-U.S. jurisdiction or the grant of a right to purchase Shares under the Plan to such Employee in compliance with the laws of such non-U.S. jurisdiction would cause the Plan to violate the requirements of Section 423 of the Code, as determined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exclusion in clauses (i), (ii), (iii), (iv) or (v) shall be applied in an identical manner under each Offering Period to all Employees, in accordance with Treasury Regulation Section 1.423-2(e).</w:t>
      </w:r>
    </w:p>
    <w:p>
      <w:pPr>
        <w:spacing w:after="0" w:line="52" w:lineRule="exact"/>
        <w:rPr>
          <w:sz w:val="20"/>
          <w:szCs w:val="20"/>
          <w:color w:val="auto"/>
        </w:rPr>
      </w:pPr>
    </w:p>
    <w:p>
      <w:pPr>
        <w:ind w:left="1240" w:hanging="250"/>
        <w:spacing w:after="0"/>
        <w:tabs>
          <w:tab w:leader="none" w:pos="124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With respect to the Non-Section 423 Component, the foregoing rules shall apply in determining who is an “Eligible Employee,” except</w:t>
      </w:r>
    </w:p>
    <w:p>
      <w:pPr>
        <w:spacing w:after="0" w:line="42" w:lineRule="exact"/>
        <w:rPr>
          <w:rFonts w:ascii="Arial" w:cs="Arial" w:eastAsia="Arial" w:hAnsi="Arial"/>
          <w:sz w:val="16"/>
          <w:szCs w:val="16"/>
          <w:color w:val="auto"/>
        </w:rPr>
      </w:pPr>
    </w:p>
    <w:p>
      <w:pPr>
        <w:ind w:right="120" w:firstLine="7"/>
        <w:spacing w:after="0" w:line="252" w:lineRule="auto"/>
        <w:tabs>
          <w:tab w:leader="none" w:pos="21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Administrator may limit eligibility further within the Company or a Designated Subsidiary so as to only designate some Employees of the Company or a Designated Subsidiary as Eligible Employees, and (ii) to the extent the foregoing eligibility rules are not consistent with applicable local laws, the applicable local laws shall control.</w:t>
      </w:r>
    </w:p>
    <w:p>
      <w:pPr>
        <w:spacing w:after="0" w:line="8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Trading Day of each Offering Period.</w:t>
      </w:r>
    </w:p>
    <w:p>
      <w:pPr>
        <w:spacing w:after="0" w:line="114" w:lineRule="exact"/>
        <w:rPr>
          <w:sz w:val="20"/>
          <w:szCs w:val="20"/>
          <w:color w:val="auto"/>
        </w:rPr>
      </w:pPr>
    </w:p>
    <w:p>
      <w:pPr>
        <w:ind w:right="160" w:firstLine="436"/>
        <w:spacing w:after="0" w:line="269"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w:t>
      </w:r>
    </w:p>
    <w:p>
      <w:pPr>
        <w:spacing w:after="0" w:line="7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Non-Section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83" w:lineRule="exact"/>
        <w:rPr>
          <w:sz w:val="20"/>
          <w:szCs w:val="20"/>
          <w:color w:val="auto"/>
        </w:rPr>
      </w:pPr>
    </w:p>
    <w:p>
      <w:pPr>
        <w:ind w:right="120" w:firstLine="436"/>
        <w:spacing w:after="0" w:line="270"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43" w:name="page444"/>
    <w:bookmarkEnd w:id="4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2.17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has the meaning given to such term in Section 4.1.</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has the meaning given to such term in Section 4.1.</w:t>
      </w:r>
    </w:p>
    <w:p>
      <w:pPr>
        <w:spacing w:after="0" w:line="11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xml:space="preserve"> means Ordinary Shares, no par value, of the Company and such other securities of the Company that may be substituted therefore.</w:t>
      </w:r>
    </w:p>
    <w:p>
      <w:pPr>
        <w:spacing w:after="0" w:line="68"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shares possessing 50% or more of the total combined voting power of all classes of shares in one of the other corporations in such chain.</w:t>
      </w:r>
    </w:p>
    <w:p>
      <w:pPr>
        <w:spacing w:after="0" w:line="79"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has executed a subscription agreement and been granted rights to purchase Shares pursuant to this Plan.</w:t>
      </w:r>
    </w:p>
    <w:p>
      <w:pPr>
        <w:spacing w:after="0" w:line="6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Payday</w:t>
      </w:r>
      <w:r>
        <w:rPr>
          <w:rFonts w:ascii="Arial" w:cs="Arial" w:eastAsia="Arial" w:hAnsi="Arial"/>
          <w:sz w:val="18"/>
          <w:szCs w:val="18"/>
          <w:color w:val="auto"/>
        </w:rPr>
        <w:t>” means the regular and recurring established day for payment of Compensation to an Employee of the Company or any Designated Subsidiary.</w:t>
      </w:r>
    </w:p>
    <w:p>
      <w:pPr>
        <w:spacing w:after="0" w:line="68"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2021 Employee Share Purchase Plan, including both the Section 423 Component and Non-Section 423 Component and any other sub-plans or appendices hereto, as amended from time to time.</w:t>
      </w:r>
    </w:p>
    <w:p>
      <w:pPr>
        <w:spacing w:after="0" w:line="68"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Offering Period or such other date as determined by the Administrator and set forth in the Offering Document.</w:t>
      </w:r>
    </w:p>
    <w:p>
      <w:pPr>
        <w:spacing w:after="0" w:line="68"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87"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an Ordinary Share.</w:t>
      </w:r>
    </w:p>
    <w:p>
      <w:pPr>
        <w:spacing w:after="0" w:line="114" w:lineRule="exact"/>
        <w:rPr>
          <w:sz w:val="20"/>
          <w:szCs w:val="20"/>
          <w:color w:val="auto"/>
        </w:rPr>
      </w:pPr>
    </w:p>
    <w:p>
      <w:pPr>
        <w:ind w:right="40" w:firstLine="436"/>
        <w:spacing w:after="0" w:line="283"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shares possessing 50% or more of the total combined voting power of all classes of shares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jc w:val="center"/>
        <w:ind w:right="360"/>
        <w:spacing w:after="0" w:line="426" w:lineRule="auto"/>
        <w:rPr>
          <w:sz w:val="20"/>
          <w:szCs w:val="20"/>
          <w:color w:val="auto"/>
        </w:rPr>
      </w:pPr>
      <w:r>
        <w:rPr>
          <w:rFonts w:ascii="Arial" w:cs="Arial" w:eastAsia="Arial" w:hAnsi="Arial"/>
          <w:sz w:val="18"/>
          <w:szCs w:val="18"/>
          <w:color w:val="auto"/>
        </w:rPr>
        <w:t>Section 301.7701-3(a) by reason of the Company or any other Subsidiary that is a corporation being the sole owner of such entity, or (b) such entity 4</w:t>
      </w:r>
    </w:p>
    <w:p>
      <w:pPr>
        <w:sectPr>
          <w:pgSz w:w="11900" w:h="16838" w:orient="portrait"/>
          <w:cols w:equalWidth="0" w:num="1">
            <w:col w:w="10900"/>
          </w:cols>
          <w:pgMar w:left="480" w:top="272" w:right="519" w:bottom="1440" w:gutter="0" w:footer="0" w:header="0"/>
        </w:sectPr>
      </w:pPr>
    </w:p>
    <w:bookmarkStart w:id="444" w:name="page445"/>
    <w:bookmarkEnd w:id="44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national stock exchanges in the United States are open for trading.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i w:val="1"/>
          <w:iCs w:val="1"/>
          <w:color w:val="auto"/>
        </w:rPr>
        <w:t>Treas. Reg.</w:t>
      </w:r>
      <w:r>
        <w:rPr>
          <w:rFonts w:ascii="Arial" w:cs="Arial" w:eastAsia="Arial" w:hAnsi="Arial"/>
          <w:sz w:val="18"/>
          <w:szCs w:val="18"/>
          <w:color w:val="auto"/>
        </w:rPr>
        <w:t>” means U.S. Department of the Treasury regulations.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08"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Article VIII, the aggregate number of Shares that may be issued pursuant to rights granted under the Plan shall be 2,500,000 Shares. In addition to the foregoing, subject to Article VIII, on the first day of each calendar year beginning on January 1, 2022 and ending on and including January 1, 2030, the number of Shares available for issuance under the Plan shall be increased by that number of Shares equal to the lesser of (a) 0.5% of the Shares outstanding on the last day of the immediately preceding calendar year, as determined on a fully diluted basis, and</w:t>
      </w:r>
    </w:p>
    <w:p>
      <w:pPr>
        <w:spacing w:after="0" w:line="1" w:lineRule="exact"/>
        <w:rPr>
          <w:sz w:val="20"/>
          <w:szCs w:val="20"/>
          <w:color w:val="auto"/>
        </w:rPr>
      </w:pPr>
    </w:p>
    <w:p>
      <w:pPr>
        <w:ind w:right="20" w:firstLine="7"/>
        <w:spacing w:after="0" w:line="250" w:lineRule="auto"/>
        <w:tabs>
          <w:tab w:leader="none" w:pos="252"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such smaller number of Shares as may be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 Shares, subject to Article VIII.</w:t>
      </w:r>
    </w:p>
    <w:p>
      <w:pPr>
        <w:spacing w:after="0" w:line="88"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08"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Shares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provisions of separate Offerings or Offering Periods under the Plan need not be identical.</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 by reference or otherwise):</w:t>
      </w:r>
    </w:p>
    <w:p>
      <w:pPr>
        <w:spacing w:after="0" w:line="101" w:lineRule="exact"/>
        <w:rPr>
          <w:sz w:val="20"/>
          <w:szCs w:val="20"/>
          <w:color w:val="auto"/>
        </w:rPr>
      </w:pPr>
    </w:p>
    <w:p>
      <w:pPr>
        <w:ind w:left="1240" w:hanging="250"/>
        <w:spacing w:after="0"/>
        <w:tabs>
          <w:tab w:leader="none" w:pos="12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months;</w:t>
      </w:r>
    </w:p>
    <w:p>
      <w:pPr>
        <w:spacing w:after="0" w:line="113" w:lineRule="exact"/>
        <w:rPr>
          <w:rFonts w:ascii="Arial" w:cs="Arial" w:eastAsia="Arial" w:hAnsi="Arial"/>
          <w:sz w:val="18"/>
          <w:szCs w:val="18"/>
          <w:color w:val="auto"/>
        </w:rPr>
      </w:pPr>
    </w:p>
    <w:p>
      <w:pPr>
        <w:ind w:right="140" w:firstLine="990"/>
        <w:spacing w:after="0" w:line="271" w:lineRule="auto"/>
        <w:tabs>
          <w:tab w:leader="none" w:pos="123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by any Eligible Employee during such Offering Period, which, in the absence of a contrary designation by the Administrator, shall be [●] Shares; and</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the Plan.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08"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14" w:lineRule="exact"/>
        <w:rPr>
          <w:sz w:val="20"/>
          <w:szCs w:val="20"/>
          <w:color w:val="auto"/>
        </w:rPr>
      </w:pPr>
    </w:p>
    <w:p>
      <w:pPr>
        <w:ind w:right="40" w:firstLine="990"/>
        <w:spacing w:after="0" w:line="307" w:lineRule="auto"/>
        <w:tabs>
          <w:tab w:leader="none" w:pos="122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42" w:lineRule="exact"/>
        <w:rPr>
          <w:rFonts w:ascii="Arial" w:cs="Arial" w:eastAsia="Arial" w:hAnsi="Arial"/>
          <w:sz w:val="16"/>
          <w:szCs w:val="16"/>
          <w:color w:val="auto"/>
        </w:rPr>
      </w:pPr>
    </w:p>
    <w:p>
      <w:pPr>
        <w:ind w:right="80" w:firstLine="990"/>
        <w:spacing w:after="0" w:line="270" w:lineRule="auto"/>
        <w:tabs>
          <w:tab w:leader="none" w:pos="123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20% in the absence of any such designation) as payroll deductions. The payroll deductions made for each Participant shall be credited to an account for such Participant under the Plan and shall be deposited with the general funds of the Company.</w:t>
      </w:r>
    </w:p>
    <w:p>
      <w:pPr>
        <w:spacing w:after="0" w:line="71" w:lineRule="exact"/>
        <w:rPr>
          <w:rFonts w:ascii="Arial" w:cs="Arial" w:eastAsia="Arial" w:hAnsi="Arial"/>
          <w:sz w:val="17"/>
          <w:szCs w:val="17"/>
          <w:color w:val="auto"/>
        </w:rPr>
      </w:pPr>
    </w:p>
    <w:p>
      <w:pPr>
        <w:ind w:firstLine="990"/>
        <w:spacing w:after="0" w:line="267" w:lineRule="auto"/>
        <w:tabs>
          <w:tab w:leader="none" w:pos="122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72" w:lineRule="exact"/>
        <w:rPr>
          <w:rFonts w:ascii="Arial" w:cs="Arial" w:eastAsia="Arial" w:hAnsi="Arial"/>
          <w:sz w:val="17"/>
          <w:szCs w:val="17"/>
          <w:color w:val="auto"/>
        </w:rPr>
      </w:pPr>
    </w:p>
    <w:p>
      <w:pPr>
        <w:ind w:right="260" w:firstLine="990"/>
        <w:spacing w:after="0" w:line="301" w:lineRule="auto"/>
        <w:tabs>
          <w:tab w:leader="none" w:pos="123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45"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8" w:right="519" w:bottom="1440" w:gutter="0" w:footer="0" w:header="0"/>
        </w:sectPr>
      </w:pPr>
    </w:p>
    <w:bookmarkStart w:id="446" w:name="page447"/>
    <w:bookmarkEnd w:id="44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86"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9"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Shares</w:t>
      </w:r>
      <w:r>
        <w:rPr>
          <w:rFonts w:ascii="Arial" w:cs="Arial" w:eastAsia="Arial" w:hAnsi="Arial"/>
          <w:sz w:val="18"/>
          <w:szCs w:val="18"/>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shares of the Company or any Parent or Subsidiary to accrue at a rate that exceeds $25,000 of the fair market value of such shares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7"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69"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Non-U.S. Employees</w:t>
      </w:r>
      <w:r>
        <w:rPr>
          <w:rFonts w:ascii="Arial" w:cs="Arial" w:eastAsia="Arial" w:hAnsi="Arial"/>
          <w:sz w:val="17"/>
          <w:szCs w:val="17"/>
          <w:color w:val="auto"/>
        </w:rPr>
        <w:t>. In order to facilitate participation in the Plan, the Administrator may provide for such special terms applicable to Participants who are citizens or residents of a non-U.S.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11.2(f). Without limiting the foregoing, the Administrator is specifically authorized to adopt rules and procedures, with respect to Participants who are non-U.S.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the Participant’s authorized payroll deduction.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AND EXERCISE OF RIGHTS</w:t>
      </w:r>
    </w:p>
    <w:p>
      <w:pPr>
        <w:spacing w:after="0" w:line="208" w:lineRule="exact"/>
        <w:rPr>
          <w:sz w:val="20"/>
          <w:szCs w:val="20"/>
          <w:color w:val="auto"/>
        </w:rPr>
      </w:pPr>
    </w:p>
    <w:p>
      <w:pPr>
        <w:ind w:right="220" w:firstLine="436"/>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0" w:hanging="233"/>
        <w:spacing w:after="0"/>
        <w:tabs>
          <w:tab w:leader="none" w:pos="2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29" w:lineRule="exact"/>
        <w:rPr>
          <w:rFonts w:ascii="Arial" w:cs="Arial" w:eastAsia="Arial" w:hAnsi="Arial"/>
          <w:sz w:val="16"/>
          <w:szCs w:val="16"/>
          <w:color w:val="auto"/>
        </w:rPr>
      </w:pPr>
    </w:p>
    <w:p>
      <w:pPr>
        <w:ind w:left="260" w:hanging="253"/>
        <w:spacing w:after="0"/>
        <w:tabs>
          <w:tab w:leader="none" w:pos="2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applicable Purchase Price (rounded down to the nearest Share). The right shall expire on the last day of the Offering Period.</w:t>
      </w:r>
    </w:p>
    <w:p>
      <w:pPr>
        <w:spacing w:after="0" w:line="208" w:lineRule="exact"/>
        <w:rPr>
          <w:sz w:val="20"/>
          <w:szCs w:val="20"/>
          <w:color w:val="auto"/>
        </w:rPr>
      </w:pPr>
    </w:p>
    <w:p>
      <w:pPr>
        <w:ind w:right="120" w:firstLine="436"/>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166" w:lineRule="exact"/>
        <w:rPr>
          <w:sz w:val="20"/>
          <w:szCs w:val="20"/>
          <w:color w:val="auto"/>
        </w:rPr>
      </w:pPr>
    </w:p>
    <w:p>
      <w:pPr>
        <w:ind w:right="40" w:firstLine="436"/>
        <w:spacing w:after="0" w:line="28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60" w:firstLine="7"/>
        <w:spacing w:after="0" w:line="268" w:lineRule="auto"/>
        <w:tabs>
          <w:tab w:leader="none" w:pos="26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180"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Withholding</w:t>
      </w:r>
      <w:r>
        <w:rPr>
          <w:rFonts w:ascii="Arial" w:cs="Arial" w:eastAsia="Arial" w:hAnsi="Arial"/>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48" w:name="page449"/>
    <w:bookmarkEnd w:id="448"/>
    <w:p>
      <w:pPr>
        <w:ind w:right="20"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6.5 </w:t>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WITHDRAWAL; CESSATION OF ELIGIBILITY</w:t>
      </w:r>
    </w:p>
    <w:p>
      <w:pPr>
        <w:spacing w:after="0" w:line="208" w:lineRule="exact"/>
        <w:rPr>
          <w:sz w:val="20"/>
          <w:szCs w:val="20"/>
          <w:color w:val="auto"/>
        </w:rPr>
      </w:pPr>
    </w:p>
    <w:p>
      <w:pPr>
        <w:ind w:right="80" w:firstLine="43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71" w:lineRule="exact"/>
        <w:rPr>
          <w:sz w:val="20"/>
          <w:szCs w:val="20"/>
          <w:color w:val="auto"/>
        </w:rPr>
      </w:pPr>
    </w:p>
    <w:p>
      <w:pPr>
        <w:jc w:val="both"/>
        <w:ind w:right="180" w:firstLine="436"/>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79" w:lineRule="exact"/>
        <w:rPr>
          <w:sz w:val="20"/>
          <w:szCs w:val="20"/>
          <w:color w:val="auto"/>
        </w:rPr>
      </w:pPr>
    </w:p>
    <w:p>
      <w:pPr>
        <w:ind w:firstLine="436"/>
        <w:spacing w:after="0" w:line="328"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Cessation of Eligibility</w:t>
      </w:r>
      <w:r>
        <w:rPr>
          <w:rFonts w:ascii="Arial" w:cs="Arial" w:eastAsia="Arial" w:hAnsi="Arial"/>
          <w:sz w:val="14"/>
          <w:szCs w:val="14"/>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w:t>
      </w:r>
    </w:p>
    <w:p>
      <w:pPr>
        <w:spacing w:after="0" w:line="160" w:lineRule="exact"/>
        <w:rPr>
          <w:sz w:val="20"/>
          <w:szCs w:val="20"/>
          <w:color w:val="auto"/>
        </w:rPr>
      </w:pPr>
    </w:p>
    <w:p>
      <w:pPr>
        <w:ind w:right="580" w:firstLine="7"/>
        <w:spacing w:after="0" w:line="274" w:lineRule="auto"/>
        <w:tabs>
          <w:tab w:leader="none" w:pos="262"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Enrolment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49" w:name="page450"/>
    <w:bookmarkEnd w:id="4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208"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66"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Other Adjustments</w:t>
      </w:r>
      <w:r>
        <w:rPr>
          <w:rFonts w:ascii="Arial" w:cs="Arial" w:eastAsia="Arial" w:hAnsi="Arial"/>
          <w:sz w:val="16"/>
          <w:szCs w:val="16"/>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57" w:lineRule="exact"/>
        <w:rPr>
          <w:sz w:val="20"/>
          <w:szCs w:val="20"/>
          <w:color w:val="auto"/>
        </w:rPr>
      </w:pPr>
    </w:p>
    <w:p>
      <w:pPr>
        <w:jc w:val="both"/>
        <w:ind w:right="80" w:firstLine="990"/>
        <w:spacing w:after="0" w:line="259" w:lineRule="auto"/>
        <w:tabs>
          <w:tab w:leader="none" w:pos="122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78" w:lineRule="exact"/>
        <w:rPr>
          <w:rFonts w:ascii="Arial" w:cs="Arial" w:eastAsia="Arial" w:hAnsi="Arial"/>
          <w:sz w:val="18"/>
          <w:szCs w:val="18"/>
          <w:color w:val="auto"/>
        </w:rPr>
      </w:pPr>
    </w:p>
    <w:p>
      <w:pPr>
        <w:ind w:right="400" w:firstLine="990"/>
        <w:spacing w:after="0" w:line="259" w:lineRule="auto"/>
        <w:tabs>
          <w:tab w:leader="none" w:pos="123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shares of the successor or survivor corporation, or a parent or subsidiary thereof, with appropriate adjustments as to the number and kind of shares and prices;</w:t>
      </w:r>
    </w:p>
    <w:p>
      <w:pPr>
        <w:spacing w:after="0" w:line="78" w:lineRule="exact"/>
        <w:rPr>
          <w:rFonts w:ascii="Arial" w:cs="Arial" w:eastAsia="Arial" w:hAnsi="Arial"/>
          <w:sz w:val="18"/>
          <w:szCs w:val="18"/>
          <w:color w:val="auto"/>
        </w:rPr>
      </w:pPr>
    </w:p>
    <w:p>
      <w:pPr>
        <w:ind w:right="360" w:firstLine="990"/>
        <w:spacing w:after="0" w:line="271" w:lineRule="auto"/>
        <w:tabs>
          <w:tab w:leader="none" w:pos="122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67" w:lineRule="exact"/>
        <w:rPr>
          <w:rFonts w:ascii="Arial" w:cs="Arial" w:eastAsia="Arial" w:hAnsi="Arial"/>
          <w:sz w:val="18"/>
          <w:szCs w:val="18"/>
          <w:color w:val="auto"/>
        </w:rPr>
      </w:pPr>
    </w:p>
    <w:p>
      <w:pPr>
        <w:ind w:right="40" w:firstLine="990"/>
        <w:spacing w:after="0" w:line="259" w:lineRule="auto"/>
        <w:tabs>
          <w:tab w:leader="none" w:pos="123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68" w:right="499" w:bottom="1440" w:gutter="0" w:footer="0" w:header="0"/>
        </w:sectPr>
      </w:pPr>
    </w:p>
    <w:bookmarkStart w:id="450" w:name="page451"/>
    <w:bookmarkEnd w:id="45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 To provide that all outstanding rights shall terminate without being exercised.</w:t>
      </w:r>
    </w:p>
    <w:p>
      <w:pPr>
        <w:spacing w:after="0" w:line="114"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79"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Administrator under the Plan, no issuance by the Company of shares of any class, or securities convertible into shares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08"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The Administrator may amend, suspend or terminate the Plan at any time and from time to time;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Company’s shareholders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67" w:lineRule="exact"/>
        <w:rPr>
          <w:sz w:val="20"/>
          <w:szCs w:val="20"/>
          <w:color w:val="auto"/>
        </w:rPr>
      </w:pPr>
    </w:p>
    <w:p>
      <w:pPr>
        <w:ind w:right="80" w:firstLine="436"/>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Certain Changes to Plan</w:t>
      </w:r>
      <w:r>
        <w:rPr>
          <w:rFonts w:ascii="Arial" w:cs="Arial" w:eastAsia="Arial" w:hAnsi="Arial"/>
          <w:sz w:val="16"/>
          <w:szCs w:val="16"/>
          <w:color w:val="auto"/>
        </w:rPr>
        <w:t>. Without shareholder consent and without regard to whether any Participant rights may be considered to have been adversely affected (and, with respect to the Section 423 Component of the Plan, after taking into account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59" w:lineRule="exact"/>
        <w:rPr>
          <w:sz w:val="20"/>
          <w:szCs w:val="20"/>
          <w:color w:val="auto"/>
        </w:rPr>
      </w:pPr>
    </w:p>
    <w:p>
      <w:pPr>
        <w:ind w:right="140" w:firstLine="436"/>
        <w:spacing w:after="0" w:line="28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2" w:lineRule="exact"/>
        <w:rPr>
          <w:sz w:val="20"/>
          <w:szCs w:val="20"/>
          <w:color w:val="auto"/>
        </w:rPr>
      </w:pPr>
    </w:p>
    <w:p>
      <w:pPr>
        <w:ind w:left="1240" w:hanging="250"/>
        <w:spacing w:after="0"/>
        <w:tabs>
          <w:tab w:leader="none" w:pos="124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 Purchase Price;</w:t>
      </w:r>
    </w:p>
    <w:p>
      <w:pPr>
        <w:spacing w:after="0" w:line="136" w:lineRule="exact"/>
        <w:rPr>
          <w:rFonts w:ascii="Arial" w:cs="Arial" w:eastAsia="Arial" w:hAnsi="Arial"/>
          <w:sz w:val="16"/>
          <w:szCs w:val="16"/>
          <w:color w:val="auto"/>
        </w:rPr>
      </w:pPr>
    </w:p>
    <w:p>
      <w:pPr>
        <w:ind w:right="60" w:firstLine="990"/>
        <w:spacing w:after="0" w:line="271" w:lineRule="auto"/>
        <w:tabs>
          <w:tab w:leader="none" w:pos="123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451" w:name="page452"/>
    <w:bookmarkEnd w:id="4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modifications or amendments shall not require shareholder approval or the consent of any Participant.</w:t>
      </w:r>
    </w:p>
    <w:p>
      <w:pPr>
        <w:spacing w:after="0" w:line="114"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08" w:lineRule="exact"/>
        <w:rPr>
          <w:sz w:val="20"/>
          <w:szCs w:val="20"/>
          <w:color w:val="auto"/>
        </w:rPr>
      </w:pPr>
    </w:p>
    <w:p>
      <w:pPr>
        <w:ind w:right="100" w:firstLine="436"/>
        <w:spacing w:after="0" w:line="307" w:lineRule="auto"/>
        <w:rPr>
          <w:sz w:val="20"/>
          <w:szCs w:val="20"/>
          <w:color w:val="auto"/>
        </w:rPr>
      </w:pPr>
      <w:r>
        <w:rPr>
          <w:rFonts w:ascii="Arial" w:cs="Arial" w:eastAsia="Arial" w:hAnsi="Arial"/>
          <w:sz w:val="16"/>
          <w:szCs w:val="16"/>
          <w:color w:val="auto"/>
        </w:rPr>
        <w:t>The Plan shall become effective on the Effective Date. The effectiveness of the Plan shall be subject to approval of the Plan by the Company’s shareholders within twelve months before or after the date the Plan is first approved by the Board. No right may be granted under the Plan prior to such shareholder approval. No rights may be granted under the Plan during any period of suspension of the Plan or after termination of the Plan.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08"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The Administrator shall have the power, subject to, and within the limitations of, the express provisions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1" w:lineRule="exact"/>
        <w:rPr>
          <w:sz w:val="20"/>
          <w:szCs w:val="20"/>
          <w:color w:val="auto"/>
        </w:rPr>
      </w:pPr>
    </w:p>
    <w:p>
      <w:pPr>
        <w:ind w:left="1240" w:hanging="250"/>
        <w:spacing w:after="0"/>
        <w:tabs>
          <w:tab w:leader="none" w:pos="124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To determine when and how rights to purchase Shares shall be granted and the provisions of each offering of such rights (which need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be identical).</w:t>
      </w:r>
    </w:p>
    <w:p>
      <w:pPr>
        <w:spacing w:after="0" w:line="101" w:lineRule="exact"/>
        <w:rPr>
          <w:rFonts w:ascii="Arial" w:cs="Arial" w:eastAsia="Arial" w:hAnsi="Arial"/>
          <w:sz w:val="16"/>
          <w:szCs w:val="16"/>
          <w:color w:val="auto"/>
        </w:rPr>
      </w:pPr>
    </w:p>
    <w:p>
      <w:pPr>
        <w:ind w:right="120" w:firstLine="990"/>
        <w:spacing w:after="0" w:line="271" w:lineRule="auto"/>
        <w:tabs>
          <w:tab w:leader="none" w:pos="123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shareholders of the Company.</w:t>
      </w:r>
    </w:p>
    <w:p>
      <w:pPr>
        <w:spacing w:after="0" w:line="67" w:lineRule="exact"/>
        <w:rPr>
          <w:rFonts w:ascii="Arial" w:cs="Arial" w:eastAsia="Arial" w:hAnsi="Arial"/>
          <w:sz w:val="18"/>
          <w:szCs w:val="18"/>
          <w:color w:val="auto"/>
        </w:rPr>
      </w:pPr>
    </w:p>
    <w:p>
      <w:pPr>
        <w:ind w:right="200" w:firstLine="990"/>
        <w:spacing w:after="0" w:line="271" w:lineRule="auto"/>
        <w:tabs>
          <w:tab w:leader="none" w:pos="122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impose a mandatory holding period pursuant to which Employees may not dispose of or transfer Shares purchased under the Plan for a period of time determined by the Administrator in its discretion.</w:t>
      </w:r>
    </w:p>
    <w:p>
      <w:pPr>
        <w:spacing w:after="0" w:line="67" w:lineRule="exact"/>
        <w:rPr>
          <w:rFonts w:ascii="Arial" w:cs="Arial" w:eastAsia="Arial" w:hAnsi="Arial"/>
          <w:sz w:val="18"/>
          <w:szCs w:val="18"/>
          <w:color w:val="auto"/>
        </w:rPr>
      </w:pPr>
    </w:p>
    <w:p>
      <w:pPr>
        <w:ind w:right="220" w:firstLine="990"/>
        <w:spacing w:after="0" w:line="259" w:lineRule="auto"/>
        <w:tabs>
          <w:tab w:leader="none" w:pos="123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452" w:name="page453"/>
    <w:bookmarkEnd w:id="452"/>
    <w:p>
      <w:pPr>
        <w:ind w:right="340" w:firstLine="990"/>
        <w:spacing w:after="0" w:line="259" w:lineRule="auto"/>
        <w:tabs>
          <w:tab w:leader="none" w:pos="1205"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78" w:lineRule="exact"/>
        <w:rPr>
          <w:rFonts w:ascii="Arial" w:cs="Arial" w:eastAsia="Arial" w:hAnsi="Arial"/>
          <w:sz w:val="18"/>
          <w:szCs w:val="18"/>
          <w:color w:val="auto"/>
        </w:rPr>
      </w:pPr>
    </w:p>
    <w:p>
      <w:pPr>
        <w:ind w:right="20" w:firstLine="990"/>
        <w:spacing w:after="0" w:line="255" w:lineRule="auto"/>
        <w:tabs>
          <w:tab w:leader="none" w:pos="123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83" w:lineRule="exact"/>
        <w:rPr>
          <w:sz w:val="20"/>
          <w:szCs w:val="20"/>
          <w:color w:val="auto"/>
        </w:rPr>
      </w:pPr>
    </w:p>
    <w:p>
      <w:pPr>
        <w:ind w:right="40" w:firstLine="436"/>
        <w:spacing w:after="0" w:line="30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8" w:lineRule="exact"/>
        <w:rPr>
          <w:sz w:val="20"/>
          <w:szCs w:val="20"/>
          <w:color w:val="auto"/>
        </w:rPr>
      </w:pPr>
    </w:p>
    <w:p>
      <w:pPr>
        <w:jc w:val="both"/>
        <w:ind w:right="60" w:firstLine="436"/>
        <w:spacing w:after="0" w:line="27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67"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Shareholder</w:t>
      </w:r>
      <w:r>
        <w:rPr>
          <w:rFonts w:ascii="Arial" w:cs="Arial" w:eastAsia="Arial" w:hAnsi="Arial"/>
          <w:sz w:val="17"/>
          <w:szCs w:val="17"/>
          <w:color w:val="auto"/>
        </w:rPr>
        <w:t>. With respect to Shares subject to a right granted under the Plan, a Participant shall not be deemed to be a shareholder of the Company, and the Participant shall not have any of the rights or privileges of a shareholder,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14" w:lineRule="exact"/>
        <w:rPr>
          <w:sz w:val="20"/>
          <w:szCs w:val="20"/>
          <w:color w:val="auto"/>
        </w:rPr>
      </w:pPr>
    </w:p>
    <w:p>
      <w:pPr>
        <w:ind w:right="60" w:firstLine="990"/>
        <w:spacing w:after="0" w:line="290" w:lineRule="auto"/>
        <w:tabs>
          <w:tab w:leader="none" w:pos="122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453" w:name="page454"/>
    <w:bookmarkEnd w:id="453"/>
    <w:p>
      <w:pPr>
        <w:ind w:right="100" w:firstLine="990"/>
        <w:spacing w:after="0" w:line="252" w:lineRule="auto"/>
        <w:tabs>
          <w:tab w:leader="none" w:pos="1235"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7"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9"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57" w:lineRule="exact"/>
        <w:rPr>
          <w:sz w:val="20"/>
          <w:szCs w:val="20"/>
          <w:color w:val="auto"/>
        </w:rPr>
      </w:pPr>
    </w:p>
    <w:p>
      <w:pPr>
        <w:ind w:right="560" w:firstLine="436"/>
        <w:spacing w:after="0" w:line="271"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68" w:lineRule="exact"/>
        <w:rPr>
          <w:sz w:val="20"/>
          <w:szCs w:val="20"/>
          <w:color w:val="auto"/>
        </w:rPr>
      </w:pPr>
    </w:p>
    <w:p>
      <w:pPr>
        <w:ind w:right="620" w:firstLine="436"/>
        <w:spacing w:after="0" w:line="271"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68" w:lineRule="exact"/>
        <w:rPr>
          <w:sz w:val="20"/>
          <w:szCs w:val="20"/>
          <w:color w:val="auto"/>
        </w:rPr>
      </w:pPr>
    </w:p>
    <w:p>
      <w:pPr>
        <w:ind w:right="100" w:firstLine="436"/>
        <w:spacing w:after="0" w:line="281"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No Employment Rights</w:t>
      </w:r>
      <w:r>
        <w:rPr>
          <w:rFonts w:ascii="Arial" w:cs="Arial" w:eastAsia="Arial" w:hAnsi="Arial"/>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62" w:lineRule="exact"/>
        <w:rPr>
          <w:sz w:val="20"/>
          <w:szCs w:val="20"/>
          <w:color w:val="auto"/>
        </w:rPr>
      </w:pPr>
    </w:p>
    <w:p>
      <w:pPr>
        <w:ind w:right="40" w:firstLine="436"/>
        <w:spacing w:after="0" w:line="272"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Notice of Disposition of Shares</w:t>
      </w:r>
      <w:r>
        <w:rPr>
          <w:rFonts w:ascii="Arial" w:cs="Arial" w:eastAsia="Arial" w:hAnsi="Arial"/>
          <w:sz w:val="17"/>
          <w:szCs w:val="17"/>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69" w:lineRule="exact"/>
        <w:rPr>
          <w:sz w:val="20"/>
          <w:szCs w:val="20"/>
          <w:color w:val="auto"/>
        </w:rPr>
      </w:pPr>
    </w:p>
    <w:p>
      <w:pPr>
        <w:ind w:right="100" w:firstLine="436"/>
        <w:spacing w:after="0" w:line="297"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any agreements hereunder shall be administered, interpreted and enforced in accordance with the laws of the State of Israel, disregarding any state’s choice of law principles requiring the application of a jurisdiction’s laws other than the State of Israel. Certain definitions, which refer to the laws of such jurisdiction, shall be construed in accordance with other such laws. The competent courts located in Tel-Aviv-Jaffa, Israel shall have exclusive jurisdiction over any dispute arising out of or in connection with this Plan and any award granted hereunder.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454" w:name="page455"/>
    <w:bookmarkEnd w:id="454"/>
    <w:p>
      <w:pPr>
        <w:ind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80"/>
          </w:cols>
          <w:pgMar w:left="480" w:top="272" w:right="63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GLOBAL-E ONLINE LTD.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EMPLOYEE SHARE PURCHASE PLAN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APPENDIX</w:t>
      </w:r>
    </w:p>
    <w:p>
      <w:pPr>
        <w:spacing w:after="0" w:line="204" w:lineRule="exact"/>
        <w:rPr>
          <w:sz w:val="20"/>
          <w:szCs w:val="20"/>
          <w:color w:val="auto"/>
        </w:rPr>
      </w:pPr>
    </w:p>
    <w:p>
      <w:pPr>
        <w:ind w:right="440" w:firstLine="436"/>
        <w:spacing w:after="0" w:line="340" w:lineRule="auto"/>
        <w:rPr>
          <w:sz w:val="20"/>
          <w:szCs w:val="20"/>
          <w:color w:val="auto"/>
        </w:rPr>
      </w:pPr>
      <w:r>
        <w:rPr>
          <w:rFonts w:ascii="Arial" w:cs="Arial" w:eastAsia="Arial" w:hAnsi="Arial"/>
          <w:sz w:val="16"/>
          <w:szCs w:val="16"/>
          <w:color w:val="auto"/>
        </w:rPr>
        <w:t>This Israeli Appendix (the “</w:t>
      </w:r>
      <w:r>
        <w:rPr>
          <w:rFonts w:ascii="Arial" w:cs="Arial" w:eastAsia="Arial" w:hAnsi="Arial"/>
          <w:sz w:val="16"/>
          <w:szCs w:val="16"/>
          <w:b w:val="1"/>
          <w:bCs w:val="1"/>
          <w:color w:val="auto"/>
        </w:rPr>
        <w:t>Appendix</w:t>
      </w:r>
      <w:r>
        <w:rPr>
          <w:rFonts w:ascii="Arial" w:cs="Arial" w:eastAsia="Arial" w:hAnsi="Arial"/>
          <w:sz w:val="16"/>
          <w:szCs w:val="16"/>
          <w:color w:val="auto"/>
        </w:rPr>
        <w:t>”) to the 2021 Employee Share Purchase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of Global-E Online Ltd. (the “</w:t>
      </w:r>
      <w:r>
        <w:rPr>
          <w:rFonts w:ascii="Arial" w:cs="Arial" w:eastAsia="Arial" w:hAnsi="Arial"/>
          <w:sz w:val="16"/>
          <w:szCs w:val="16"/>
          <w:b w:val="1"/>
          <w:bCs w:val="1"/>
          <w:color w:val="auto"/>
        </w:rPr>
        <w:t>Company</w:t>
      </w:r>
      <w:r>
        <w:rPr>
          <w:rFonts w:ascii="Arial" w:cs="Arial" w:eastAsia="Arial" w:hAnsi="Arial"/>
          <w:sz w:val="16"/>
          <w:szCs w:val="16"/>
          <w:color w:val="auto"/>
        </w:rPr>
        <w:t>”) shall apply only to persons who are, or are deemed to be, residents of the State of Israel for Israeli tax purposes.</w:t>
      </w:r>
    </w:p>
    <w:p>
      <w:pPr>
        <w:spacing w:after="0" w:line="268" w:lineRule="exact"/>
        <w:rPr>
          <w:sz w:val="20"/>
          <w:szCs w:val="20"/>
          <w:color w:val="auto"/>
        </w:rPr>
      </w:pPr>
    </w:p>
    <w:p>
      <w:pPr>
        <w:ind w:left="440" w:hanging="433"/>
        <w:spacing w:after="0"/>
        <w:tabs>
          <w:tab w:leader="none" w:pos="4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440" w:right="80" w:firstLine="419"/>
        <w:spacing w:after="0" w:line="255" w:lineRule="auto"/>
        <w:rPr>
          <w:sz w:val="20"/>
          <w:szCs w:val="20"/>
          <w:color w:val="auto"/>
        </w:rPr>
      </w:pPr>
      <w:r>
        <w:rPr>
          <w:rFonts w:ascii="Arial" w:cs="Arial" w:eastAsia="Arial" w:hAnsi="Arial"/>
          <w:sz w:val="18"/>
          <w:szCs w:val="18"/>
          <w:color w:val="auto"/>
        </w:rPr>
        <w:t>1.1. The Administrator, in its discretion, may grant a right to purchase Awards to Eligible Employees and shall determine whether any Award is intended to be a 102 Award. Each exercise of a right to purchase an Award shall be evidenced by a Subscription Agreement, which shall expressly identify the Award type, and be in such form and contain such provisions, as the Administrator shall from time to time deem appropriate.</w:t>
      </w:r>
    </w:p>
    <w:p>
      <w:pPr>
        <w:spacing w:after="0" w:line="83" w:lineRule="exact"/>
        <w:rPr>
          <w:sz w:val="20"/>
          <w:szCs w:val="20"/>
          <w:color w:val="auto"/>
        </w:rPr>
      </w:pPr>
    </w:p>
    <w:p>
      <w:pPr>
        <w:ind w:left="440" w:right="100" w:firstLine="419"/>
        <w:spacing w:after="0" w:line="259" w:lineRule="auto"/>
        <w:rPr>
          <w:sz w:val="20"/>
          <w:szCs w:val="20"/>
          <w:color w:val="auto"/>
        </w:rPr>
      </w:pPr>
      <w:r>
        <w:rPr>
          <w:rFonts w:ascii="Arial" w:cs="Arial" w:eastAsia="Arial" w:hAnsi="Arial"/>
          <w:sz w:val="18"/>
          <w:szCs w:val="18"/>
          <w:color w:val="auto"/>
        </w:rPr>
        <w:t>1.2. The Plan shall apply to any Awards and rights to purchase Awards, in each case granted pursuant to this Appendix, provided, that the provisions of this Appendix shall supersede and govern in the case of any inconsistency or conflict, either explicit or implied, arising between the provisions of this Appendix and the Plan.</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1.3. Unless otherwise defined in this Appendix, capitalized terms contained herein shall have the same meanings given to them in the Plan.</w:t>
      </w:r>
    </w:p>
    <w:p>
      <w:pPr>
        <w:spacing w:after="0" w:line="387" w:lineRule="exact"/>
        <w:rPr>
          <w:sz w:val="20"/>
          <w:szCs w:val="20"/>
          <w:color w:val="auto"/>
        </w:rPr>
      </w:pPr>
    </w:p>
    <w:p>
      <w:pPr>
        <w:ind w:left="440" w:hanging="433"/>
        <w:spacing w:after="0"/>
        <w:tabs>
          <w:tab w:leader="none" w:pos="44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4" w:lineRule="exact"/>
        <w:rPr>
          <w:sz w:val="20"/>
          <w:szCs w:val="20"/>
          <w:color w:val="auto"/>
        </w:rPr>
      </w:pPr>
    </w:p>
    <w:p>
      <w:pPr>
        <w:ind w:left="440" w:right="60" w:firstLine="419"/>
        <w:spacing w:after="0" w:line="275"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102 Award</w:t>
      </w:r>
      <w:r>
        <w:rPr>
          <w:rFonts w:ascii="Arial" w:cs="Arial" w:eastAsia="Arial" w:hAnsi="Arial"/>
          <w:sz w:val="18"/>
          <w:szCs w:val="18"/>
          <w:color w:val="auto"/>
        </w:rPr>
        <w:t>” means any Award intended to qualify (as set forth in the Subscription Agreement) and which qualifies under Section 102, provided it is settled only in Share.</w:t>
      </w:r>
    </w:p>
    <w:p>
      <w:pPr>
        <w:spacing w:after="0" w:line="61" w:lineRule="exact"/>
        <w:rPr>
          <w:sz w:val="20"/>
          <w:szCs w:val="20"/>
          <w:color w:val="auto"/>
        </w:rPr>
      </w:pPr>
    </w:p>
    <w:p>
      <w:pPr>
        <w:ind w:left="440" w:right="120" w:firstLine="419"/>
        <w:spacing w:after="0" w:line="275"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102 Capital Gain Track Award</w:t>
      </w:r>
      <w:r>
        <w:rPr>
          <w:rFonts w:ascii="Arial" w:cs="Arial" w:eastAsia="Arial" w:hAnsi="Arial"/>
          <w:sz w:val="18"/>
          <w:szCs w:val="18"/>
          <w:color w:val="auto"/>
        </w:rPr>
        <w:t>” means any Award granted by the Company to an Employee pursuant to Section 102(b)(2) or (3) (as applicable) of the Ordinance under the capital gain track.</w:t>
      </w:r>
    </w:p>
    <w:p>
      <w:pPr>
        <w:spacing w:after="0" w:line="61" w:lineRule="exact"/>
        <w:rPr>
          <w:sz w:val="20"/>
          <w:szCs w:val="20"/>
          <w:color w:val="auto"/>
        </w:rPr>
      </w:pPr>
    </w:p>
    <w:p>
      <w:pPr>
        <w:ind w:left="440" w:right="320" w:firstLine="419"/>
        <w:spacing w:after="0" w:line="27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102 Non-Trustee Award</w:t>
      </w:r>
      <w:r>
        <w:rPr>
          <w:rFonts w:ascii="Arial" w:cs="Arial" w:eastAsia="Arial" w:hAnsi="Arial"/>
          <w:sz w:val="18"/>
          <w:szCs w:val="18"/>
          <w:color w:val="auto"/>
        </w:rPr>
        <w:t>” means any Award granted by the Company to an Employee pursuant to Section 102(c) of the Ordinance without a Trustee.</w:t>
      </w:r>
    </w:p>
    <w:p>
      <w:pPr>
        <w:spacing w:after="0" w:line="61" w:lineRule="exact"/>
        <w:rPr>
          <w:sz w:val="20"/>
          <w:szCs w:val="20"/>
          <w:color w:val="auto"/>
        </w:rPr>
      </w:pPr>
    </w:p>
    <w:p>
      <w:pPr>
        <w:ind w:left="440" w:firstLine="419"/>
        <w:spacing w:after="0" w:line="275"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102 Ordinary Income Track Award</w:t>
      </w:r>
      <w:r>
        <w:rPr>
          <w:rFonts w:ascii="Arial" w:cs="Arial" w:eastAsia="Arial" w:hAnsi="Arial"/>
          <w:sz w:val="18"/>
          <w:szCs w:val="18"/>
          <w:color w:val="auto"/>
        </w:rPr>
        <w:t>” means any Award granted by the Company to an Employee pursuant to Section 102(b)(1) of the Ordinance under the ordinary income track.</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color w:val="auto"/>
        </w:rPr>
        <w:t>102 Trustee Awards</w:t>
      </w:r>
      <w:r>
        <w:rPr>
          <w:rFonts w:ascii="Arial" w:cs="Arial" w:eastAsia="Arial" w:hAnsi="Arial"/>
          <w:sz w:val="18"/>
          <w:szCs w:val="18"/>
          <w:color w:val="auto"/>
        </w:rPr>
        <w:t>” means, collectively, 102 Capital Gain Track Awards and 102 Ordinary Income Track Awards.</w:t>
      </w:r>
    </w:p>
    <w:p>
      <w:pPr>
        <w:spacing w:after="0" w:line="114" w:lineRule="exact"/>
        <w:rPr>
          <w:sz w:val="20"/>
          <w:szCs w:val="20"/>
          <w:color w:val="auto"/>
        </w:rPr>
      </w:pPr>
    </w:p>
    <w:p>
      <w:pPr>
        <w:ind w:left="440" w:right="80" w:firstLine="419"/>
        <w:spacing w:after="0" w:line="26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w:t>
      </w:r>
      <w:r>
        <w:rPr>
          <w:rFonts w:ascii="Arial" w:cs="Arial" w:eastAsia="Arial" w:hAnsi="Arial"/>
          <w:sz w:val="18"/>
          <w:szCs w:val="18"/>
          <w:b w:val="1"/>
          <w:bCs w:val="1"/>
          <w:color w:val="auto"/>
        </w:rPr>
        <w:t>.</w:t>
      </w:r>
    </w:p>
    <w:p>
      <w:pPr>
        <w:spacing w:after="0" w:line="7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“Award”</w:t>
      </w:r>
      <w:r>
        <w:rPr>
          <w:rFonts w:ascii="Arial" w:cs="Arial" w:eastAsia="Arial" w:hAnsi="Arial"/>
          <w:sz w:val="18"/>
          <w:szCs w:val="18"/>
          <w:color w:val="auto"/>
        </w:rPr>
        <w:t xml:space="preserve"> shall mean any Share purchased according to the Plan.</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Election</w:t>
      </w:r>
      <w:r>
        <w:rPr>
          <w:rFonts w:ascii="Arial" w:cs="Arial" w:eastAsia="Arial" w:hAnsi="Arial"/>
          <w:sz w:val="18"/>
          <w:szCs w:val="18"/>
          <w:color w:val="auto"/>
        </w:rPr>
        <w:t>” as defined in Section 3.2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68" w:right="499" w:bottom="1440" w:gutter="0" w:footer="0" w:header="0"/>
        </w:sectPr>
      </w:pPr>
    </w:p>
    <w:bookmarkStart w:id="456" w:name="page457"/>
    <w:bookmarkEnd w:id="456"/>
    <w:p>
      <w:pPr>
        <w:jc w:val="both"/>
        <w:ind w:left="433" w:firstLine="41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2.9. “</w:t>
      </w:r>
      <w:r>
        <w:rPr>
          <w:rFonts w:ascii="Arial" w:cs="Arial" w:eastAsia="Arial" w:hAnsi="Arial"/>
          <w:sz w:val="18"/>
          <w:szCs w:val="18"/>
          <w:b w:val="1"/>
          <w:bCs w:val="1"/>
          <w:color w:val="auto"/>
        </w:rPr>
        <w:t>Employee</w:t>
      </w:r>
      <w:r>
        <w:rPr>
          <w:rFonts w:ascii="Arial" w:cs="Arial" w:eastAsia="Arial" w:hAnsi="Arial"/>
          <w:sz w:val="18"/>
          <w:szCs w:val="18"/>
          <w:color w:val="auto"/>
        </w:rPr>
        <w:t>” means an “employee” within the meaning of Section 102(a) of the Ordinance (which as of the date of the adoption of this Appendix means (i) an individual employed by an Employer, and (ii) an individual who is serving and is engaged personally (and not through an entity) as an “office holder” by an Employer, excluding any controlling shareholder as to such term is defined in Section 32(9) of the Ordinance.), provided such Employee also satisfies the eligibility requirements under the Plan.</w:t>
      </w:r>
    </w:p>
    <w:p>
      <w:pPr>
        <w:spacing w:after="0" w:line="76" w:lineRule="exact"/>
        <w:rPr>
          <w:sz w:val="20"/>
          <w:szCs w:val="20"/>
          <w:color w:val="auto"/>
        </w:rPr>
      </w:pPr>
    </w:p>
    <w:p>
      <w:pPr>
        <w:ind w:left="433" w:right="80" w:firstLine="419"/>
        <w:spacing w:after="0" w:line="275"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Employer</w:t>
      </w:r>
      <w:r>
        <w:rPr>
          <w:rFonts w:ascii="Arial" w:cs="Arial" w:eastAsia="Arial" w:hAnsi="Arial"/>
          <w:sz w:val="18"/>
          <w:szCs w:val="18"/>
          <w:color w:val="auto"/>
        </w:rPr>
        <w:t>” means, for purpose of a 102 Trustee Award, an Affiliate, Subsidiary or Parent which is an “employing company” within the meaning and subject to the conditions of Section 102(a) of the Ordinance.</w:t>
      </w:r>
    </w:p>
    <w:p>
      <w:pPr>
        <w:spacing w:after="0" w:line="61"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ITA</w:t>
      </w:r>
      <w:r>
        <w:rPr>
          <w:rFonts w:ascii="Arial" w:cs="Arial" w:eastAsia="Arial" w:hAnsi="Arial"/>
          <w:sz w:val="18"/>
          <w:szCs w:val="18"/>
          <w:color w:val="auto"/>
        </w:rPr>
        <w:t>” means the Israel Tax Authority</w:t>
      </w:r>
      <w:r>
        <w:rPr>
          <w:rFonts w:ascii="Arial" w:cs="Arial" w:eastAsia="Arial" w:hAnsi="Arial"/>
          <w:sz w:val="18"/>
          <w:szCs w:val="18"/>
          <w:b w:val="1"/>
          <w:bCs w:val="1"/>
          <w:color w:val="auto"/>
        </w:rPr>
        <w:t>.</w:t>
      </w:r>
    </w:p>
    <w:p>
      <w:pPr>
        <w:spacing w:after="0" w:line="114" w:lineRule="exact"/>
        <w:rPr>
          <w:sz w:val="20"/>
          <w:szCs w:val="20"/>
          <w:color w:val="auto"/>
        </w:rPr>
      </w:pPr>
    </w:p>
    <w:p>
      <w:pPr>
        <w:ind w:left="433" w:right="340" w:firstLine="419"/>
        <w:spacing w:after="0" w:line="275"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1961, including the Rules and any other regulations, rules, orders or procedures promulgated thereunder, as may be amended or replaced from time to time.</w:t>
      </w:r>
    </w:p>
    <w:p>
      <w:pPr>
        <w:spacing w:after="0" w:line="61"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Required Holding Period</w:t>
      </w:r>
      <w:r>
        <w:rPr>
          <w:rFonts w:ascii="Arial" w:cs="Arial" w:eastAsia="Arial" w:hAnsi="Arial"/>
          <w:sz w:val="18"/>
          <w:szCs w:val="18"/>
          <w:color w:val="auto"/>
        </w:rPr>
        <w:t>” as defined in Section 3.5.1 below.</w:t>
      </w:r>
    </w:p>
    <w:p>
      <w:pPr>
        <w:spacing w:after="0" w:line="114"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Rules</w:t>
      </w:r>
      <w:r>
        <w:rPr>
          <w:rFonts w:ascii="Arial" w:cs="Arial" w:eastAsia="Arial" w:hAnsi="Arial"/>
          <w:sz w:val="18"/>
          <w:szCs w:val="18"/>
          <w:color w:val="auto"/>
        </w:rPr>
        <w:t>” means the Income Tax Rules (Tax Benefits in Share Issuance to Employees) 5763-2003.</w:t>
      </w:r>
    </w:p>
    <w:p>
      <w:pPr>
        <w:spacing w:after="0" w:line="114"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w:t>
      </w:r>
    </w:p>
    <w:p>
      <w:pPr>
        <w:spacing w:after="0" w:line="114" w:lineRule="exact"/>
        <w:rPr>
          <w:sz w:val="20"/>
          <w:szCs w:val="20"/>
          <w:color w:val="auto"/>
        </w:rPr>
      </w:pPr>
    </w:p>
    <w:p>
      <w:pPr>
        <w:ind w:left="433" w:right="520" w:firstLine="419"/>
        <w:spacing w:after="0" w:line="275"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to be signed between the Company, an Employer and the Trustee for the purposes of Section 102.</w:t>
      </w:r>
    </w:p>
    <w:p>
      <w:pPr>
        <w:spacing w:after="0" w:line="61"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Trustee</w:t>
      </w:r>
      <w:r>
        <w:rPr>
          <w:rFonts w:ascii="Arial" w:cs="Arial" w:eastAsia="Arial" w:hAnsi="Arial"/>
          <w:sz w:val="18"/>
          <w:szCs w:val="18"/>
          <w:color w:val="auto"/>
        </w:rPr>
        <w:t>” means the trustee appointed by the Company’s Administrator to hold the Awards and approved by the ITA.</w:t>
      </w:r>
    </w:p>
    <w:p>
      <w:pPr>
        <w:spacing w:after="0" w:line="114" w:lineRule="exact"/>
        <w:rPr>
          <w:sz w:val="20"/>
          <w:szCs w:val="20"/>
          <w:color w:val="auto"/>
        </w:rPr>
      </w:pPr>
    </w:p>
    <w:p>
      <w:pPr>
        <w:ind w:left="433" w:right="20" w:firstLine="419"/>
        <w:spacing w:after="0" w:line="26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Subscription Agreement</w:t>
      </w:r>
      <w:r>
        <w:rPr>
          <w:rFonts w:ascii="Arial" w:cs="Arial" w:eastAsia="Arial" w:hAnsi="Arial"/>
          <w:sz w:val="18"/>
          <w:szCs w:val="18"/>
          <w:color w:val="auto"/>
        </w:rPr>
        <w:t>” means a written or electronic agreement between the Company and the Participant or a written or electronic notice delivered by the Company evidencing the exercise of an Award granted pursuant to the Plan, in substantially such form or forms and containing such terms and conditions, as the Administrator shall from time to time approve.</w:t>
      </w:r>
    </w:p>
    <w:p>
      <w:pPr>
        <w:spacing w:after="0" w:line="74" w:lineRule="exact"/>
        <w:rPr>
          <w:sz w:val="20"/>
          <w:szCs w:val="20"/>
          <w:color w:val="auto"/>
        </w:rPr>
      </w:pPr>
    </w:p>
    <w:p>
      <w:pPr>
        <w:ind w:left="853"/>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Withholding Obligations</w:t>
      </w:r>
      <w:r>
        <w:rPr>
          <w:rFonts w:ascii="Arial" w:cs="Arial" w:eastAsia="Arial" w:hAnsi="Arial"/>
          <w:sz w:val="18"/>
          <w:szCs w:val="18"/>
          <w:color w:val="auto"/>
        </w:rPr>
        <w:t>” as defined in Section 4.5 below.</w:t>
      </w:r>
    </w:p>
    <w:p>
      <w:pPr>
        <w:spacing w:after="0" w:line="368" w:lineRule="exact"/>
        <w:rPr>
          <w:sz w:val="20"/>
          <w:szCs w:val="20"/>
          <w:color w:val="auto"/>
        </w:rPr>
      </w:pPr>
    </w:p>
    <w:p>
      <w:pPr>
        <w:ind w:left="433" w:hanging="433"/>
        <w:spacing w:after="0"/>
        <w:tabs>
          <w:tab w:leader="none" w:pos="433"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102 AWARDS</w:t>
      </w:r>
    </w:p>
    <w:p>
      <w:pPr>
        <w:spacing w:after="0" w:line="118" w:lineRule="exact"/>
        <w:rPr>
          <w:sz w:val="20"/>
          <w:szCs w:val="20"/>
          <w:color w:val="auto"/>
        </w:rPr>
      </w:pPr>
    </w:p>
    <w:p>
      <w:pPr>
        <w:ind w:left="433" w:firstLine="419"/>
        <w:spacing w:after="0" w:line="30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Tracks</w:t>
      </w:r>
      <w:r>
        <w:rPr>
          <w:rFonts w:ascii="Arial" w:cs="Arial" w:eastAsia="Arial" w:hAnsi="Arial"/>
          <w:sz w:val="16"/>
          <w:szCs w:val="16"/>
          <w:color w:val="auto"/>
        </w:rPr>
        <w:t>. Awards granted pursuant to this Section 3 are intended to be granted as either 102 Capital Gain Track Awards or 102 Ordinary Income Track Awards. 102 Trustee Awards shall be granted subject to the special terms and conditions contained in this Section 3 and the general terms and conditions of the Plan, except for any provisions of the Plan applying to Awards under different tax laws or regulations.</w:t>
      </w:r>
    </w:p>
    <w:p>
      <w:pPr>
        <w:spacing w:after="0" w:line="43" w:lineRule="exact"/>
        <w:rPr>
          <w:sz w:val="20"/>
          <w:szCs w:val="20"/>
          <w:color w:val="auto"/>
        </w:rPr>
      </w:pPr>
    </w:p>
    <w:p>
      <w:pPr>
        <w:ind w:left="433" w:right="20" w:firstLine="419"/>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Track</w:t>
      </w:r>
      <w:r>
        <w:rPr>
          <w:rFonts w:ascii="Arial" w:cs="Arial" w:eastAsia="Arial" w:hAnsi="Arial"/>
          <w:sz w:val="18"/>
          <w:szCs w:val="18"/>
          <w:color w:val="auto"/>
        </w:rPr>
        <w:t>. Subject to Applicable Law, the Company may grant only one type of 102 Trustee Award at any given time to all Employees who are to be granted 102 Trustee Awards pursuant to this Appendix, and shall file an election with the ITA regarding the type of 102 Trustee Award it elects to grant before the date of grant of any 102 Trustee Award (the “</w:t>
      </w:r>
      <w:r>
        <w:rPr>
          <w:rFonts w:ascii="Arial" w:cs="Arial" w:eastAsia="Arial" w:hAnsi="Arial"/>
          <w:sz w:val="18"/>
          <w:szCs w:val="18"/>
          <w:b w:val="1"/>
          <w:bCs w:val="1"/>
          <w:color w:val="auto"/>
        </w:rPr>
        <w:t>Election</w:t>
      </w:r>
      <w:r>
        <w:rPr>
          <w:rFonts w:ascii="Arial" w:cs="Arial" w:eastAsia="Arial" w:hAnsi="Arial"/>
          <w:sz w:val="18"/>
          <w:szCs w:val="18"/>
          <w:color w:val="auto"/>
        </w:rPr>
        <w:t>”). Such Election shall also apply to any other securities received by any Employee as a</w:t>
      </w:r>
    </w:p>
    <w:p>
      <w:pPr>
        <w:spacing w:after="0" w:line="123"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33"/>
          </w:cols>
          <w:pgMar w:left="487" w:top="268" w:right="579" w:bottom="1440" w:gutter="0" w:footer="0" w:header="0"/>
        </w:sectPr>
      </w:pPr>
    </w:p>
    <w:bookmarkStart w:id="457" w:name="page458"/>
    <w:bookmarkEnd w:id="457"/>
    <w:p>
      <w:pPr>
        <w:jc w:val="both"/>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62" w:lineRule="exact"/>
        <w:rPr>
          <w:sz w:val="20"/>
          <w:szCs w:val="20"/>
          <w:color w:val="auto"/>
        </w:rPr>
      </w:pPr>
    </w:p>
    <w:p>
      <w:pPr>
        <w:ind w:right="360" w:firstLine="419"/>
        <w:spacing w:after="0" w:line="27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 Subject to Applicable Law, 102 Awards may only be granted to Employees. Such 102 Awards may either be granted to a Trustee or granted under Section 102 without a Trustee.</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114" w:lineRule="exact"/>
        <w:rPr>
          <w:sz w:val="20"/>
          <w:szCs w:val="20"/>
          <w:color w:val="auto"/>
        </w:rPr>
      </w:pPr>
    </w:p>
    <w:p>
      <w:pPr>
        <w:ind w:left="980" w:firstLine="380"/>
        <w:spacing w:after="0" w:line="255" w:lineRule="auto"/>
        <w:rPr>
          <w:sz w:val="20"/>
          <w:szCs w:val="20"/>
          <w:color w:val="auto"/>
        </w:rPr>
      </w:pPr>
      <w:r>
        <w:rPr>
          <w:rFonts w:ascii="Arial" w:cs="Arial" w:eastAsia="Arial" w:hAnsi="Arial"/>
          <w:sz w:val="18"/>
          <w:szCs w:val="18"/>
          <w:color w:val="auto"/>
        </w:rPr>
        <w:t>3.4.1. Each 102 Award will be deemed granted on the date determined by the Administrator, subject to the provisions of the Plan, provided that (i) the Employee has signed all documents required by the Company or pursuant to Applicable Law, and (ii) with respect to any 102 Trustee Award, the Company has provided all applicable documents to the Trustee in accordance with the guidelines published by the ITA.</w:t>
      </w:r>
    </w:p>
    <w:p>
      <w:pPr>
        <w:spacing w:after="0" w:line="83" w:lineRule="exact"/>
        <w:rPr>
          <w:sz w:val="20"/>
          <w:szCs w:val="20"/>
          <w:color w:val="auto"/>
        </w:rPr>
      </w:pPr>
    </w:p>
    <w:p>
      <w:pPr>
        <w:ind w:left="980" w:right="40" w:firstLine="380"/>
        <w:spacing w:after="0" w:line="286" w:lineRule="auto"/>
        <w:rPr>
          <w:sz w:val="20"/>
          <w:szCs w:val="20"/>
          <w:color w:val="auto"/>
        </w:rPr>
      </w:pPr>
      <w:r>
        <w:rPr>
          <w:rFonts w:ascii="Arial" w:cs="Arial" w:eastAsia="Arial" w:hAnsi="Arial"/>
          <w:sz w:val="16"/>
          <w:szCs w:val="16"/>
          <w:color w:val="auto"/>
        </w:rPr>
        <w:t>3.4.2. Unless otherwise permitted by the Ordinance, any grants of 102 Trustee Awards that are made on or after the date of the adoption of the Plan and this Appendix or an amendment to the Plan or this Appendix, as the case may be, that may become effective only at the expiration of thirty (30) days after the filing of the Plan and this Appendix or any amendment thereof (as the case may be) with the ITA in accordance with the Ordinance shall be conditional upon the expiration of such 30-day period, and such condition shall be read and is incorporated by reference into any corporate resolutions approving such grants and into any Subscription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Subscription Agreement.</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114" w:lineRule="exact"/>
        <w:rPr>
          <w:sz w:val="20"/>
          <w:szCs w:val="20"/>
          <w:color w:val="auto"/>
        </w:rPr>
      </w:pPr>
    </w:p>
    <w:p>
      <w:pPr>
        <w:ind w:left="980" w:right="40" w:firstLine="380"/>
        <w:spacing w:after="0" w:line="285" w:lineRule="auto"/>
        <w:rPr>
          <w:sz w:val="20"/>
          <w:szCs w:val="20"/>
          <w:color w:val="auto"/>
        </w:rPr>
      </w:pPr>
      <w:r>
        <w:rPr>
          <w:rFonts w:ascii="Arial" w:cs="Arial" w:eastAsia="Arial" w:hAnsi="Arial"/>
          <w:sz w:val="16"/>
          <w:szCs w:val="16"/>
          <w:color w:val="auto"/>
        </w:rPr>
        <w:t>3.5.1. Each Share issued pursuant to the 102 Trustee Award shall be allocated or issued to and registered in the name of the Trustee and shall be held in trust or controlled by the Trustee for the benefit of the Participant for the requisite period prescribed by the Ordinance (the “</w:t>
      </w:r>
      <w:r>
        <w:rPr>
          <w:rFonts w:ascii="Arial" w:cs="Arial" w:eastAsia="Arial" w:hAnsi="Arial"/>
          <w:sz w:val="16"/>
          <w:szCs w:val="16"/>
          <w:b w:val="1"/>
          <w:bCs w:val="1"/>
          <w:color w:val="auto"/>
        </w:rPr>
        <w:t>Required Holding Period</w:t>
      </w:r>
      <w:r>
        <w:rPr>
          <w:rFonts w:ascii="Arial" w:cs="Arial" w:eastAsia="Arial" w:hAnsi="Arial"/>
          <w:sz w:val="16"/>
          <w:szCs w:val="16"/>
          <w:color w:val="auto"/>
        </w:rPr>
        <w:t>”). In the event that the requirements under Section 102 to qualify an Award as a 102 Trustee Award are not met, then the Award may be treated as a 102 Non-Trustee Award (as determined by the Company), all in accordance with the provisions of the Ordinance. After the expiration of the Required Holding Period, the Trustee may release such 102 Trustee Awards and any such Shares, provided that (i) the Trustee has received an acknowledgment from the ITA that the Participant has paid any applicable taxes due pursuant to the Ordinance, or (ii) the Trustee and/or the Company and/or the Employer withhold(s) all applicable taxes and compulsory payments due pursuant to the Ordinance arising from the 102 Trustee Awards. The Trustee shall not release any 102 Trustee Awards prior to the payment in full of the Participant’s tax and compulsory payments arising from such 102 Trustee Awards or the withholding referred to in (ii) above.</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0"/>
          </w:cols>
          <w:pgMar w:left="920" w:top="272" w:right="519" w:bottom="1440" w:gutter="0" w:footer="0" w:header="0"/>
        </w:sectPr>
      </w:pPr>
    </w:p>
    <w:bookmarkStart w:id="458" w:name="page459"/>
    <w:bookmarkEnd w:id="458"/>
    <w:p>
      <w:pPr>
        <w:ind w:left="980" w:right="80" w:firstLine="3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3.5.2. Each 102 Trustee Award shall be subject to the relevant terms of the Ordinance, the Rules and any determinations, rulings or approvals issued by the ITA, which shall be deemed an integral part of the 102 Trustee Awards and shall prevail over any term contained in the Plan, this Appendix or the Subscription Agreement that is not consistent therewith. Any provision of the Ordinance, the Rules and any determinations, rulings or approvals by the ITA not expressly specified in the Plan, this Appendix or Subscription Agreement that are necessary to receive or maintain any tax benefit pursuant to Section 102 shall be binding on the Participant. Any Participant granted a 102 Trustee Award shall comply with the Ordinance and the terms and conditions of the Trust Agreement entered into between the Company and the Trustee. The Participant shall execute any and all documents that the Company and/or the Affiliate and/or the Trustee determine from time to time to be necessary in order to comply with the Ordinance and the Rules.</w:t>
      </w:r>
    </w:p>
    <w:p>
      <w:pPr>
        <w:spacing w:after="0" w:line="76" w:lineRule="exact"/>
        <w:rPr>
          <w:sz w:val="20"/>
          <w:szCs w:val="20"/>
          <w:color w:val="auto"/>
        </w:rPr>
      </w:pPr>
    </w:p>
    <w:p>
      <w:pPr>
        <w:ind w:left="980" w:firstLine="380"/>
        <w:spacing w:after="0" w:line="266" w:lineRule="auto"/>
        <w:rPr>
          <w:sz w:val="20"/>
          <w:szCs w:val="20"/>
          <w:color w:val="auto"/>
        </w:rPr>
      </w:pPr>
      <w:r>
        <w:rPr>
          <w:rFonts w:ascii="Arial" w:cs="Arial" w:eastAsia="Arial" w:hAnsi="Arial"/>
          <w:sz w:val="17"/>
          <w:szCs w:val="17"/>
          <w:color w:val="auto"/>
        </w:rPr>
        <w:t>3.5.3. During the Required Holding Period, the Participant shall not release from trust or sell, assign, transfer or give as collateral, the Shares issuable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the Plan, this Appendix, the Subscription Agreement and any Applicable Law.</w:t>
      </w:r>
    </w:p>
    <w:p>
      <w:pPr>
        <w:spacing w:after="0" w:line="75" w:lineRule="exact"/>
        <w:rPr>
          <w:sz w:val="20"/>
          <w:szCs w:val="20"/>
          <w:color w:val="auto"/>
        </w:rPr>
      </w:pPr>
    </w:p>
    <w:p>
      <w:pPr>
        <w:ind w:left="980" w:right="200" w:firstLine="380"/>
        <w:spacing w:after="0" w:line="281" w:lineRule="auto"/>
        <w:rPr>
          <w:sz w:val="20"/>
          <w:szCs w:val="20"/>
          <w:color w:val="auto"/>
        </w:rPr>
      </w:pPr>
      <w:r>
        <w:rPr>
          <w:rFonts w:ascii="Arial" w:cs="Arial" w:eastAsia="Arial" w:hAnsi="Arial"/>
          <w:sz w:val="17"/>
          <w:szCs w:val="17"/>
          <w:color w:val="auto"/>
        </w:rPr>
        <w:t>3.5.4. Upon or after receipt of a 102 Trustee Award, if required, the Participant may be required to sign an undertaking to release the Trustee from any liability with respect to any action or decision duly taken and executed in good faith by the Trustee in relation to the Plan, this Appendix, or any 102 Trustee Awards granted to such Participant hereunder.</w:t>
      </w:r>
    </w:p>
    <w:p>
      <w:pPr>
        <w:spacing w:after="0" w:line="62" w:lineRule="exact"/>
        <w:rPr>
          <w:sz w:val="20"/>
          <w:szCs w:val="20"/>
          <w:color w:val="auto"/>
        </w:rPr>
      </w:pPr>
    </w:p>
    <w:p>
      <w:pPr>
        <w:ind w:right="80" w:firstLine="419"/>
        <w:spacing w:after="0" w:line="28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102 Non-Trustee Awards</w:t>
      </w:r>
      <w:r>
        <w:rPr>
          <w:rFonts w:ascii="Arial" w:cs="Arial" w:eastAsia="Arial" w:hAnsi="Arial"/>
          <w:sz w:val="16"/>
          <w:szCs w:val="16"/>
          <w:color w:val="auto"/>
        </w:rPr>
        <w:t>. The foregoing provisions of this Section 3 relating to 102 Trustee Awards shall not apply with respect to 102 Non-Trustee Awards, which shall, however, be subject to the relevant provisions of Section 102 and the applicable Rules. The Administrator may determine that 102 Non-Trustee Awards and/or any securities issued or distributed with respect thereto, shall be allocated or issued to the Trustee, who shall hold such 102 Non-Trustee Award and all accrued rights thereon (if any) in trust for the benefit of the Participant and/or the Company, as the case may be, until the full payment of tax arising from the 102 Non-Trustee Awards and/or any securities issued or distributed with respect thereto. The Company may choose, alternatively, to require the Participant to provide the Company with a guarantee or other security, to the satisfaction of each of the Trustee and the Company, until the full payment of the applicable taxes.</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920" w:top="272" w:right="499" w:bottom="1440" w:gutter="0" w:footer="0" w:header="0"/>
        </w:sectPr>
      </w:pPr>
    </w:p>
    <w:bookmarkStart w:id="459" w:name="page460"/>
    <w:bookmarkEnd w:id="459"/>
    <w:p>
      <w:pPr>
        <w:ind w:left="433" w:right="40" w:firstLine="41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3.7. </w:t>
      </w:r>
      <w:r>
        <w:rPr>
          <w:rFonts w:ascii="Arial" w:cs="Arial" w:eastAsia="Arial" w:hAnsi="Arial"/>
          <w:sz w:val="17"/>
          <w:szCs w:val="17"/>
          <w:u w:val="single" w:color="auto"/>
          <w:color w:val="auto"/>
        </w:rPr>
        <w:t>Written Participant Undertaking</w:t>
      </w:r>
      <w:r>
        <w:rPr>
          <w:rFonts w:ascii="Arial" w:cs="Arial" w:eastAsia="Arial" w:hAnsi="Arial"/>
          <w:sz w:val="17"/>
          <w:szCs w:val="17"/>
          <w:color w:val="auto"/>
        </w:rPr>
        <w:t>. With respect to any 102 Trustee Award, as required by Section 102 and the Rules, by virtue of the receipt of such Award, the Participant is deemed to have provided, undertaken and confirmed the following written undertaking (and such undertaking is deemed incorporated into any documents signed by the Participant in connection with the grant of such Award), and which undertaking shall be deemed to apply and relate to all 102 Trustee Awards granted to the Participant, whether under the Plan and this Appendix or other plans maintained by the Company, and whether prior to or after the date hereof:</w:t>
      </w:r>
    </w:p>
    <w:p>
      <w:pPr>
        <w:spacing w:after="0" w:line="69" w:lineRule="exact"/>
        <w:rPr>
          <w:sz w:val="20"/>
          <w:szCs w:val="20"/>
          <w:color w:val="auto"/>
        </w:rPr>
      </w:pPr>
    </w:p>
    <w:p>
      <w:pPr>
        <w:ind w:left="1413" w:right="60" w:firstLine="380"/>
        <w:spacing w:after="0" w:line="259" w:lineRule="auto"/>
        <w:rPr>
          <w:sz w:val="20"/>
          <w:szCs w:val="20"/>
          <w:color w:val="auto"/>
        </w:rPr>
      </w:pPr>
      <w:r>
        <w:rPr>
          <w:rFonts w:ascii="Arial" w:cs="Arial" w:eastAsia="Arial" w:hAnsi="Arial"/>
          <w:sz w:val="18"/>
          <w:szCs w:val="18"/>
          <w:color w:val="auto"/>
        </w:rPr>
        <w:t>3.7.1. The Participant shall comply with all terms and conditions set forth in Section 102 with regard to the “Capital Gain Track” or the “Ordinary Income Track”, as applicable, and the applicable rules and regulations promulgated thereunder, as amended from time to time;</w:t>
      </w:r>
    </w:p>
    <w:p>
      <w:pPr>
        <w:spacing w:after="0" w:line="79" w:lineRule="exact"/>
        <w:rPr>
          <w:sz w:val="20"/>
          <w:szCs w:val="20"/>
          <w:color w:val="auto"/>
        </w:rPr>
      </w:pPr>
    </w:p>
    <w:p>
      <w:pPr>
        <w:ind w:left="1413" w:firstLine="380"/>
        <w:spacing w:after="0" w:line="269" w:lineRule="auto"/>
        <w:rPr>
          <w:sz w:val="20"/>
          <w:szCs w:val="20"/>
          <w:color w:val="auto"/>
        </w:rPr>
      </w:pPr>
      <w:r>
        <w:rPr>
          <w:rFonts w:ascii="Arial" w:cs="Arial" w:eastAsia="Arial" w:hAnsi="Arial"/>
          <w:sz w:val="17"/>
          <w:szCs w:val="17"/>
          <w:color w:val="auto"/>
        </w:rPr>
        <w:t>3.7.2. The Participant is familiar with, and understands the provisions of, Section 102 in general, and the tax arrangement under the “Capital Gain Track” or the “Ordinary Income Track” in particular, and its tax consequences; the Participant agrees that the 102 Trustee Awards will be held by a Trustee appointed pursuant to Section 102 for at least the duration of the “Holding Period” (as such term is defined in Section 102) under the “Capital Gain Track” or the “Ordinary Income Track”, as applicable. The Participant understands that any release of such 102 Trustee Awards or Shares from trust, or any sale of the Shares prior to the termination of the Holding Period, as defined above, will result in taxation at the marginal tax rate, in addition to deductions of appropriate social security, health tax contributions or other compulsory payments; and</w:t>
      </w:r>
    </w:p>
    <w:p>
      <w:pPr>
        <w:spacing w:after="0" w:line="71" w:lineRule="exact"/>
        <w:rPr>
          <w:sz w:val="20"/>
          <w:szCs w:val="20"/>
          <w:color w:val="auto"/>
        </w:rPr>
      </w:pPr>
    </w:p>
    <w:p>
      <w:pPr>
        <w:ind w:left="1413" w:right="300" w:firstLine="380"/>
        <w:spacing w:after="0" w:line="271" w:lineRule="auto"/>
        <w:rPr>
          <w:sz w:val="20"/>
          <w:szCs w:val="20"/>
          <w:color w:val="auto"/>
        </w:rPr>
      </w:pPr>
      <w:r>
        <w:rPr>
          <w:rFonts w:ascii="Arial" w:cs="Arial" w:eastAsia="Arial" w:hAnsi="Arial"/>
          <w:sz w:val="18"/>
          <w:szCs w:val="18"/>
          <w:color w:val="auto"/>
        </w:rPr>
        <w:t>3.7.3. The Participant agrees to the Trust Agreement signed between the Company, the Employer and the Trustee appointed pursuant to Section 102.</w:t>
      </w:r>
    </w:p>
    <w:p>
      <w:pPr>
        <w:spacing w:after="0" w:line="318" w:lineRule="exact"/>
        <w:rPr>
          <w:sz w:val="20"/>
          <w:szCs w:val="20"/>
          <w:color w:val="auto"/>
        </w:rPr>
      </w:pPr>
    </w:p>
    <w:p>
      <w:pPr>
        <w:ind w:left="433" w:hanging="433"/>
        <w:spacing w:after="0"/>
        <w:tabs>
          <w:tab w:leader="none" w:pos="433"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REGARDING TAXES; DISCLAIMER</w:t>
      </w:r>
    </w:p>
    <w:p>
      <w:pPr>
        <w:spacing w:after="0" w:line="118" w:lineRule="exact"/>
        <w:rPr>
          <w:sz w:val="20"/>
          <w:szCs w:val="20"/>
          <w:color w:val="auto"/>
        </w:rPr>
      </w:pPr>
    </w:p>
    <w:p>
      <w:pPr>
        <w:ind w:left="433" w:firstLine="419"/>
        <w:spacing w:after="0" w:line="255" w:lineRule="auto"/>
        <w:rPr>
          <w:sz w:val="20"/>
          <w:szCs w:val="20"/>
          <w:color w:val="auto"/>
        </w:rPr>
      </w:pPr>
      <w:r>
        <w:rPr>
          <w:rFonts w:ascii="Arial" w:cs="Arial" w:eastAsia="Arial" w:hAnsi="Arial"/>
          <w:sz w:val="18"/>
          <w:szCs w:val="18"/>
          <w:color w:val="auto"/>
        </w:rPr>
        <w:t>4.1. If the Company shall so require, as a condition of the release of Shares by the Trustee, a Participant shall agree that, no later than the date of such occurrence, the Participant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83" w:lineRule="exact"/>
        <w:rPr>
          <w:sz w:val="20"/>
          <w:szCs w:val="20"/>
          <w:color w:val="auto"/>
        </w:rPr>
      </w:pPr>
    </w:p>
    <w:p>
      <w:pPr>
        <w:ind w:left="433" w:firstLine="419"/>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 AWARDS, THE SALE OR DISPOSITION OF ANY SHARES GRANTED HEREUNDER,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AFFILIATE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93"/>
          </w:cols>
          <w:pgMar w:left="487" w:top="272" w:right="519" w:bottom="1440" w:gutter="0" w:footer="0" w:header="0"/>
        </w:sectPr>
      </w:pPr>
    </w:p>
    <w:bookmarkStart w:id="460" w:name="page461"/>
    <w:bookmarkEnd w:id="460"/>
    <w:p>
      <w:pPr>
        <w:ind w:right="140" w:firstLine="41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4.3. </w:t>
      </w:r>
      <w:r>
        <w:rPr>
          <w:rFonts w:ascii="Arial" w:cs="Arial" w:eastAsia="Arial" w:hAnsi="Arial"/>
          <w:sz w:val="18"/>
          <w:szCs w:val="18"/>
          <w:u w:val="single" w:color="auto"/>
          <w:color w:val="auto"/>
        </w:rPr>
        <w:t>NO TAX ADVICE</w:t>
      </w:r>
      <w:r>
        <w:rPr>
          <w:rFonts w:ascii="Arial" w:cs="Arial" w:eastAsia="Arial" w:hAnsi="Arial"/>
          <w:sz w:val="18"/>
          <w:szCs w:val="18"/>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pacing w:after="0" w:line="83" w:lineRule="exact"/>
        <w:rPr>
          <w:sz w:val="20"/>
          <w:szCs w:val="20"/>
          <w:color w:val="auto"/>
        </w:rPr>
      </w:pPr>
    </w:p>
    <w:p>
      <w:pPr>
        <w:ind w:firstLine="419"/>
        <w:spacing w:after="0" w:line="26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AND ITS AFFILIATES (INCLUDING THE EMPLOYER) DOES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SUBSCRIPTION AGREEMENT, WHICH SHALL AT ALL TIMES BE SUBJECT TO THE REQUIREMENTS OF APPLICABLE LAW. THE COMPANY AND ITS AFFILIATES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ANY OF ITS AFFILIATES (INCLUDING THE EMPLOYER) THAT ANY PARTICULAR TAX TREATMENT ON THE DATE OF GRANT WILL CONTINUE TO EXIST OR THAT THE AWARD WILL QUALIFY AT THE TIME OF DISPOSITION THEREOF WITH ANY PARTICULAR TAX TREATMENT. THE COMPANY AND THE AFFILIATE (INCLUDING THE EMPLOYER) SHALL NOT HAVE ANY LIABILITY OR OBLIGATION OF ANY NATURE IN THE EVENT THAT AN AWARD DOES NOT QUALIFY FOR ANY PARTICULAR TAX TREATMENT, REGARDLESS WHETHER THE COMPANY OR ITS AFFILIATES (INCLUDING THE EMPLOYER) COULD HAVE TAKEN ANY ACTION TO CAUSE SUCH QUALIFICATION TO BE MET AND SUCH QUALIFICATION REMAINS AT ALL TIMES AND UNDER ALL CIRCUMSTANCES AT THE RISK OF THE PARTICIPANT. THE COMPANY AND ITS AFFILIATES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297" w:lineRule="exact"/>
        <w:rPr>
          <w:sz w:val="20"/>
          <w:szCs w:val="20"/>
          <w:color w:val="auto"/>
        </w:rPr>
      </w:pPr>
    </w:p>
    <w:p>
      <w:pPr>
        <w:ind w:right="80" w:firstLine="419"/>
        <w:spacing w:after="0" w:line="297" w:lineRule="auto"/>
        <w:rPr>
          <w:sz w:val="20"/>
          <w:szCs w:val="20"/>
          <w:color w:val="auto"/>
        </w:rPr>
      </w:pPr>
      <w:r>
        <w:rPr>
          <w:rFonts w:ascii="Arial" w:cs="Arial" w:eastAsia="Arial" w:hAnsi="Arial"/>
          <w:sz w:val="16"/>
          <w:szCs w:val="16"/>
          <w:color w:val="auto"/>
        </w:rPr>
        <w:t>4.5. The Company or the Affiliate (including the Employer) may take such action as it may deem necessary or appropriate, in its discretion, for the purpose of or in connection with withholding of any taxes and compulsory payments which the Trustee, the Company or the Affiliate (including the Employer) is required by any Applicable Law to withhold in connection with any Awards, including, without limitations, any income tax, social benefits, social insurance, health tax, pension, payroll tax, fringe benefits, excise tax, payment on account or other tax-related</w:t>
      </w:r>
    </w:p>
    <w:p>
      <w:pPr>
        <w:spacing w:after="0" w:line="9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0"/>
          </w:cols>
          <w:pgMar w:left="920" w:top="272" w:right="519" w:bottom="1440" w:gutter="0" w:footer="0" w:header="0"/>
        </w:sectPr>
      </w:pPr>
    </w:p>
    <w:bookmarkStart w:id="461" w:name="page462"/>
    <w:bookmarkEnd w:id="461"/>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items related to the Participant’s participation in the Plan and applicable by law to the Participant (collectively, “</w:t>
      </w:r>
      <w:r>
        <w:rPr>
          <w:rFonts w:ascii="Arial" w:cs="Arial" w:eastAsia="Arial" w:hAnsi="Arial"/>
          <w:sz w:val="17"/>
          <w:szCs w:val="17"/>
          <w:b w:val="1"/>
          <w:bCs w:val="1"/>
          <w:color w:val="auto"/>
        </w:rPr>
        <w:t>Withholding Obligations</w:t>
      </w:r>
      <w:r>
        <w:rPr>
          <w:rFonts w:ascii="Arial" w:cs="Arial" w:eastAsia="Arial" w:hAnsi="Arial"/>
          <w:sz w:val="17"/>
          <w:szCs w:val="17"/>
          <w:color w:val="auto"/>
        </w:rPr>
        <w:t>”). Such actions may include (i) requiring Participants to remit to the Company or the Employer in cash an amount sufficient to satisfy such Withholding Obligations and any other taxes and compulsory payments, payable by the Company or the Employer in connection with the Award; (ii) subject to Applicable Law, allowing the Participants to surrender Shares, in an amount that at such time, reflects a value that the Administrator determines to be sufficient to satisfy such Withholding Obligations; or (iii) any combination of the foregoing.</w:t>
      </w:r>
    </w:p>
    <w:p>
      <w:pPr>
        <w:spacing w:after="0" w:line="69" w:lineRule="exact"/>
        <w:rPr>
          <w:sz w:val="20"/>
          <w:szCs w:val="20"/>
          <w:color w:val="auto"/>
        </w:rPr>
      </w:pPr>
    </w:p>
    <w:p>
      <w:pPr>
        <w:ind w:left="440" w:right="180" w:firstLine="419"/>
        <w:spacing w:after="0" w:line="290" w:lineRule="auto"/>
        <w:rPr>
          <w:sz w:val="20"/>
          <w:szCs w:val="20"/>
          <w:color w:val="auto"/>
        </w:rPr>
      </w:pPr>
      <w:r>
        <w:rPr>
          <w:rFonts w:ascii="Arial" w:cs="Arial" w:eastAsia="Arial" w:hAnsi="Arial"/>
          <w:sz w:val="16"/>
          <w:szCs w:val="16"/>
          <w:color w:val="auto"/>
        </w:rPr>
        <w:t>4.6.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57" w:lineRule="exact"/>
        <w:rPr>
          <w:sz w:val="20"/>
          <w:szCs w:val="20"/>
          <w:color w:val="auto"/>
        </w:rPr>
      </w:pPr>
    </w:p>
    <w:p>
      <w:pPr>
        <w:jc w:val="both"/>
        <w:ind w:left="440" w:firstLine="419"/>
        <w:spacing w:after="0" w:line="281" w:lineRule="auto"/>
        <w:rPr>
          <w:sz w:val="20"/>
          <w:szCs w:val="20"/>
          <w:color w:val="auto"/>
        </w:rPr>
      </w:pPr>
      <w:r>
        <w:rPr>
          <w:rFonts w:ascii="Arial" w:cs="Arial" w:eastAsia="Arial" w:hAnsi="Arial"/>
          <w:sz w:val="17"/>
          <w:szCs w:val="17"/>
          <w:color w:val="auto"/>
        </w:rPr>
        <w:t>4.7. With respect to 102 Non-Trustee Awards, if the Participant ceases to be employed by the Company or any Parent, Subsidiary or Affiliate (including the Employer), the Participant shall extend to the Company and/or the Employer a security or guarantee for the payment of taxes due at the time of sale of Shares, all in accordance with the provisions of Section 102 and the Rules.</w:t>
      </w:r>
    </w:p>
    <w:p>
      <w:pPr>
        <w:spacing w:after="0" w:line="312" w:lineRule="exact"/>
        <w:rPr>
          <w:sz w:val="20"/>
          <w:szCs w:val="20"/>
          <w:color w:val="auto"/>
        </w:rPr>
      </w:pPr>
    </w:p>
    <w:p>
      <w:pPr>
        <w:ind w:left="440" w:hanging="433"/>
        <w:spacing w:after="0"/>
        <w:tabs>
          <w:tab w:leader="none" w:pos="4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AS A SHAREHOLDER</w:t>
      </w:r>
    </w:p>
    <w:p>
      <w:pPr>
        <w:spacing w:after="0" w:line="118" w:lineRule="exact"/>
        <w:rPr>
          <w:sz w:val="20"/>
          <w:szCs w:val="20"/>
          <w:color w:val="auto"/>
        </w:rPr>
      </w:pPr>
    </w:p>
    <w:p>
      <w:pPr>
        <w:ind w:left="440" w:right="60" w:firstLine="419"/>
        <w:spacing w:after="0" w:line="285" w:lineRule="auto"/>
        <w:rPr>
          <w:sz w:val="20"/>
          <w:szCs w:val="20"/>
          <w:color w:val="auto"/>
        </w:rPr>
      </w:pPr>
      <w:r>
        <w:rPr>
          <w:rFonts w:ascii="Arial" w:cs="Arial" w:eastAsia="Arial" w:hAnsi="Arial"/>
          <w:sz w:val="16"/>
          <w:szCs w:val="16"/>
          <w:color w:val="auto"/>
        </w:rPr>
        <w:t>5.1. A Participant shall have no rights as a shareholder of the Company with respect to any Shares covered by an Award until the Participant becomes the record holder of the subject Shares. In the case of 102 Awards (if such Awards are being held by a Trustee), the Trustee shall have no rights as a shareholder of the Company with respect to the Shares covered by such Award until the Trustee becomes the record holder for such Shares for the Participant’s benefit, and the Participant shall not be deemed to be a shareholder and shall have no rights as a shareholder of the Company with respect to the Shares covered by the Award until the date of the release of such Shares from the Trustee to the Participant and the transfer of record ownership of such Shares to the Participant (provided however that the Participant shall be entitled to receive from the Trustee any cash dividend or distribution made on account of the Shares held by the Trustee for such Participant’s benefit, subject to any tax withholding and compulsory payment). No adjustment shall be made for dividends (ordinary or extraordinary, whether in cash, securities or other property) or distribution of other rights for which the record date is prior to the date on which the Participant or Trustee (as applicable) becomes the record holder of the Shares covered by an Award, except as provided in the Plan.</w:t>
      </w:r>
    </w:p>
    <w:p>
      <w:pPr>
        <w:spacing w:after="0" w:line="62" w:lineRule="exact"/>
        <w:rPr>
          <w:sz w:val="20"/>
          <w:szCs w:val="20"/>
          <w:color w:val="auto"/>
        </w:rPr>
      </w:pPr>
    </w:p>
    <w:p>
      <w:pPr>
        <w:ind w:left="440" w:right="80" w:firstLine="419"/>
        <w:spacing w:after="0" w:line="281" w:lineRule="auto"/>
        <w:rPr>
          <w:sz w:val="20"/>
          <w:szCs w:val="20"/>
          <w:color w:val="auto"/>
        </w:rPr>
      </w:pPr>
      <w:r>
        <w:rPr>
          <w:rFonts w:ascii="Arial" w:cs="Arial" w:eastAsia="Arial" w:hAnsi="Arial"/>
          <w:sz w:val="17"/>
          <w:szCs w:val="17"/>
          <w:color w:val="auto"/>
        </w:rPr>
        <w:t>5.2. With respect to Shares issued in connection with Awards hereunder, any and all voting rights attached to such Shares shall be subject to the provisions of the Plan, and the Participant shall be entitled to receive dividends distributed with respect to such Shares, subject to the provisions of the Company’s Articles of Association, as amended from time to time, and subject to any Applicable Law.</w:t>
      </w:r>
    </w:p>
    <w:p>
      <w:pPr>
        <w:spacing w:after="0" w:line="62" w:lineRule="exact"/>
        <w:rPr>
          <w:sz w:val="20"/>
          <w:szCs w:val="20"/>
          <w:color w:val="auto"/>
        </w:rPr>
      </w:pPr>
    </w:p>
    <w:p>
      <w:pPr>
        <w:ind w:left="440" w:right="200" w:firstLine="419"/>
        <w:spacing w:after="0" w:line="271" w:lineRule="auto"/>
        <w:rPr>
          <w:sz w:val="20"/>
          <w:szCs w:val="20"/>
          <w:color w:val="auto"/>
        </w:rPr>
      </w:pPr>
      <w:r>
        <w:rPr>
          <w:rFonts w:ascii="Arial" w:cs="Arial" w:eastAsia="Arial" w:hAnsi="Arial"/>
          <w:sz w:val="18"/>
          <w:szCs w:val="18"/>
          <w:color w:val="auto"/>
        </w:rPr>
        <w:t>5.3. The Company may, but shall not be obligated to, register or qualify the sale of Shares under any applicable securities law or any other Applicable Law.</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68" w:right="499" w:bottom="1440" w:gutter="0" w:footer="0" w:header="0"/>
        </w:sectPr>
      </w:pPr>
    </w:p>
    <w:bookmarkStart w:id="462" w:name="page463"/>
    <w:bookmarkEnd w:id="462"/>
    <w:p>
      <w:pPr>
        <w:ind w:left="433" w:firstLine="41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5.4. Shares issued pursuant to an Award shall be subject to the Company’s Articles of Association (as amended from time to time), any limitation, restriction or obligation applicable to shareholders included in any shareholders agreement applicable to all or substantially all of the holders of Shares (regardless of whether or not the Participant is a formal party to such shareholders agreement), any other governing documents of the Company, and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Participant shall execute such separate agreement(s) as may be requested by the Company relating to matters set forth in this Section 5.4.</w:t>
      </w:r>
    </w:p>
    <w:p>
      <w:pPr>
        <w:spacing w:after="0" w:line="326" w:lineRule="exact"/>
        <w:rPr>
          <w:sz w:val="20"/>
          <w:szCs w:val="20"/>
          <w:color w:val="auto"/>
        </w:rPr>
      </w:pPr>
    </w:p>
    <w:p>
      <w:pPr>
        <w:ind w:left="433" w:hanging="433"/>
        <w:spacing w:after="0"/>
        <w:tabs>
          <w:tab w:leader="none" w:pos="433"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18" w:lineRule="exact"/>
        <w:rPr>
          <w:sz w:val="20"/>
          <w:szCs w:val="20"/>
          <w:color w:val="auto"/>
        </w:rPr>
      </w:pPr>
    </w:p>
    <w:p>
      <w:pPr>
        <w:ind w:left="433" w:right="360" w:firstLine="419"/>
        <w:spacing w:after="0" w:line="335" w:lineRule="auto"/>
        <w:rPr>
          <w:sz w:val="20"/>
          <w:szCs w:val="20"/>
          <w:color w:val="auto"/>
        </w:rPr>
      </w:pPr>
      <w:r>
        <w:rPr>
          <w:rFonts w:ascii="Arial" w:cs="Arial" w:eastAsia="Arial" w:hAnsi="Arial"/>
          <w:sz w:val="16"/>
          <w:szCs w:val="16"/>
          <w:color w:val="auto"/>
        </w:rPr>
        <w:t>6.1. This Appendix shall be governed by and construed in accordance with the laws of the State of Israel (excluding its choice-of-law provisions) except that applicable Israeli laws, rules and regulations (as amended) shall apply to any mandatory tax matters arising hereunder.</w:t>
      </w:r>
    </w:p>
    <w:p>
      <w:pPr>
        <w:spacing w:after="0" w:line="34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93"/>
          </w:cols>
          <w:pgMar w:left="487" w:top="271" w:right="519" w:bottom="1440" w:gutter="0" w:footer="0" w:header="0"/>
        </w:sectPr>
      </w:pPr>
    </w:p>
    <w:bookmarkStart w:id="463" w:name="page464"/>
    <w:bookmarkEnd w:id="463"/>
    <w:p>
      <w:pPr>
        <w:ind w:left="1000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WARRANT (THIS “</w:t>
      </w:r>
      <w:r>
        <w:rPr>
          <w:rFonts w:ascii="Arial" w:cs="Arial" w:eastAsia="Arial" w:hAnsi="Arial"/>
          <w:sz w:val="17"/>
          <w:szCs w:val="17"/>
          <w:u w:val="single" w:color="auto"/>
          <w:color w:val="auto"/>
        </w:rPr>
        <w:t>WARRANT</w:t>
      </w:r>
      <w:r>
        <w:rPr>
          <w:rFonts w:ascii="Arial" w:cs="Arial" w:eastAsia="Arial" w:hAnsi="Arial"/>
          <w:sz w:val="17"/>
          <w:szCs w:val="17"/>
          <w:color w:val="auto"/>
        </w:rPr>
        <w:t>”) AND THE SECURITIES ISSUABLE UPON THE EXERCISE HEREOF HAVE NOT BEEN REGISTERED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UNDER THE SECURITIES LAWS OF ANY STATE.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205"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Warrant No. 6</w:t>
      </w:r>
      <w:r>
        <w:rPr>
          <w:sz w:val="20"/>
          <w:szCs w:val="20"/>
          <w:color w:val="auto"/>
        </w:rPr>
        <w:tab/>
      </w:r>
      <w:r>
        <w:rPr>
          <w:rFonts w:ascii="Arial" w:cs="Arial" w:eastAsia="Arial" w:hAnsi="Arial"/>
          <w:sz w:val="14"/>
          <w:szCs w:val="14"/>
          <w:color w:val="auto"/>
        </w:rPr>
        <w:t>Date of Issuance: July 14, 2021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Number of Ordinary Shares: As set forth on </w:t>
      </w:r>
      <w:r>
        <w:rPr>
          <w:rFonts w:ascii="Arial" w:cs="Arial" w:eastAsia="Arial" w:hAnsi="Arial"/>
          <w:sz w:val="18"/>
          <w:szCs w:val="18"/>
          <w:u w:val="single" w:color="auto"/>
          <w:color w:val="auto"/>
        </w:rPr>
        <w:t>Exhibit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 Purchase Warrant</w:t>
      </w:r>
    </w:p>
    <w:p>
      <w:pPr>
        <w:spacing w:after="0" w:line="225" w:lineRule="exact"/>
        <w:rPr>
          <w:sz w:val="20"/>
          <w:szCs w:val="20"/>
          <w:color w:val="auto"/>
        </w:rPr>
      </w:pPr>
    </w:p>
    <w:p>
      <w:pPr>
        <w:ind w:right="120" w:firstLine="436"/>
        <w:spacing w:after="0" w:line="268" w:lineRule="auto"/>
        <w:rPr>
          <w:sz w:val="20"/>
          <w:szCs w:val="20"/>
          <w:color w:val="auto"/>
        </w:rPr>
      </w:pPr>
      <w:r>
        <w:rPr>
          <w:rFonts w:ascii="Arial" w:cs="Arial" w:eastAsia="Arial" w:hAnsi="Arial"/>
          <w:sz w:val="17"/>
          <w:szCs w:val="17"/>
          <w:color w:val="auto"/>
        </w:rPr>
        <w:t>Global-E Online Ltd., a company incorporated under the laws of the State of Israel (the “</w:t>
      </w:r>
      <w:r>
        <w:rPr>
          <w:rFonts w:ascii="Arial" w:cs="Arial" w:eastAsia="Arial" w:hAnsi="Arial"/>
          <w:sz w:val="17"/>
          <w:szCs w:val="17"/>
          <w:u w:val="single" w:color="auto"/>
          <w:color w:val="auto"/>
        </w:rPr>
        <w:t>Company</w:t>
      </w:r>
      <w:r>
        <w:rPr>
          <w:rFonts w:ascii="Arial" w:cs="Arial" w:eastAsia="Arial" w:hAnsi="Arial"/>
          <w:sz w:val="17"/>
          <w:szCs w:val="17"/>
          <w:color w:val="auto"/>
        </w:rPr>
        <w:t>,” and which shall include any corporation or other entity that succeeds to the Company’s obligations under this Warrant (this “</w:t>
      </w:r>
      <w:r>
        <w:rPr>
          <w:rFonts w:ascii="Arial" w:cs="Arial" w:eastAsia="Arial" w:hAnsi="Arial"/>
          <w:sz w:val="17"/>
          <w:szCs w:val="17"/>
          <w:u w:val="single" w:color="auto"/>
          <w:color w:val="auto"/>
        </w:rPr>
        <w:t>Warrant</w:t>
      </w:r>
      <w:r>
        <w:rPr>
          <w:rFonts w:ascii="Arial" w:cs="Arial" w:eastAsia="Arial" w:hAnsi="Arial"/>
          <w:sz w:val="17"/>
          <w:szCs w:val="17"/>
          <w:color w:val="auto"/>
        </w:rPr>
        <w:t>”), whether by permitted assignment, by merger or consolidation or otherwise), for value received, hereby certifies that Shopify International Limited, a corporation governed by the laws of Ireland, or its registered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xml:space="preserve">”), is entitled, subject to the terms set forth below and including the terms relating to vesting and exercise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to purchase from the Company, at any time after the date hereof and on or before the Expiration Date (as defined in Section 8) the number of Company’s ordinary shares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at a price of $0.01 per share. The Ordinary Shares purchasable upon exercise of this Warrant, and the purchase price per share, each as adjusted from time to time pursuant to the provisions of this Warrant, are hereinafter referred to as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the “</w:t>
      </w:r>
      <w:r>
        <w:rPr>
          <w:rFonts w:ascii="Arial" w:cs="Arial" w:eastAsia="Arial" w:hAnsi="Arial"/>
          <w:sz w:val="17"/>
          <w:szCs w:val="17"/>
          <w:u w:val="single" w:color="auto"/>
          <w:color w:val="auto"/>
        </w:rPr>
        <w:t>Purchase Price</w:t>
      </w:r>
      <w:r>
        <w:rPr>
          <w:rFonts w:ascii="Arial" w:cs="Arial" w:eastAsia="Arial" w:hAnsi="Arial"/>
          <w:sz w:val="17"/>
          <w:szCs w:val="17"/>
          <w:color w:val="auto"/>
        </w:rPr>
        <w:t>,” respectively.</w:t>
      </w:r>
    </w:p>
    <w:p>
      <w:pPr>
        <w:spacing w:after="0" w:line="180"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This Warrant is issued pursuant to, and is subject to the terms and conditions of, the Service and Partnership Agreement between the Company and Shopify Inc. dated as of April 12, 2021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w:t>
      </w:r>
      <w:r>
        <w:rPr>
          <w:rFonts w:ascii="Arial" w:cs="Arial" w:eastAsia="Arial" w:hAnsi="Arial"/>
          <w:sz w:val="16"/>
          <w:szCs w:val="16"/>
          <w:u w:val="single" w:color="auto"/>
          <w:color w:val="auto"/>
        </w:rPr>
        <w:t>Original Issuance Date</w:t>
      </w:r>
      <w:r>
        <w:rPr>
          <w:rFonts w:ascii="Arial" w:cs="Arial" w:eastAsia="Arial" w:hAnsi="Arial"/>
          <w:sz w:val="16"/>
          <w:szCs w:val="16"/>
          <w:color w:val="auto"/>
        </w:rPr>
        <w:t>,” respectively) and as part of the consideration thereunder.</w:t>
      </w:r>
    </w:p>
    <w:p>
      <w:pPr>
        <w:spacing w:after="0" w:line="128"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The Registered Holder partially exercised Warrant No. 5 (the “</w:t>
      </w:r>
      <w:r>
        <w:rPr>
          <w:rFonts w:ascii="Arial" w:cs="Arial" w:eastAsia="Arial" w:hAnsi="Arial"/>
          <w:sz w:val="18"/>
          <w:szCs w:val="18"/>
          <w:u w:val="single" w:color="auto"/>
          <w:color w:val="auto"/>
        </w:rPr>
        <w:t>Original Warrant</w:t>
      </w:r>
      <w:r>
        <w:rPr>
          <w:rFonts w:ascii="Arial" w:cs="Arial" w:eastAsia="Arial" w:hAnsi="Arial"/>
          <w:sz w:val="18"/>
          <w:szCs w:val="18"/>
          <w:color w:val="auto"/>
        </w:rPr>
        <w:t>”) and this Warrant is issued as a Replacement Warrant (as defined therein). The following is a statement of the rights of the Registered Holder and the conditions to which this Warrant is subject, and to which the Registered Holder, by the acceptance of this Warrant, agrees:</w:t>
      </w:r>
    </w:p>
    <w:p>
      <w:pPr>
        <w:spacing w:after="0" w:line="182" w:lineRule="exact"/>
        <w:rPr>
          <w:sz w:val="20"/>
          <w:szCs w:val="20"/>
          <w:color w:val="auto"/>
        </w:rPr>
      </w:pPr>
    </w:p>
    <w:p>
      <w:pPr>
        <w:ind w:right="340" w:firstLine="7"/>
        <w:spacing w:after="0" w:line="261" w:lineRule="auto"/>
        <w:tabs>
          <w:tab w:leader="none" w:pos="312"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the terms and conditions hereinafter set forth, including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the Registered Holder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entitled, upon surrender of this Warrant, to purchase from the Company the number of Warrant Shares (subject to adjustment as provided herein)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as may be amended from time to time.</w:t>
      </w:r>
    </w:p>
    <w:p>
      <w:pPr>
        <w:spacing w:after="0" w:line="180" w:lineRule="exact"/>
        <w:rPr>
          <w:rFonts w:ascii="Arial" w:cs="Arial" w:eastAsia="Arial" w:hAnsi="Arial"/>
          <w:sz w:val="18"/>
          <w:szCs w:val="18"/>
          <w:color w:val="auto"/>
        </w:rPr>
      </w:pPr>
    </w:p>
    <w:p>
      <w:pPr>
        <w:ind w:left="320" w:hanging="313"/>
        <w:spacing w:after="0"/>
        <w:tabs>
          <w:tab w:leader="none" w:pos="320"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right="140" w:firstLine="444"/>
        <w:spacing w:after="0" w:line="255" w:lineRule="auto"/>
        <w:tabs>
          <w:tab w:leader="none" w:pos="738" w:val="left"/>
        </w:tabs>
        <w:numPr>
          <w:ilvl w:val="1"/>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color w:val="auto"/>
        </w:rPr>
        <w:t>. This Warrant may be exercised by the Registered Holder, in whole or in part, at any time or from time to time on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before the Expiration Date, subject to the terms and conditions set forth on Exhibit A attached hereto (as may be amended from time to time), by delivering a purchase/exercise form in the form appended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184" w:lineRule="exact"/>
        <w:rPr>
          <w:rFonts w:ascii="Arial" w:cs="Arial" w:eastAsia="Arial" w:hAnsi="Arial"/>
          <w:sz w:val="18"/>
          <w:szCs w:val="18"/>
          <w:color w:val="auto"/>
        </w:rPr>
      </w:pPr>
    </w:p>
    <w:p>
      <w:pPr>
        <w:ind w:right="40" w:firstLine="444"/>
        <w:spacing w:after="0" w:line="309" w:lineRule="auto"/>
        <w:tabs>
          <w:tab w:leader="none" w:pos="748" w:val="left"/>
        </w:tabs>
        <w:numPr>
          <w:ilvl w:val="1"/>
          <w:numId w:val="423"/>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Unless the Registered Holder is exercising this Warrant pursuant to a Net Issue Exercise in the manner specified in Section 2(d),</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shall also, as a condition to any exercise of this Warrant, deliver to the Company payment in full for the Purchase Price payable in respect of the number of Warrant Shares purchased upon such exercise. The Purchase Price may be paid by cash, check or wire transfer.</w:t>
      </w:r>
    </w:p>
    <w:p>
      <w:pPr>
        <w:sectPr>
          <w:pgSz w:w="11900" w:h="16838" w:orient="portrait"/>
          <w:cols w:equalWidth="0" w:num="1">
            <w:col w:w="10920"/>
          </w:cols>
          <w:pgMar w:left="480" w:top="120" w:right="499" w:bottom="1440" w:gutter="0" w:footer="0" w:header="0"/>
        </w:sectPr>
      </w:pPr>
    </w:p>
    <w:bookmarkStart w:id="464" w:name="page465"/>
    <w:bookmarkEnd w:id="464"/>
    <w:p>
      <w:pPr>
        <w:ind w:left="440"/>
        <w:spacing w:after="0"/>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sz w:val="20"/>
          <w:szCs w:val="20"/>
          <w:color w:val="auto"/>
        </w:rPr>
        <w:tab/>
      </w:r>
      <w:r>
        <w:rPr>
          <w:rFonts w:ascii="Arial" w:cs="Arial" w:eastAsia="Arial" w:hAnsi="Arial"/>
          <w:sz w:val="16"/>
          <w:szCs w:val="16"/>
          <w:b w:val="1"/>
          <w:bCs w:val="1"/>
          <w:u w:val="single" w:color="auto"/>
          <w:color w:val="auto"/>
        </w:rPr>
        <w:t>Partial Exercise</w:t>
      </w:r>
      <w:r>
        <w:rPr>
          <w:rFonts w:ascii="Arial" w:cs="Arial" w:eastAsia="Arial" w:hAnsi="Arial"/>
          <w:sz w:val="16"/>
          <w:szCs w:val="16"/>
          <w:color w:val="auto"/>
        </w:rPr>
        <w:t>. Upon a partial exercise of this Warrant, the Company shall deliver to the Registered Holder an amended Exhibit A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Exhibit</w:t>
      </w:r>
      <w:r>
        <w:rPr>
          <w:rFonts w:ascii="Arial" w:cs="Arial" w:eastAsia="Arial" w:hAnsi="Arial"/>
          <w:sz w:val="16"/>
          <w:szCs w:val="16"/>
          <w:color w:val="auto"/>
        </w:rPr>
        <w:t>”), which shall be integral part of this Warrant, for the remaining number of Warrant Shares for which this Warrant may then be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exercised. Except as explicitly amended under the Replacement Exhibit, this Warrant shall remain in full force and effect, including all other terms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conditions hereunder.</w:t>
      </w:r>
    </w:p>
    <w:p>
      <w:pPr>
        <w:spacing w:after="0" w:line="111" w:lineRule="exact"/>
        <w:rPr>
          <w:sz w:val="20"/>
          <w:szCs w:val="20"/>
          <w:color w:val="auto"/>
        </w:rPr>
      </w:pPr>
    </w:p>
    <w:p>
      <w:pPr>
        <w:ind w:left="980" w:hanging="545"/>
        <w:spacing w:after="0"/>
        <w:tabs>
          <w:tab w:leader="none" w:pos="980" w:val="left"/>
        </w:tabs>
        <w:numPr>
          <w:ilvl w:val="0"/>
          <w:numId w:val="424"/>
        </w:numPr>
        <w:rPr>
          <w:rFonts w:ascii="Arial" w:cs="Arial" w:eastAsia="Arial" w:hAnsi="Arial"/>
          <w:sz w:val="18"/>
          <w:szCs w:val="18"/>
          <w:color w:val="auto"/>
        </w:rPr>
      </w:pPr>
      <w:r>
        <w:rPr>
          <w:rFonts w:ascii="Arial" w:cs="Arial" w:eastAsia="Arial" w:hAnsi="Arial"/>
          <w:sz w:val="18"/>
          <w:szCs w:val="18"/>
          <w:b w:val="1"/>
          <w:bCs w:val="1"/>
          <w:u w:val="single" w:color="auto"/>
          <w:color w:val="auto"/>
        </w:rPr>
        <w:t>Net Issue Exercise.</w:t>
      </w:r>
    </w:p>
    <w:p>
      <w:pPr>
        <w:spacing w:after="0" w:line="131" w:lineRule="exact"/>
        <w:rPr>
          <w:sz w:val="20"/>
          <w:szCs w:val="20"/>
          <w:color w:val="auto"/>
        </w:rPr>
      </w:pPr>
    </w:p>
    <w:p>
      <w:pPr>
        <w:ind w:left="980" w:hanging="545"/>
        <w:spacing w:after="0" w:line="293" w:lineRule="auto"/>
        <w:tabs>
          <w:tab w:leader="none" w:pos="98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In lieu of exercising this Warrant and delivering payment in the manner provided in Section 2(b), the Registered Holder may elect to exercise all or any portion of this Warrant by net exercise by giving notice of such election on the purchase/exercise form appended hereto as Exhibit B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Warrant Shares computed using the following formula:</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X=</w:t>
            </w:r>
          </w:p>
        </w:tc>
        <w:tc>
          <w:tcPr>
            <w:tcW w:w="7340" w:type="dxa"/>
            <w:vAlign w:val="bottom"/>
            <w:gridSpan w:val="2"/>
          </w:tcPr>
          <w:p>
            <w:pPr>
              <w:spacing w:after="0"/>
              <w:rPr>
                <w:sz w:val="20"/>
                <w:szCs w:val="20"/>
                <w:color w:val="auto"/>
              </w:rPr>
            </w:pPr>
            <w:r>
              <w:rPr>
                <w:rFonts w:ascii="Arial" w:cs="Arial" w:eastAsia="Arial" w:hAnsi="Arial"/>
                <w:sz w:val="18"/>
                <w:szCs w:val="18"/>
                <w:color w:val="auto"/>
              </w:rPr>
              <w:t>Y (A - B)</w:t>
            </w:r>
          </w:p>
        </w:tc>
      </w:tr>
      <w:tr>
        <w:trPr>
          <w:trHeight w:val="233"/>
        </w:trPr>
        <w:tc>
          <w:tcPr>
            <w:tcW w:w="540" w:type="dxa"/>
            <w:vAlign w:val="bottom"/>
          </w:tcPr>
          <w:p>
            <w:pPr>
              <w:spacing w:after="0"/>
              <w:rPr>
                <w:sz w:val="20"/>
                <w:szCs w:val="20"/>
                <w:color w:val="auto"/>
              </w:rPr>
            </w:pP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A</w:t>
            </w:r>
          </w:p>
        </w:tc>
        <w:tc>
          <w:tcPr>
            <w:tcW w:w="6660" w:type="dxa"/>
            <w:vAlign w:val="bottom"/>
          </w:tcPr>
          <w:p>
            <w:pPr>
              <w:spacing w:after="0"/>
              <w:rPr>
                <w:sz w:val="20"/>
                <w:szCs w:val="20"/>
                <w:color w:val="auto"/>
              </w:rPr>
            </w:pPr>
          </w:p>
        </w:tc>
      </w:tr>
      <w:tr>
        <w:trPr>
          <w:trHeight w:val="468"/>
        </w:trPr>
        <w:tc>
          <w:tcPr>
            <w:tcW w:w="540" w:type="dxa"/>
            <w:vAlign w:val="bottom"/>
          </w:tcPr>
          <w:p>
            <w:pPr>
              <w:ind w:left="20"/>
              <w:spacing w:after="0"/>
              <w:rPr>
                <w:sz w:val="20"/>
                <w:szCs w:val="20"/>
                <w:color w:val="auto"/>
              </w:rPr>
            </w:pPr>
            <w:r>
              <w:rPr>
                <w:rFonts w:ascii="Arial" w:cs="Arial" w:eastAsia="Arial" w:hAnsi="Arial"/>
                <w:sz w:val="18"/>
                <w:szCs w:val="18"/>
                <w:color w:val="auto"/>
              </w:rPr>
              <w:t>where</w:t>
            </w:r>
          </w:p>
        </w:tc>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321"/>
        </w:trPr>
        <w:tc>
          <w:tcPr>
            <w:tcW w:w="540" w:type="dxa"/>
            <w:vAlign w:val="bottom"/>
          </w:tcPr>
          <w:p>
            <w:pPr>
              <w:ind w:left="20"/>
              <w:spacing w:after="0"/>
              <w:rPr>
                <w:sz w:val="20"/>
                <w:szCs w:val="20"/>
                <w:color w:val="auto"/>
              </w:rPr>
            </w:pPr>
            <w:r>
              <w:rPr>
                <w:rFonts w:ascii="Arial" w:cs="Arial" w:eastAsia="Arial" w:hAnsi="Arial"/>
                <w:sz w:val="18"/>
                <w:szCs w:val="18"/>
                <w:color w:val="auto"/>
              </w:rPr>
              <w:t>X=</w:t>
            </w:r>
          </w:p>
        </w:tc>
        <w:tc>
          <w:tcPr>
            <w:tcW w:w="7340" w:type="dxa"/>
            <w:vAlign w:val="bottom"/>
            <w:gridSpan w:val="2"/>
          </w:tcPr>
          <w:p>
            <w:pPr>
              <w:spacing w:after="0"/>
              <w:rPr>
                <w:sz w:val="20"/>
                <w:szCs w:val="20"/>
                <w:color w:val="auto"/>
              </w:rPr>
            </w:pPr>
            <w:r>
              <w:rPr>
                <w:rFonts w:ascii="Arial" w:cs="Arial" w:eastAsia="Arial" w:hAnsi="Arial"/>
                <w:sz w:val="18"/>
                <w:szCs w:val="18"/>
                <w:color w:val="auto"/>
              </w:rPr>
              <w:t>the number of Warrant Shares to be issued to the Registered Holder.</w:t>
            </w:r>
          </w:p>
        </w:tc>
      </w:tr>
      <w:tr>
        <w:trPr>
          <w:trHeight w:val="321"/>
        </w:trPr>
        <w:tc>
          <w:tcPr>
            <w:tcW w:w="540" w:type="dxa"/>
            <w:vAlign w:val="bottom"/>
          </w:tcPr>
          <w:p>
            <w:pPr>
              <w:spacing w:after="0"/>
              <w:rPr>
                <w:sz w:val="20"/>
                <w:szCs w:val="20"/>
                <w:color w:val="auto"/>
              </w:rPr>
            </w:pPr>
            <w:r>
              <w:rPr>
                <w:rFonts w:ascii="Arial" w:cs="Arial" w:eastAsia="Arial" w:hAnsi="Arial"/>
                <w:sz w:val="18"/>
                <w:szCs w:val="18"/>
                <w:color w:val="auto"/>
              </w:rPr>
              <w:t>Y=</w:t>
            </w:r>
          </w:p>
        </w:tc>
        <w:tc>
          <w:tcPr>
            <w:tcW w:w="7340" w:type="dxa"/>
            <w:vAlign w:val="bottom"/>
            <w:gridSpan w:val="2"/>
          </w:tcPr>
          <w:p>
            <w:pPr>
              <w:spacing w:after="0"/>
              <w:rPr>
                <w:sz w:val="20"/>
                <w:szCs w:val="20"/>
                <w:color w:val="auto"/>
              </w:rPr>
            </w:pPr>
            <w:r>
              <w:rPr>
                <w:rFonts w:ascii="Arial" w:cs="Arial" w:eastAsia="Arial" w:hAnsi="Arial"/>
                <w:sz w:val="18"/>
                <w:szCs w:val="18"/>
                <w:color w:val="auto"/>
                <w:w w:val="87"/>
              </w:rPr>
              <w:t>the number of Warrant Shares purchasable under this Warrant as set out on the purchase/exercise form.</w:t>
            </w:r>
          </w:p>
        </w:tc>
      </w:tr>
      <w:tr>
        <w:trPr>
          <w:trHeight w:val="321"/>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7340" w:type="dxa"/>
            <w:vAlign w:val="bottom"/>
            <w:gridSpan w:val="2"/>
          </w:tcPr>
          <w:p>
            <w:pPr>
              <w:spacing w:after="0"/>
              <w:rPr>
                <w:sz w:val="20"/>
                <w:szCs w:val="20"/>
                <w:color w:val="auto"/>
              </w:rPr>
            </w:pPr>
            <w:r>
              <w:rPr>
                <w:rFonts w:ascii="Arial" w:cs="Arial" w:eastAsia="Arial" w:hAnsi="Arial"/>
                <w:sz w:val="18"/>
                <w:szCs w:val="18"/>
                <w:color w:val="auto"/>
              </w:rPr>
              <w:t>the fair market value of one Warrant Share on the date of such net exercise.</w:t>
            </w:r>
          </w:p>
        </w:tc>
      </w:tr>
      <w:tr>
        <w:trPr>
          <w:trHeight w:val="321"/>
        </w:trPr>
        <w:tc>
          <w:tcPr>
            <w:tcW w:w="540" w:type="dxa"/>
            <w:vAlign w:val="bottom"/>
          </w:tcPr>
          <w:p>
            <w:pPr>
              <w:ind w:left="20"/>
              <w:spacing w:after="0"/>
              <w:rPr>
                <w:sz w:val="20"/>
                <w:szCs w:val="20"/>
                <w:color w:val="auto"/>
              </w:rPr>
            </w:pPr>
            <w:r>
              <w:rPr>
                <w:rFonts w:ascii="Arial" w:cs="Arial" w:eastAsia="Arial" w:hAnsi="Arial"/>
                <w:sz w:val="18"/>
                <w:szCs w:val="18"/>
                <w:color w:val="auto"/>
              </w:rPr>
              <w:t>B=</w:t>
            </w:r>
          </w:p>
        </w:tc>
        <w:tc>
          <w:tcPr>
            <w:tcW w:w="7340" w:type="dxa"/>
            <w:vAlign w:val="bottom"/>
            <w:gridSpan w:val="2"/>
          </w:tcPr>
          <w:p>
            <w:pPr>
              <w:spacing w:after="0"/>
              <w:rPr>
                <w:sz w:val="20"/>
                <w:szCs w:val="20"/>
                <w:color w:val="auto"/>
              </w:rPr>
            </w:pPr>
            <w:r>
              <w:rPr>
                <w:rFonts w:ascii="Arial" w:cs="Arial" w:eastAsia="Arial" w:hAnsi="Arial"/>
                <w:sz w:val="18"/>
                <w:szCs w:val="18"/>
                <w:color w:val="auto"/>
              </w:rPr>
              <w:t>the Purchase Price.</w:t>
            </w:r>
          </w:p>
        </w:tc>
      </w:tr>
    </w:tbl>
    <w:p>
      <w:pPr>
        <w:spacing w:after="0" w:line="108" w:lineRule="exact"/>
        <w:rPr>
          <w:sz w:val="20"/>
          <w:szCs w:val="20"/>
          <w:color w:val="auto"/>
        </w:rPr>
      </w:pPr>
    </w:p>
    <w:p>
      <w:pPr>
        <w:ind w:left="980" w:right="360" w:hanging="545"/>
        <w:spacing w:after="0" w:line="271" w:lineRule="auto"/>
        <w:tabs>
          <w:tab w:leader="none" w:pos="9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For purposes of this Section 2(d), the “fair market value of Warrant Share on the date of net exercise” shall mean with respect to each Warrant Share:</w:t>
      </w:r>
    </w:p>
    <w:p>
      <w:pPr>
        <w:sectPr>
          <w:pgSz w:w="11900" w:h="16838" w:orient="portrait"/>
          <w:cols w:equalWidth="0" w:num="1">
            <w:col w:w="10840"/>
          </w:cols>
          <w:pgMar w:left="480" w:top="268" w:right="579" w:bottom="1440" w:gutter="0" w:footer="0" w:header="0"/>
        </w:sectPr>
      </w:pPr>
    </w:p>
    <w:bookmarkStart w:id="465" w:name="page466"/>
    <w:bookmarkEnd w:id="465"/>
    <w:p>
      <w:pPr>
        <w:ind w:left="433" w:right="20" w:hanging="433"/>
        <w:spacing w:after="0" w:line="281" w:lineRule="auto"/>
        <w:tabs>
          <w:tab w:leader="none" w:pos="433" w:val="left"/>
        </w:tabs>
        <w:numPr>
          <w:ilvl w:val="0"/>
          <w:numId w:val="4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if the exercise is in connection with consummation of the sale of the securities of the Company (or an affiliate (as defined in Rule 405 under the Securities Act) thereof) pursuant to a registration statement filed by the Company (or an affiliate thereof) under the Securities Act), in connection with a firm commitment underwritten offering to the general public (an “</w:t>
      </w:r>
      <w:r>
        <w:rPr>
          <w:rFonts w:ascii="Arial" w:cs="Arial" w:eastAsia="Arial" w:hAnsi="Arial"/>
          <w:sz w:val="16"/>
          <w:szCs w:val="16"/>
          <w:u w:val="single" w:color="auto"/>
          <w:color w:val="auto"/>
        </w:rPr>
        <w:t>IPO</w:t>
      </w:r>
      <w:r>
        <w:rPr>
          <w:rFonts w:ascii="Arial" w:cs="Arial" w:eastAsia="Arial" w:hAnsi="Arial"/>
          <w:sz w:val="16"/>
          <w:szCs w:val="16"/>
          <w:color w:val="auto"/>
        </w:rPr>
        <w:t>”),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 or (b) if this Warrant is exercised following the IPO, then the Fair Market Value shall equal the average of the closing prices of the Company’s Ordinary Share, as reported on the principal stock exchange on which the Company’s shares are traded at such time for the thirty (30) consecutive trading days immediately preceding the exercise of the Warrant; or</w:t>
      </w:r>
    </w:p>
    <w:p>
      <w:pPr>
        <w:spacing w:after="0" w:line="2" w:lineRule="exact"/>
        <w:rPr>
          <w:rFonts w:ascii="Arial" w:cs="Arial" w:eastAsia="Arial" w:hAnsi="Arial"/>
          <w:sz w:val="16"/>
          <w:szCs w:val="16"/>
          <w:color w:val="auto"/>
        </w:rPr>
      </w:pPr>
    </w:p>
    <w:p>
      <w:pPr>
        <w:ind w:left="433" w:right="60" w:hanging="5"/>
        <w:spacing w:after="0" w:line="256" w:lineRule="auto"/>
        <w:tabs>
          <w:tab w:leader="none" w:pos="675" w:val="left"/>
        </w:tabs>
        <w:numPr>
          <w:ilvl w:val="2"/>
          <w:numId w:val="427"/>
        </w:numPr>
        <w:rPr>
          <w:rFonts w:ascii="Arial" w:cs="Arial" w:eastAsia="Arial" w:hAnsi="Arial"/>
          <w:sz w:val="18"/>
          <w:szCs w:val="18"/>
          <w:color w:val="auto"/>
        </w:rPr>
      </w:pPr>
      <w:r>
        <w:rPr>
          <w:rFonts w:ascii="Arial" w:cs="Arial" w:eastAsia="Arial" w:hAnsi="Arial"/>
          <w:sz w:val="18"/>
          <w:szCs w:val="18"/>
          <w:color w:val="auto"/>
        </w:rPr>
        <w:t>if this Warrant is exercised in connection with a Merger and Acquisition or a Liquidation Event - the price per Warrant Share paid or otherwise distributed in such transaction or other event;</w:t>
      </w:r>
    </w:p>
    <w:p>
      <w:pPr>
        <w:spacing w:after="0" w:line="214" w:lineRule="exact"/>
        <w:rPr>
          <w:rFonts w:ascii="Arial" w:cs="Arial" w:eastAsia="Arial" w:hAnsi="Arial"/>
          <w:sz w:val="18"/>
          <w:szCs w:val="18"/>
          <w:color w:val="auto"/>
        </w:rPr>
      </w:pPr>
    </w:p>
    <w:p>
      <w:pPr>
        <w:ind w:left="433" w:right="40" w:hanging="433"/>
        <w:spacing w:after="0" w:line="293" w:lineRule="auto"/>
        <w:tabs>
          <w:tab w:leader="none" w:pos="43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if (A) is not applicable, the fair market value of Warrant Share shall be at the per share valuation as determined by an independent third-party valuation firm within the prior twelve (12) months approved in good faith by the Company’s Board of Directors (the “Board”), unless the Company is at such time subject to a consolidation or merger of the Company with or into another corporation (other than a consolidation or merger in which the Company is the surviving entity), or any transfer of all or substantially all of the assets of the Company, in which case the fair market value of Warrant Share shall be deemed to be the value received by the holders of Ordinary Shares pursuant to such acquisition.</w:t>
      </w:r>
    </w:p>
    <w:p>
      <w:pPr>
        <w:spacing w:after="0" w:line="63" w:lineRule="exact"/>
        <w:rPr>
          <w:rFonts w:ascii="Arial" w:cs="Arial" w:eastAsia="Arial" w:hAnsi="Arial"/>
          <w:sz w:val="16"/>
          <w:szCs w:val="16"/>
          <w:color w:val="auto"/>
        </w:rPr>
      </w:pPr>
    </w:p>
    <w:p>
      <w:pPr>
        <w:ind w:left="753" w:right="140" w:hanging="539"/>
        <w:spacing w:after="0" w:line="291" w:lineRule="auto"/>
        <w:tabs>
          <w:tab w:leader="none" w:pos="753" w:val="left"/>
        </w:tabs>
        <w:numPr>
          <w:ilvl w:val="1"/>
          <w:numId w:val="42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Upon exercise of the Warrant, and as a condition of such exercise, the Registered Holder shall become (if not already)</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that certain Third Amended and Restated Investors’ Rights Agreement, dated March 22, 2021, by and among the Company and the other parties named therein, as amended from time to time, a true and correct copy of which has been provided to the Registered Holder (the “</w:t>
      </w:r>
      <w:r>
        <w:rPr>
          <w:rFonts w:ascii="Arial" w:cs="Arial" w:eastAsia="Arial" w:hAnsi="Arial"/>
          <w:sz w:val="16"/>
          <w:szCs w:val="16"/>
          <w:u w:val="single" w:color="auto"/>
          <w:color w:val="auto"/>
        </w:rPr>
        <w:t>Investors’ Rights Agreement</w:t>
      </w:r>
      <w:r>
        <w:rPr>
          <w:rFonts w:ascii="Arial" w:cs="Arial" w:eastAsia="Arial" w:hAnsi="Arial"/>
          <w:sz w:val="16"/>
          <w:szCs w:val="16"/>
          <w:color w:val="auto"/>
        </w:rPr>
        <w:t xml:space="preserve">”), by delivering a joinder in the form appended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56" w:lineRule="exact"/>
        <w:rPr>
          <w:rFonts w:ascii="Arial" w:cs="Arial" w:eastAsia="Arial" w:hAnsi="Arial"/>
          <w:sz w:val="16"/>
          <w:szCs w:val="16"/>
          <w:b w:val="1"/>
          <w:bCs w:val="1"/>
          <w:u w:val="single" w:color="auto"/>
          <w:color w:val="auto"/>
        </w:rPr>
      </w:pPr>
    </w:p>
    <w:p>
      <w:pPr>
        <w:ind w:left="913" w:hanging="267"/>
        <w:spacing w:after="0"/>
        <w:tabs>
          <w:tab w:leader="none" w:pos="913" w:val="left"/>
        </w:tabs>
        <w:numPr>
          <w:ilvl w:val="3"/>
          <w:numId w:val="427"/>
        </w:numPr>
        <w:rPr>
          <w:rFonts w:ascii="Arial" w:cs="Arial" w:eastAsia="Arial" w:hAnsi="Arial"/>
          <w:sz w:val="18"/>
          <w:szCs w:val="18"/>
          <w:color w:val="auto"/>
        </w:rPr>
      </w:pPr>
      <w:r>
        <w:rPr>
          <w:rFonts w:ascii="Arial" w:cs="Arial" w:eastAsia="Arial" w:hAnsi="Arial"/>
          <w:sz w:val="18"/>
          <w:szCs w:val="18"/>
          <w:color w:val="auto"/>
        </w:rPr>
        <w:t>certificate or certificates for the number of Warrant Shares to which such Registered Holder shall be entitled;</w:t>
      </w:r>
    </w:p>
    <w:p>
      <w:pPr>
        <w:spacing w:after="0" w:line="113" w:lineRule="exact"/>
        <w:rPr>
          <w:rFonts w:ascii="Arial" w:cs="Arial" w:eastAsia="Arial" w:hAnsi="Arial"/>
          <w:sz w:val="18"/>
          <w:szCs w:val="18"/>
          <w:color w:val="auto"/>
        </w:rPr>
      </w:pPr>
    </w:p>
    <w:p>
      <w:pPr>
        <w:ind w:left="973" w:hanging="327"/>
        <w:spacing w:after="0"/>
        <w:tabs>
          <w:tab w:leader="none" w:pos="973" w:val="left"/>
        </w:tabs>
        <w:numPr>
          <w:ilvl w:val="3"/>
          <w:numId w:val="427"/>
        </w:numPr>
        <w:rPr>
          <w:rFonts w:ascii="Arial" w:cs="Arial" w:eastAsia="Arial" w:hAnsi="Arial"/>
          <w:sz w:val="18"/>
          <w:szCs w:val="18"/>
          <w:color w:val="auto"/>
        </w:rPr>
      </w:pPr>
      <w:r>
        <w:rPr>
          <w:rFonts w:ascii="Arial" w:cs="Arial" w:eastAsia="Arial" w:hAnsi="Arial"/>
          <w:sz w:val="18"/>
          <w:szCs w:val="18"/>
          <w:color w:val="auto"/>
        </w:rPr>
        <w:t>in case such exercise is in part only, a Replacement Exhibit as provided in Section 2(c); and</w:t>
      </w:r>
    </w:p>
    <w:p>
      <w:pPr>
        <w:spacing w:after="0" w:line="113" w:lineRule="exact"/>
        <w:rPr>
          <w:rFonts w:ascii="Arial" w:cs="Arial" w:eastAsia="Arial" w:hAnsi="Arial"/>
          <w:sz w:val="18"/>
          <w:szCs w:val="18"/>
          <w:color w:val="auto"/>
        </w:rPr>
      </w:pPr>
    </w:p>
    <w:p>
      <w:pPr>
        <w:ind w:left="1013" w:hanging="367"/>
        <w:spacing w:after="0"/>
        <w:tabs>
          <w:tab w:leader="none" w:pos="1013" w:val="left"/>
        </w:tabs>
        <w:numPr>
          <w:ilvl w:val="3"/>
          <w:numId w:val="427"/>
        </w:numPr>
        <w:rPr>
          <w:rFonts w:ascii="Arial" w:cs="Arial" w:eastAsia="Arial" w:hAnsi="Arial"/>
          <w:sz w:val="18"/>
          <w:szCs w:val="18"/>
          <w:color w:val="auto"/>
        </w:rPr>
      </w:pPr>
      <w:r>
        <w:rPr>
          <w:rFonts w:ascii="Arial" w:cs="Arial" w:eastAsia="Arial" w:hAnsi="Arial"/>
          <w:sz w:val="18"/>
          <w:szCs w:val="18"/>
          <w:color w:val="auto"/>
        </w:rPr>
        <w:t>if applicable, a check payable to the Registered Holder for any cash amounts payable as described in Section 12.</w:t>
      </w:r>
    </w:p>
    <w:p>
      <w:pPr>
        <w:spacing w:after="0" w:line="123" w:lineRule="exact"/>
        <w:rPr>
          <w:rFonts w:ascii="Arial" w:cs="Arial" w:eastAsia="Arial" w:hAnsi="Arial"/>
          <w:sz w:val="18"/>
          <w:szCs w:val="18"/>
          <w:color w:val="auto"/>
        </w:rPr>
      </w:pPr>
    </w:p>
    <w:p>
      <w:pPr>
        <w:ind w:left="753" w:hanging="539"/>
        <w:spacing w:after="0" w:line="273" w:lineRule="auto"/>
        <w:tabs>
          <w:tab w:leader="none" w:pos="753" w:val="left"/>
        </w:tabs>
        <w:numPr>
          <w:ilvl w:val="1"/>
          <w:numId w:val="42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Automatic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Warrant remains outstanding as of the Expiration Date then, at such time, this Warrant shall, automatically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78" w:lineRule="exact"/>
        <w:rPr>
          <w:rFonts w:ascii="Arial" w:cs="Arial" w:eastAsia="Arial" w:hAnsi="Arial"/>
          <w:sz w:val="17"/>
          <w:szCs w:val="17"/>
          <w:b w:val="1"/>
          <w:bCs w:val="1"/>
          <w:u w:val="single" w:color="auto"/>
          <w:color w:val="auto"/>
        </w:rPr>
      </w:pPr>
    </w:p>
    <w:p>
      <w:pPr>
        <w:ind w:left="753" w:hanging="539"/>
        <w:spacing w:after="0" w:line="257" w:lineRule="auto"/>
        <w:tabs>
          <w:tab w:leader="none" w:pos="753" w:val="left"/>
        </w:tabs>
        <w:numPr>
          <w:ilvl w:val="1"/>
          <w:numId w:val="42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Effective Time of Exercise</w:t>
      </w:r>
      <w:r>
        <w:rPr>
          <w:rFonts w:ascii="Arial" w:cs="Arial" w:eastAsia="Arial" w:hAnsi="Arial"/>
          <w:sz w:val="18"/>
          <w:szCs w:val="18"/>
          <w:color w:val="auto"/>
        </w:rPr>
        <w:t>. Each exercise of this Warrant shall be deemed to have been made upon the satisfaction of all of the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At such time, the person or persons in whose name or names any certificates for Warrant Shares shall be issuable upon such exercise as provided herein shall be deemed to have become the holder or holders of record of the Warrant Shares represented by such certificates.</w:t>
      </w:r>
    </w:p>
    <w:p>
      <w:pPr>
        <w:spacing w:after="0" w:line="89" w:lineRule="exact"/>
        <w:rPr>
          <w:rFonts w:ascii="Arial" w:cs="Arial" w:eastAsia="Arial" w:hAnsi="Arial"/>
          <w:sz w:val="18"/>
          <w:szCs w:val="18"/>
          <w:b w:val="1"/>
          <w:bCs w:val="1"/>
          <w:u w:val="single" w:color="auto"/>
          <w:color w:val="auto"/>
        </w:rPr>
      </w:pPr>
    </w:p>
    <w:p>
      <w:pPr>
        <w:ind w:left="753" w:right="100" w:hanging="539"/>
        <w:spacing w:after="0" w:line="257" w:lineRule="auto"/>
        <w:tabs>
          <w:tab w:leader="none" w:pos="753" w:val="left"/>
        </w:tabs>
        <w:numPr>
          <w:ilvl w:val="1"/>
          <w:numId w:val="42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issuance of the Warrant, and the Warrant Shares upon the exercise of the Warrant, shall be made without the deduction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of any taxes, levies, assessments, imposts, duties or similar charges imposed by any taxing authority (“</w:t>
      </w:r>
      <w:r>
        <w:rPr>
          <w:rFonts w:ascii="Arial" w:cs="Arial" w:eastAsia="Arial" w:hAnsi="Arial"/>
          <w:sz w:val="18"/>
          <w:szCs w:val="18"/>
          <w:u w:val="single" w:color="auto"/>
          <w:color w:val="auto"/>
        </w:rPr>
        <w:t>Taxes</w:t>
      </w:r>
      <w:r>
        <w:rPr>
          <w:rFonts w:ascii="Arial" w:cs="Arial" w:eastAsia="Arial" w:hAnsi="Arial"/>
          <w:sz w:val="18"/>
          <w:szCs w:val="18"/>
          <w:color w:val="auto"/>
        </w:rPr>
        <w:t>”), unless otherwise required by law. If such deduction or withholding is so required, the Company shall pay the amount of such Taxes so imposed to the applicable</w:t>
      </w:r>
    </w:p>
    <w:p>
      <w:pPr>
        <w:sectPr>
          <w:pgSz w:w="11900" w:h="16838" w:orient="portrait"/>
          <w:cols w:equalWidth="0" w:num="1">
            <w:col w:w="10913"/>
          </w:cols>
          <w:pgMar w:left="487" w:top="272" w:right="499" w:bottom="1440" w:gutter="0" w:footer="0" w:header="0"/>
        </w:sectPr>
      </w:pPr>
    </w:p>
    <w:bookmarkStart w:id="466" w:name="page467"/>
    <w:bookmarkEnd w:id="466"/>
    <w:p>
      <w:pPr>
        <w:ind w:left="760" w:right="20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taxing authority, and shall pay such additional amounts to the Registered Holder so that the Registered Holder receives the net amount after such deduction or withholding that it would have received had no such deduction or withholding been imposed.</w:t>
      </w:r>
    </w:p>
    <w:p>
      <w:pPr>
        <w:spacing w:after="0" w:line="41" w:lineRule="exact"/>
        <w:rPr>
          <w:sz w:val="20"/>
          <w:szCs w:val="20"/>
          <w:color w:val="auto"/>
        </w:rPr>
      </w:pPr>
    </w:p>
    <w:p>
      <w:pPr>
        <w:ind w:left="180" w:hanging="173"/>
        <w:spacing w:after="0"/>
        <w:tabs>
          <w:tab w:leader="none" w:pos="180"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100" w:firstLine="444"/>
        <w:spacing w:after="0" w:line="261" w:lineRule="auto"/>
        <w:tabs>
          <w:tab w:leader="none" w:pos="738"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Splits and Dividends</w:t>
      </w:r>
      <w:r>
        <w:rPr>
          <w:rFonts w:ascii="Arial" w:cs="Arial" w:eastAsia="Arial" w:hAnsi="Arial"/>
          <w:sz w:val="18"/>
          <w:szCs w:val="18"/>
          <w:color w:val="auto"/>
        </w:rPr>
        <w:t>. The Purchase Price and the number of Warrant Shares for which this Warrant remains exercisable shall each be</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proportionally adjusted to reflect any share dividend, share split, reverse share split or other similar event affecting the number of outstanding Warrant Shares.</w:t>
      </w:r>
    </w:p>
    <w:p>
      <w:pPr>
        <w:spacing w:after="0" w:line="180" w:lineRule="exact"/>
        <w:rPr>
          <w:rFonts w:ascii="Arial" w:cs="Arial" w:eastAsia="Arial" w:hAnsi="Arial"/>
          <w:sz w:val="18"/>
          <w:szCs w:val="18"/>
          <w:color w:val="auto"/>
        </w:rPr>
      </w:pPr>
    </w:p>
    <w:p>
      <w:pPr>
        <w:ind w:right="600" w:firstLine="444"/>
        <w:spacing w:after="0" w:line="290" w:lineRule="auto"/>
        <w:tabs>
          <w:tab w:leader="none" w:pos="748"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Other Dividends and Distributions</w:t>
      </w:r>
      <w:r>
        <w:rPr>
          <w:rFonts w:ascii="Arial" w:cs="Arial" w:eastAsia="Arial" w:hAnsi="Arial"/>
          <w:sz w:val="16"/>
          <w:szCs w:val="16"/>
          <w:color w:val="auto"/>
        </w:rPr>
        <w:t>. In case the Company shall make or issue, or shall fix a record date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eligible holders entitled to receive, a dividend or other distribution payable with respect to the Warrant Shares that is payable in</w:t>
      </w: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(a) securities of the Company (other than issuances with respect to which adjustment is made under Section 3(a) or Section 3(c)) or (b) assets (other than cash) which dividend or distribution is actually made (each, a “</w:t>
      </w:r>
      <w:r>
        <w:rPr>
          <w:rFonts w:ascii="Arial" w:cs="Arial" w:eastAsia="Arial" w:hAnsi="Arial"/>
          <w:sz w:val="18"/>
          <w:szCs w:val="18"/>
          <w:u w:val="single" w:color="auto"/>
          <w:color w:val="auto"/>
        </w:rPr>
        <w:t>Dividend Event</w:t>
      </w:r>
      <w:r>
        <w:rPr>
          <w:rFonts w:ascii="Arial" w:cs="Arial" w:eastAsia="Arial" w:hAnsi="Arial"/>
          <w:sz w:val="18"/>
          <w:szCs w:val="18"/>
          <w:color w:val="auto"/>
        </w:rPr>
        <w:t>”), then, and in each such case, Registered Holder, upon exercise of this Warrant at any time after such Dividend Event, shall receive, in addition to the Warrant Shares, the securities or such other assets of the Company that would have been payable to Registered Holder if Registered Holder had completed such exercise of this Warrant immediately prior to such Dividend Event.</w:t>
      </w:r>
    </w:p>
    <w:p>
      <w:pPr>
        <w:spacing w:after="0" w:line="188" w:lineRule="exact"/>
        <w:rPr>
          <w:rFonts w:ascii="Arial" w:cs="Arial" w:eastAsia="Arial" w:hAnsi="Arial"/>
          <w:sz w:val="16"/>
          <w:szCs w:val="16"/>
          <w:color w:val="auto"/>
        </w:rPr>
      </w:pPr>
    </w:p>
    <w:p>
      <w:pPr>
        <w:ind w:firstLine="444"/>
        <w:spacing w:after="0" w:line="285" w:lineRule="auto"/>
        <w:tabs>
          <w:tab w:leader="none" w:pos="738"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Reorganization, Consolidation, Merger</w:t>
      </w:r>
      <w:r>
        <w:rPr>
          <w:rFonts w:ascii="Arial" w:cs="Arial" w:eastAsia="Arial" w:hAnsi="Arial"/>
          <w:sz w:val="16"/>
          <w:szCs w:val="16"/>
          <w:color w:val="auto"/>
        </w:rPr>
        <w:t>. In case of any recapitalization or reorganization of the Company or in case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consolidate with or merge into one or more other corporations or entities which results in a change of the Warrant Shares (each,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then, and in each such case, Registered Holder, upon the exercise of this Warrant after such Reorganization Event, shall be entitled to receive, in lieu of the shares or other securities and property that Registered Holder, would have been entitled to receive upon such exercise prior to such Reorganization Event, the shares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or other securities or property receivable upon the exercise of this Warrant after the consummation of such Reorganization Event.</w:t>
      </w:r>
    </w:p>
    <w:p>
      <w:pPr>
        <w:spacing w:after="0" w:line="168" w:lineRule="exact"/>
        <w:rPr>
          <w:rFonts w:ascii="Arial" w:cs="Arial" w:eastAsia="Arial" w:hAnsi="Arial"/>
          <w:sz w:val="16"/>
          <w:szCs w:val="16"/>
          <w:color w:val="auto"/>
        </w:rPr>
      </w:pPr>
    </w:p>
    <w:p>
      <w:pPr>
        <w:ind w:right="240" w:firstLine="444"/>
        <w:spacing w:after="0" w:line="275" w:lineRule="auto"/>
        <w:tabs>
          <w:tab w:leader="none" w:pos="748"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 Necessary</w:t>
      </w:r>
      <w:r>
        <w:rPr>
          <w:rFonts w:ascii="Arial" w:cs="Arial" w:eastAsia="Arial" w:hAnsi="Arial"/>
          <w:sz w:val="18"/>
          <w:szCs w:val="18"/>
          <w:color w:val="auto"/>
        </w:rPr>
        <w:t>. The form of this Warrant need not be changed because of any adjustment in the Purchase Price or in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Shares issuable upon its exercise.</w:t>
      </w:r>
    </w:p>
    <w:p>
      <w:pPr>
        <w:spacing w:after="0" w:line="167" w:lineRule="exact"/>
        <w:rPr>
          <w:rFonts w:ascii="Arial" w:cs="Arial" w:eastAsia="Arial" w:hAnsi="Arial"/>
          <w:sz w:val="18"/>
          <w:szCs w:val="18"/>
          <w:color w:val="auto"/>
        </w:rPr>
      </w:pPr>
    </w:p>
    <w:p>
      <w:pPr>
        <w:ind w:right="20" w:firstLine="444"/>
        <w:spacing w:after="0" w:line="269" w:lineRule="auto"/>
        <w:tabs>
          <w:tab w:leader="none" w:pos="738" w:val="left"/>
        </w:tabs>
        <w:numPr>
          <w:ilvl w:val="1"/>
          <w:numId w:val="42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The Company shall provide prompt notice to the Registered Holder, using commercially reasonable efforts to provide such notice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5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shares as the Warrant Shares. The Company will also provide information requested by Registered Holder that is reasonably necessary to enable Registered Holder to comply with Registered Holder’s accounting or reporting requirements.</w:t>
      </w:r>
    </w:p>
    <w:p>
      <w:pPr>
        <w:spacing w:after="0" w:line="178" w:lineRule="exact"/>
        <w:rPr>
          <w:rFonts w:ascii="Arial" w:cs="Arial" w:eastAsia="Arial" w:hAnsi="Arial"/>
          <w:sz w:val="17"/>
          <w:szCs w:val="17"/>
          <w:color w:val="auto"/>
        </w:rPr>
      </w:pPr>
    </w:p>
    <w:p>
      <w:pPr>
        <w:ind w:left="320" w:hanging="313"/>
        <w:spacing w:after="0"/>
        <w:tabs>
          <w:tab w:leader="none" w:pos="320"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20" w:firstLine="444"/>
        <w:spacing w:after="0" w:line="287" w:lineRule="auto"/>
        <w:tabs>
          <w:tab w:leader="none" w:pos="738"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color w:val="auto"/>
        </w:rPr>
        <w:t>. Each holder of this Warrant acknowledges that, as of the date hereof, none of the Company’s securities (including this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and the Warrant Shares) have been registered under the Securities Act, and agrees not to sell, pledge, distribute, offer for sale, transfer or otherwise dispose of this Warrant or any Warrant Shares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Shares issued upon the exercise of this Warrant (and any securities issued by the Company upon conversion or exchange thereof) shall bear a legend substantially to the foregoing effect. The Warrant Shares issuable pursuant to this Warrant shall have the registration rights described in Section 7 hereto.</w:t>
      </w:r>
    </w:p>
    <w:p>
      <w:pPr>
        <w:sectPr>
          <w:pgSz w:w="11900" w:h="16838" w:orient="portrait"/>
          <w:cols w:equalWidth="0" w:num="1">
            <w:col w:w="10920"/>
          </w:cols>
          <w:pgMar w:left="480" w:top="272" w:right="499" w:bottom="1440" w:gutter="0" w:footer="0" w:header="0"/>
        </w:sectPr>
      </w:pPr>
    </w:p>
    <w:bookmarkStart w:id="467" w:name="page468"/>
    <w:bookmarkEnd w:id="467"/>
    <w:p>
      <w:pPr>
        <w:ind w:left="-7" w:firstLine="444"/>
        <w:spacing w:after="0" w:line="257" w:lineRule="auto"/>
        <w:tabs>
          <w:tab w:leader="none" w:pos="741"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Transferability</w:t>
      </w:r>
      <w:r>
        <w:rPr>
          <w:rFonts w:ascii="Arial" w:cs="Arial" w:eastAsia="Arial" w:hAnsi="Arial"/>
          <w:sz w:val="18"/>
          <w:szCs w:val="18"/>
          <w:color w:val="auto"/>
        </w:rPr>
        <w:t>. Subject to the provisions of Section 4(a) hereof, this Warrant may be transferred and assigned and all rights hereunder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transferable, in whole or in part, to an affiliate (as defined in Rule 405 under the Securities Act) of the Registered Holder upon surrender of this Warrant with a properly executed assignment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at the principal office of the Company and subject to the provisions of Section 4.a. hereof.</w:t>
      </w:r>
    </w:p>
    <w:p>
      <w:pPr>
        <w:spacing w:after="0" w:line="183" w:lineRule="exact"/>
        <w:rPr>
          <w:rFonts w:ascii="Arial" w:cs="Arial" w:eastAsia="Arial" w:hAnsi="Arial"/>
          <w:sz w:val="18"/>
          <w:szCs w:val="18"/>
          <w:color w:val="auto"/>
        </w:rPr>
      </w:pPr>
    </w:p>
    <w:p>
      <w:pPr>
        <w:jc w:val="both"/>
        <w:ind w:left="-7" w:right="180" w:firstLine="444"/>
        <w:spacing w:after="0" w:line="257" w:lineRule="auto"/>
        <w:tabs>
          <w:tab w:leader="none" w:pos="731"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 Register</w:t>
      </w:r>
      <w:r>
        <w:rPr>
          <w:rFonts w:ascii="Arial" w:cs="Arial" w:eastAsia="Arial" w:hAnsi="Arial"/>
          <w:sz w:val="18"/>
          <w:szCs w:val="18"/>
          <w:color w:val="auto"/>
        </w:rPr>
        <w:t>. The Company will maintain a register containing the names and addresses of the Registered Holder(s) of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Until 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183" w:lineRule="exact"/>
        <w:rPr>
          <w:rFonts w:ascii="Arial" w:cs="Arial" w:eastAsia="Arial" w:hAnsi="Arial"/>
          <w:sz w:val="18"/>
          <w:szCs w:val="18"/>
          <w:color w:val="auto"/>
        </w:rPr>
      </w:pPr>
    </w:p>
    <w:p>
      <w:pPr>
        <w:ind w:left="353" w:hanging="353"/>
        <w:spacing w:after="0"/>
        <w:tabs>
          <w:tab w:leader="none" w:pos="353"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Registered Holder</w:t>
      </w:r>
      <w:r>
        <w:rPr>
          <w:rFonts w:ascii="Arial" w:cs="Arial" w:eastAsia="Arial" w:hAnsi="Arial"/>
          <w:sz w:val="17"/>
          <w:szCs w:val="17"/>
          <w:color w:val="auto"/>
        </w:rPr>
        <w:t>. The Registered Holder hereby represents and warrants to the Company that:</w:t>
      </w:r>
    </w:p>
    <w:p>
      <w:pPr>
        <w:spacing w:after="0" w:line="232" w:lineRule="exact"/>
        <w:rPr>
          <w:rFonts w:ascii="Arial" w:cs="Arial" w:eastAsia="Arial" w:hAnsi="Arial"/>
          <w:sz w:val="17"/>
          <w:szCs w:val="17"/>
          <w:color w:val="auto"/>
        </w:rPr>
      </w:pPr>
    </w:p>
    <w:p>
      <w:pPr>
        <w:ind w:left="-7" w:right="40" w:firstLine="444"/>
        <w:spacing w:after="0" w:line="255" w:lineRule="auto"/>
        <w:tabs>
          <w:tab w:leader="none" w:pos="731"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Registered Holder has full power and authority to enter into this Warrant. The Warrant, when executed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84" w:lineRule="exact"/>
        <w:rPr>
          <w:rFonts w:ascii="Arial" w:cs="Arial" w:eastAsia="Arial" w:hAnsi="Arial"/>
          <w:sz w:val="18"/>
          <w:szCs w:val="18"/>
          <w:color w:val="auto"/>
        </w:rPr>
      </w:pPr>
    </w:p>
    <w:p>
      <w:pPr>
        <w:ind w:left="-7" w:right="40" w:firstLine="444"/>
        <w:spacing w:after="0" w:line="255" w:lineRule="auto"/>
        <w:tabs>
          <w:tab w:leader="none" w:pos="741"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Entirely for Own Account</w:t>
      </w:r>
      <w:r>
        <w:rPr>
          <w:rFonts w:ascii="Arial" w:cs="Arial" w:eastAsia="Arial" w:hAnsi="Arial"/>
          <w:sz w:val="18"/>
          <w:szCs w:val="18"/>
          <w:color w:val="auto"/>
        </w:rPr>
        <w:t>. This Warrant is issued to the Registered Holder in reliance upon the Registered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to the Company, which by the Registered Holder’s acceptance of this Warrant, the Registered Holder hereby confirms, that the Warrant to be acquired by the Registered Holder and the Warrant Shares (and any securities issued by the Company upon conversion or exchange thereof)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will be acquired for investment for the Registered Holder’s own account, not as a nominee or agent, and not with a view to the resale or distribution of any part thereof.</w:t>
      </w:r>
    </w:p>
    <w:p>
      <w:pPr>
        <w:spacing w:after="0" w:line="184" w:lineRule="exact"/>
        <w:rPr>
          <w:rFonts w:ascii="Arial" w:cs="Arial" w:eastAsia="Arial" w:hAnsi="Arial"/>
          <w:sz w:val="18"/>
          <w:szCs w:val="18"/>
          <w:color w:val="auto"/>
        </w:rPr>
      </w:pPr>
    </w:p>
    <w:p>
      <w:pPr>
        <w:ind w:left="-7" w:right="80" w:firstLine="444"/>
        <w:spacing w:after="0" w:line="268" w:lineRule="auto"/>
        <w:tabs>
          <w:tab w:leader="none" w:pos="731" w:val="left"/>
        </w:tabs>
        <w:numPr>
          <w:ilvl w:val="1"/>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The Registered Holder understands that the Securities have not been, and, other than as provided herein,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registered under the Securities Act, by reason of a specific exemption from the registration provisions of the Securities Act which depends upon, among other things, the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179" w:lineRule="exact"/>
        <w:rPr>
          <w:rFonts w:ascii="Arial" w:cs="Arial" w:eastAsia="Arial" w:hAnsi="Arial"/>
          <w:sz w:val="17"/>
          <w:szCs w:val="17"/>
          <w:color w:val="auto"/>
        </w:rPr>
      </w:pPr>
    </w:p>
    <w:p>
      <w:pPr>
        <w:ind w:left="-7" w:right="480" w:firstLine="444"/>
        <w:spacing w:after="0" w:line="275" w:lineRule="auto"/>
        <w:tabs>
          <w:tab w:leader="none" w:pos="741"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color w:val="auto"/>
        </w:rPr>
        <w:t>. The Registered Holder is an accredited investor as defined in Rule 501(a) of Regulation D promulgated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7" w:lineRule="exact"/>
        <w:rPr>
          <w:rFonts w:ascii="Arial" w:cs="Arial" w:eastAsia="Arial" w:hAnsi="Arial"/>
          <w:sz w:val="18"/>
          <w:szCs w:val="18"/>
          <w:color w:val="auto"/>
        </w:rPr>
      </w:pPr>
    </w:p>
    <w:p>
      <w:pPr>
        <w:ind w:left="-7" w:right="400" w:firstLine="444"/>
        <w:spacing w:after="0" w:line="309" w:lineRule="auto"/>
        <w:tabs>
          <w:tab w:leader="none" w:pos="731"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color w:val="auto"/>
        </w:rPr>
        <w:t>. The Registered Holder agrees that, in connection with an IPO, the Warrant Shares shall be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“lock-up” provisions in Section 1.16 of the Investors’ Rights Agreement, and the Registered Holder agrees to execute an agreement reflecting Section 1.16 of the Investors’ Rights Agreement as may be requested by the Company or the managing underwriters at the time of an IPO.</w:t>
      </w:r>
    </w:p>
    <w:p>
      <w:pPr>
        <w:spacing w:after="0" w:line="145" w:lineRule="exact"/>
        <w:rPr>
          <w:rFonts w:ascii="Arial" w:cs="Arial" w:eastAsia="Arial" w:hAnsi="Arial"/>
          <w:sz w:val="16"/>
          <w:szCs w:val="16"/>
          <w:color w:val="auto"/>
        </w:rPr>
      </w:pPr>
    </w:p>
    <w:p>
      <w:pPr>
        <w:ind w:left="313" w:hanging="313"/>
        <w:spacing w:after="0"/>
        <w:tabs>
          <w:tab w:leader="none" w:pos="313" w:val="left"/>
        </w:tabs>
        <w:numPr>
          <w:ilvl w:val="0"/>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Warranties and Covenants of the Company</w:t>
      </w:r>
      <w:r>
        <w:rPr>
          <w:rFonts w:ascii="Arial" w:cs="Arial" w:eastAsia="Arial" w:hAnsi="Arial"/>
          <w:sz w:val="16"/>
          <w:szCs w:val="16"/>
          <w:color w:val="auto"/>
        </w:rPr>
        <w:t>. The Company hereby represents and warrants to the Registered Holder that:</w:t>
      </w:r>
    </w:p>
    <w:p>
      <w:pPr>
        <w:spacing w:after="0" w:line="243" w:lineRule="exact"/>
        <w:rPr>
          <w:rFonts w:ascii="Arial" w:cs="Arial" w:eastAsia="Arial" w:hAnsi="Arial"/>
          <w:sz w:val="16"/>
          <w:szCs w:val="16"/>
          <w:color w:val="auto"/>
        </w:rPr>
      </w:pPr>
    </w:p>
    <w:p>
      <w:pPr>
        <w:ind w:left="-7" w:right="120" w:firstLine="444"/>
        <w:spacing w:after="0" w:line="255" w:lineRule="auto"/>
        <w:tabs>
          <w:tab w:leader="none" w:pos="731"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Power</w:t>
      </w:r>
      <w:r>
        <w:rPr>
          <w:rFonts w:ascii="Arial" w:cs="Arial" w:eastAsia="Arial" w:hAnsi="Arial"/>
          <w:sz w:val="18"/>
          <w:szCs w:val="18"/>
          <w:color w:val="auto"/>
        </w:rPr>
        <w:t>. The Company has full power and authority to execute, deliver and issue this Warrant. The Warrant,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ectPr>
          <w:pgSz w:w="11900" w:h="16838" w:orient="portrait"/>
          <w:cols w:equalWidth="0" w:num="1">
            <w:col w:w="10913"/>
          </w:cols>
          <w:pgMar w:left="487" w:top="268" w:right="499" w:bottom="1440" w:gutter="0" w:footer="0" w:header="0"/>
        </w:sectPr>
      </w:pPr>
    </w:p>
    <w:bookmarkStart w:id="468" w:name="page469"/>
    <w:bookmarkEnd w:id="468"/>
    <w:p>
      <w:pPr>
        <w:ind w:left="-444" w:right="360" w:firstLine="444"/>
        <w:spacing w:after="0" w:line="275" w:lineRule="auto"/>
        <w:tabs>
          <w:tab w:leader="none" w:pos="304"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Authorization</w:t>
      </w:r>
      <w:r>
        <w:rPr>
          <w:rFonts w:ascii="Arial" w:cs="Arial" w:eastAsia="Arial" w:hAnsi="Arial"/>
          <w:sz w:val="18"/>
          <w:szCs w:val="18"/>
          <w:color w:val="auto"/>
        </w:rPr>
        <w:t>. All corporate action on the part of the Company, its directors and shareholders necessary for the authorization,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issuance, delivery and performance by the Company of this Warrant has been taken. </w:t>
      </w:r>
      <w:r>
        <w:rPr>
          <w:rFonts w:ascii="Arial" w:cs="Arial" w:eastAsia="Arial" w:hAnsi="Arial"/>
          <w:sz w:val="15"/>
          <w:szCs w:val="15"/>
          <w:color w:val="auto"/>
        </w:rPr>
        <w:t>1</w:t>
      </w:r>
    </w:p>
    <w:p>
      <w:pPr>
        <w:spacing w:after="0" w:line="167" w:lineRule="exact"/>
        <w:rPr>
          <w:rFonts w:ascii="Arial" w:cs="Arial" w:eastAsia="Arial" w:hAnsi="Arial"/>
          <w:sz w:val="18"/>
          <w:szCs w:val="18"/>
          <w:color w:val="auto"/>
        </w:rPr>
      </w:pPr>
    </w:p>
    <w:p>
      <w:pPr>
        <w:ind w:left="296" w:hanging="296"/>
        <w:spacing w:after="0"/>
        <w:tabs>
          <w:tab w:leader="none" w:pos="296"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The authorized share capital of the Company consisted, immediately prior to the Original Issuance Date, of:</w:t>
      </w:r>
    </w:p>
    <w:p>
      <w:pPr>
        <w:spacing w:after="0" w:line="117" w:lineRule="exact"/>
        <w:rPr>
          <w:rFonts w:ascii="Arial" w:cs="Arial" w:eastAsia="Arial" w:hAnsi="Arial"/>
          <w:sz w:val="18"/>
          <w:szCs w:val="18"/>
          <w:color w:val="auto"/>
        </w:rPr>
      </w:pPr>
    </w:p>
    <w:p>
      <w:pPr>
        <w:ind w:left="-4" w:firstLine="182"/>
        <w:spacing w:after="0" w:line="251" w:lineRule="auto"/>
        <w:tabs>
          <w:tab w:leader="none" w:pos="447" w:val="left"/>
        </w:tabs>
        <w:numPr>
          <w:ilvl w:val="1"/>
          <w:numId w:val="431"/>
        </w:numPr>
        <w:rPr>
          <w:rFonts w:ascii="Arial" w:cs="Arial" w:eastAsia="Arial" w:hAnsi="Arial"/>
          <w:sz w:val="18"/>
          <w:szCs w:val="18"/>
          <w:color w:val="auto"/>
        </w:rPr>
      </w:pPr>
      <w:r>
        <w:rPr>
          <w:rFonts w:ascii="Arial" w:cs="Arial" w:eastAsia="Arial" w:hAnsi="Arial"/>
          <w:sz w:val="18"/>
          <w:szCs w:val="18"/>
          <w:color w:val="auto"/>
        </w:rPr>
        <w:t>5,902,275,000 Ordinary Shares, 21,903,600 shares of which are issued and outstanding; 11,578,800 Series A Preferred Shares, 11,578,500 of which are issued and outstanding; 12,218,400 Series A-1 Preferred Shares, 12,218,400 of which are issued and outstanding; 22,416,600 Series B-1 Preferred Shares, 22,416,600 of which are issued and outstanding; 10,675,200 Series B-2 Preferred Shares, 10,675,200 of which are issued and outstanding; 9,957,600 Series C Preferred Shares, 9,493,200 of which are issued and outstanding; 16,654,800 Series D-1 Preferred Shares, 16,654,800 of which are issued and outstanding; and 14,223,600 Series E Preferred Shares, 14,223,600 of which are issued and outstanding. All of the outstanding shares have been duly authorized, are fully paid and nonassessable and were issued in compliance with all applicable federal and state securities laws.</w:t>
      </w:r>
    </w:p>
    <w:p>
      <w:pPr>
        <w:spacing w:after="0" w:line="89" w:lineRule="exact"/>
        <w:rPr>
          <w:rFonts w:ascii="Arial" w:cs="Arial" w:eastAsia="Arial" w:hAnsi="Arial"/>
          <w:sz w:val="18"/>
          <w:szCs w:val="18"/>
          <w:color w:val="auto"/>
        </w:rPr>
      </w:pPr>
    </w:p>
    <w:p>
      <w:pPr>
        <w:ind w:left="-4" w:right="80" w:firstLine="182"/>
        <w:spacing w:after="0" w:line="255" w:lineRule="auto"/>
        <w:tabs>
          <w:tab w:leader="none" w:pos="493"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Company has reserved 26,113,200 Ordinary Shares for issuance to officers, directors, employees and consultants of the Company pursuant to its equity compensation plans which have been duly adopted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approved by the Company’s shareholders (collectively, the “</w:t>
      </w:r>
      <w:r>
        <w:rPr>
          <w:rFonts w:ascii="Arial" w:cs="Arial" w:eastAsia="Arial" w:hAnsi="Arial"/>
          <w:sz w:val="18"/>
          <w:szCs w:val="18"/>
          <w:u w:val="single" w:color="auto"/>
          <w:color w:val="auto"/>
        </w:rPr>
        <w:t>Incentive Plans</w:t>
      </w:r>
      <w:r>
        <w:rPr>
          <w:rFonts w:ascii="Arial" w:cs="Arial" w:eastAsia="Arial" w:hAnsi="Arial"/>
          <w:sz w:val="18"/>
          <w:szCs w:val="18"/>
          <w:color w:val="auto"/>
        </w:rPr>
        <w:t>”). Of such reserved Ordinary Shares, 12,613,200 Ordinary Shares underline outstanding options.</w:t>
      </w:r>
    </w:p>
    <w:p>
      <w:pPr>
        <w:spacing w:after="0" w:line="83" w:lineRule="exact"/>
        <w:rPr>
          <w:rFonts w:ascii="Arial" w:cs="Arial" w:eastAsia="Arial" w:hAnsi="Arial"/>
          <w:sz w:val="18"/>
          <w:szCs w:val="18"/>
          <w:color w:val="auto"/>
        </w:rPr>
      </w:pPr>
    </w:p>
    <w:p>
      <w:pPr>
        <w:ind w:left="-4" w:right="40" w:firstLine="182"/>
        <w:spacing w:after="0" w:line="272" w:lineRule="auto"/>
        <w:tabs>
          <w:tab w:leader="none" w:pos="546" w:val="left"/>
        </w:tabs>
        <w:numPr>
          <w:ilvl w:val="1"/>
          <w:numId w:val="431"/>
        </w:numPr>
        <w:rPr>
          <w:rFonts w:ascii="Arial" w:cs="Arial" w:eastAsia="Arial" w:hAnsi="Arial"/>
          <w:sz w:val="17"/>
          <w:szCs w:val="17"/>
          <w:color w:val="auto"/>
        </w:rPr>
      </w:pPr>
      <w:r>
        <w:rPr>
          <w:rFonts w:ascii="Arial" w:cs="Arial" w:eastAsia="Arial" w:hAnsi="Arial"/>
          <w:sz w:val="17"/>
          <w:szCs w:val="17"/>
          <w:color w:val="auto"/>
        </w:rPr>
        <w:t>Except (A) for conversion privileges of the Company’s preferred shares, warrants to purchase 464,400 shares of Ordinary Shares and the outstanding options issued pursuant to the Incentive Plans, (B) as set forth in the Investors’ Rights Agreement, and (C) in connection with the IPO contemplated pursuant to the Registration on Form F-1 (File No. 333-253999) (the “</w:t>
      </w:r>
      <w:r>
        <w:rPr>
          <w:rFonts w:ascii="Arial" w:cs="Arial" w:eastAsia="Arial" w:hAnsi="Arial"/>
          <w:sz w:val="17"/>
          <w:szCs w:val="17"/>
          <w:u w:val="single" w:color="auto"/>
          <w:color w:val="auto"/>
        </w:rPr>
        <w:t>Contemplated IPO</w:t>
      </w:r>
      <w:r>
        <w:rPr>
          <w:rFonts w:ascii="Arial" w:cs="Arial" w:eastAsia="Arial" w:hAnsi="Arial"/>
          <w:sz w:val="17"/>
          <w:szCs w:val="17"/>
          <w:color w:val="auto"/>
        </w:rPr>
        <w:t>”), there are no outstanding options, warrants, rights (including conversion or preemptive rights and rights of first refusal or similar rights) or agreements, orally or in writing, for the purchase or acquisition from the Company of any shares of its share capital.</w:t>
      </w:r>
    </w:p>
    <w:p>
      <w:pPr>
        <w:spacing w:after="0" w:line="172" w:lineRule="exact"/>
        <w:rPr>
          <w:rFonts w:ascii="Arial" w:cs="Arial" w:eastAsia="Arial" w:hAnsi="Arial"/>
          <w:sz w:val="17"/>
          <w:szCs w:val="17"/>
          <w:color w:val="auto"/>
        </w:rPr>
      </w:pPr>
    </w:p>
    <w:p>
      <w:pPr>
        <w:ind w:left="-444" w:right="20" w:firstLine="444"/>
        <w:spacing w:after="0" w:line="289" w:lineRule="auto"/>
        <w:tabs>
          <w:tab w:leader="none" w:pos="304" w:val="left"/>
        </w:tabs>
        <w:numPr>
          <w:ilvl w:val="0"/>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Warrant Shares</w:t>
      </w:r>
      <w:r>
        <w:rPr>
          <w:rFonts w:ascii="Arial" w:cs="Arial" w:eastAsia="Arial" w:hAnsi="Arial"/>
          <w:sz w:val="16"/>
          <w:szCs w:val="16"/>
          <w:color w:val="auto"/>
        </w:rPr>
        <w:t>. The Warrant Shares issuable upon exercise of this Warrant (and any securities issuable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upon conversion or exchange thereof) has been duly authorized and validly reserved by the Company and when issued in accordance with the provisions of this Warrant against the receipt of the Purchase Price or pursuant to the net exercise provision set forth in Section 2(d) hereof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Shares issuable pursuant to this Warrant may be subject to restrictions on transfer under state and/or federal securities laws and the Company’s amended and restated articles of association, as may be amended from time to time (the “</w:t>
      </w:r>
      <w:r>
        <w:rPr>
          <w:rFonts w:ascii="Arial" w:cs="Arial" w:eastAsia="Arial" w:hAnsi="Arial"/>
          <w:sz w:val="16"/>
          <w:szCs w:val="16"/>
          <w:u w:val="single" w:color="auto"/>
          <w:color w:val="auto"/>
        </w:rPr>
        <w:t>Articles</w:t>
      </w:r>
      <w:r>
        <w:rPr>
          <w:rFonts w:ascii="Arial" w:cs="Arial" w:eastAsia="Arial" w:hAnsi="Arial"/>
          <w:sz w:val="16"/>
          <w:szCs w:val="16"/>
          <w:color w:val="auto"/>
        </w:rPr>
        <w:t>”), including the Public Company Articles (as defined below).</w:t>
      </w:r>
    </w:p>
    <w:p>
      <w:pPr>
        <w:spacing w:after="0" w:line="161" w:lineRule="exact"/>
        <w:rPr>
          <w:rFonts w:ascii="Arial" w:cs="Arial" w:eastAsia="Arial" w:hAnsi="Arial"/>
          <w:sz w:val="16"/>
          <w:szCs w:val="16"/>
          <w:color w:val="auto"/>
        </w:rPr>
      </w:pPr>
    </w:p>
    <w:p>
      <w:pPr>
        <w:ind w:left="-444" w:right="40" w:firstLine="444"/>
        <w:spacing w:after="0" w:line="255" w:lineRule="auto"/>
        <w:tabs>
          <w:tab w:leader="none" w:pos="294"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Subject in part to the truth and accuracy of the Registered Holder’s representations set forth in Section 5 hereof, the offer,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sale of this Warrant is, and the issuance of the Warrant Shares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184" w:lineRule="exact"/>
        <w:rPr>
          <w:rFonts w:ascii="Arial" w:cs="Arial" w:eastAsia="Arial" w:hAnsi="Arial"/>
          <w:sz w:val="18"/>
          <w:szCs w:val="18"/>
          <w:color w:val="auto"/>
        </w:rPr>
      </w:pPr>
    </w:p>
    <w:p>
      <w:pPr>
        <w:ind w:left="-444" w:right="80" w:firstLine="444"/>
        <w:spacing w:after="0" w:line="271" w:lineRule="auto"/>
        <w:tabs>
          <w:tab w:leader="none" w:pos="275" w:val="left"/>
        </w:tabs>
        <w:numPr>
          <w:ilvl w:val="0"/>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Charter Documents</w:t>
      </w:r>
      <w:r>
        <w:rPr>
          <w:rFonts w:ascii="Arial" w:cs="Arial" w:eastAsia="Arial" w:hAnsi="Arial"/>
          <w:sz w:val="17"/>
          <w:szCs w:val="17"/>
          <w:color w:val="auto"/>
        </w:rPr>
        <w:t>. The Company has provided the Registered Holder true and complete copies of (A) the Articles effective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Issuance Date and (B) the amended and restated articles of association that have been adopted by the Company’s shareholders and that will become effective immediately prior to, and contingent upon, the consummation of the Contemplated IPO (the “</w:t>
      </w:r>
      <w:r>
        <w:rPr>
          <w:rFonts w:ascii="Arial" w:cs="Arial" w:eastAsia="Arial" w:hAnsi="Arial"/>
          <w:sz w:val="17"/>
          <w:szCs w:val="17"/>
          <w:u w:val="single" w:color="auto"/>
          <w:color w:val="auto"/>
        </w:rPr>
        <w:t>Public Company Articles</w:t>
      </w:r>
      <w:r>
        <w:rPr>
          <w:rFonts w:ascii="Arial" w:cs="Arial" w:eastAsia="Arial" w:hAnsi="Arial"/>
          <w:sz w:val="17"/>
          <w:szCs w:val="17"/>
          <w:color w:val="auto"/>
        </w:rPr>
        <w:t>”). The Company shall not by amendment of the Articles or the Public Company Articles or through a reorganization, transfer or sale of assets, consolidation, merger, dissolution, issue or sale of securities or any other voluntary action, avoid or seek to avoid the observance or performance of any of the terms to be observed or performed under this Warrant, but shall at all times</w:t>
      </w:r>
    </w:p>
    <w:p>
      <w:pPr>
        <w:sectPr>
          <w:pgSz w:w="11900" w:h="16838" w:orient="portrait"/>
          <w:cols w:equalWidth="0" w:num="1">
            <w:col w:w="10476"/>
          </w:cols>
          <w:pgMar w:left="924" w:top="268" w:right="499" w:bottom="1440" w:gutter="0" w:footer="0" w:header="0"/>
        </w:sectPr>
      </w:pPr>
    </w:p>
    <w:bookmarkStart w:id="469" w:name="page470"/>
    <w:bookmarkEnd w:id="469"/>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good faith reasonably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 if the Articles or the Public Company Articles are amended or waived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Shares or (ii) in connection with the adoption and the effectiveness of the Public Company Articles; provided, however, that, notwithstanding the foregoing, the Company shall not impose any restrictions on the transferability or alienability of the Warrant Shares other than (x) as may be in effect as of the Original Issuance Date or (y) contemplated under the Public Company Articles, in each case, without the written consent of the Registered Holder.</w:t>
      </w:r>
    </w:p>
    <w:p>
      <w:pPr>
        <w:spacing w:after="0" w:line="195" w:lineRule="exact"/>
        <w:rPr>
          <w:sz w:val="20"/>
          <w:szCs w:val="20"/>
          <w:color w:val="auto"/>
        </w:rPr>
      </w:pPr>
    </w:p>
    <w:p>
      <w:pPr>
        <w:ind w:left="760" w:hanging="316"/>
        <w:spacing w:after="0"/>
        <w:tabs>
          <w:tab w:leader="none" w:pos="760" w:val="left"/>
        </w:tabs>
        <w:numPr>
          <w:ilvl w:val="1"/>
          <w:numId w:val="432"/>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433"/>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118"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The Warrant Shares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Original Issuance Date may not be amended, modified or waived by the Company without the prior written consent of the Registered Holder unless such amendment, modification or waiver affects the rights under the Investors’ Rights Agreement associated with the Warrant Shares in the same manner as such amendment, modification, or waiver affects the rights under the Investors’ Rights Agreement associated with all other shares of the same series and class of Warrant Shares.</w:t>
      </w:r>
    </w:p>
    <w:p>
      <w:pPr>
        <w:spacing w:after="0" w:line="190" w:lineRule="exact"/>
        <w:rPr>
          <w:sz w:val="20"/>
          <w:szCs w:val="20"/>
          <w:color w:val="auto"/>
        </w:rPr>
      </w:pPr>
    </w:p>
    <w:p>
      <w:pPr>
        <w:ind w:firstLine="7"/>
        <w:spacing w:after="0" w:line="275" w:lineRule="auto"/>
        <w:tabs>
          <w:tab w:leader="none" w:pos="312"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Warrant (and the right to purchase securities upon exercise hereof) shall terminate upon the earliest to occur of the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40" w:hanging="305"/>
        <w:spacing w:after="0"/>
        <w:tabs>
          <w:tab w:leader="none" w:pos="74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thetenth (10th) anniversary of the Original Issuance Date, or</w:t>
      </w:r>
    </w:p>
    <w:p>
      <w:pPr>
        <w:spacing w:after="0" w:line="113" w:lineRule="exact"/>
        <w:rPr>
          <w:rFonts w:ascii="Arial" w:cs="Arial" w:eastAsia="Arial" w:hAnsi="Arial"/>
          <w:sz w:val="18"/>
          <w:szCs w:val="18"/>
          <w:color w:val="auto"/>
        </w:rPr>
      </w:pPr>
    </w:p>
    <w:p>
      <w:pPr>
        <w:ind w:left="760" w:hanging="316"/>
        <w:spacing w:after="0"/>
        <w:tabs>
          <w:tab w:leader="none" w:pos="760" w:val="left"/>
        </w:tabs>
        <w:numPr>
          <w:ilvl w:val="1"/>
          <w:numId w:val="434"/>
        </w:numPr>
        <w:rPr>
          <w:rFonts w:ascii="Arial" w:cs="Arial" w:eastAsia="Arial" w:hAnsi="Arial"/>
          <w:sz w:val="17"/>
          <w:szCs w:val="17"/>
          <w:color w:val="auto"/>
        </w:rPr>
      </w:pPr>
      <w:r>
        <w:rPr>
          <w:rFonts w:ascii="Arial" w:cs="Arial" w:eastAsia="Arial" w:hAnsi="Arial"/>
          <w:sz w:val="17"/>
          <w:szCs w:val="17"/>
          <w:color w:val="auto"/>
        </w:rPr>
        <w:t>immediately prior to the consummation of a Merger and Acquisition or a Liquidation Event (as defined in the Company’s Articles), or</w:t>
      </w:r>
    </w:p>
    <w:p>
      <w:pPr>
        <w:spacing w:after="0" w:line="138" w:lineRule="exact"/>
        <w:rPr>
          <w:rFonts w:ascii="Arial" w:cs="Arial" w:eastAsia="Arial" w:hAnsi="Arial"/>
          <w:sz w:val="17"/>
          <w:szCs w:val="17"/>
          <w:color w:val="auto"/>
        </w:rPr>
      </w:pPr>
    </w:p>
    <w:p>
      <w:pPr>
        <w:ind w:left="740" w:hanging="305"/>
        <w:spacing w:after="0"/>
        <w:tabs>
          <w:tab w:leader="none" w:pos="74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immediatelyprior to the consummation of an IPO (other than the Contemplated IPO) (a “</w:t>
      </w:r>
      <w:r>
        <w:rPr>
          <w:rFonts w:ascii="Arial" w:cs="Arial" w:eastAsia="Arial" w:hAnsi="Arial"/>
          <w:sz w:val="18"/>
          <w:szCs w:val="18"/>
          <w:u w:val="single" w:color="auto"/>
          <w:color w:val="auto"/>
        </w:rPr>
        <w:t>New IPO</w:t>
      </w:r>
      <w:r>
        <w:rPr>
          <w:rFonts w:ascii="Arial" w:cs="Arial" w:eastAsia="Arial" w:hAnsi="Arial"/>
          <w:sz w:val="18"/>
          <w:szCs w:val="18"/>
          <w:color w:val="auto"/>
        </w:rPr>
        <w:t>”),</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provided that the Registered Holder shall be given reasonable notice of such Merger and Acquisition, Liquidation Event or New IPO (and the Company shall use commercially reasonable efforts to provide such notice at least 5 business days in advance of the consummation of the Merger and Acquisition, Liquidation Event or New IPO</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opportunity to exercise this Warrant prior to or concurrently with the consummation of such Merger and Acquisition, Liquidation Event or New IPO.</w:t>
      </w:r>
    </w:p>
    <w:p>
      <w:pPr>
        <w:spacing w:after="0" w:line="186" w:lineRule="exact"/>
        <w:rPr>
          <w:sz w:val="20"/>
          <w:szCs w:val="20"/>
          <w:color w:val="auto"/>
        </w:rPr>
      </w:pPr>
    </w:p>
    <w:p>
      <w:pPr>
        <w:ind w:left="320" w:hanging="313"/>
        <w:spacing w:after="0"/>
        <w:tabs>
          <w:tab w:leader="none" w:pos="320" w:val="left"/>
        </w:tabs>
        <w:numPr>
          <w:ilvl w:val="0"/>
          <w:numId w:val="4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color w:val="auto"/>
        </w:rPr>
        <w:t>. In case:</w:t>
      </w:r>
    </w:p>
    <w:p>
      <w:pPr>
        <w:spacing w:after="0" w:line="224" w:lineRule="exact"/>
        <w:rPr>
          <w:rFonts w:ascii="Arial" w:cs="Arial" w:eastAsia="Arial" w:hAnsi="Arial"/>
          <w:sz w:val="18"/>
          <w:szCs w:val="18"/>
          <w:color w:val="auto"/>
        </w:rPr>
      </w:pPr>
    </w:p>
    <w:p>
      <w:pPr>
        <w:ind w:right="60" w:firstLine="444"/>
        <w:spacing w:after="0" w:line="281" w:lineRule="auto"/>
        <w:tabs>
          <w:tab w:leader="none" w:pos="738" w:val="left"/>
        </w:tabs>
        <w:numPr>
          <w:ilvl w:val="1"/>
          <w:numId w:val="435"/>
        </w:numPr>
        <w:rPr>
          <w:rFonts w:ascii="Arial" w:cs="Arial" w:eastAsia="Arial" w:hAnsi="Arial"/>
          <w:sz w:val="17"/>
          <w:szCs w:val="17"/>
          <w:color w:val="auto"/>
        </w:rPr>
      </w:pPr>
      <w:r>
        <w:rPr>
          <w:rFonts w:ascii="Arial" w:cs="Arial" w:eastAsia="Arial" w:hAnsi="Arial"/>
          <w:sz w:val="17"/>
          <w:szCs w:val="17"/>
          <w:color w:val="auto"/>
        </w:rPr>
        <w:t>the Company shall take a record of the holders of its outstanding shares of the same class as the Warrant Shares (or other shares or securities at the time deliverable upon the exercise of this Warrant) for the purpose of entitling or enabling them to receive any dividend or other distribution, or to receive any right to subscribe for or purchase any shares of any class or any other securities, or to receive any other right, or</w:t>
      </w:r>
    </w:p>
    <w:p>
      <w:pPr>
        <w:spacing w:after="0" w:line="169" w:lineRule="exact"/>
        <w:rPr>
          <w:rFonts w:ascii="Arial" w:cs="Arial" w:eastAsia="Arial" w:hAnsi="Arial"/>
          <w:sz w:val="17"/>
          <w:szCs w:val="17"/>
          <w:color w:val="auto"/>
        </w:rPr>
      </w:pPr>
    </w:p>
    <w:p>
      <w:pPr>
        <w:ind w:right="340" w:firstLine="444"/>
        <w:spacing w:after="0" w:line="271" w:lineRule="auto"/>
        <w:tabs>
          <w:tab w:leader="none" w:pos="748" w:val="left"/>
        </w:tabs>
        <w:numPr>
          <w:ilvl w:val="1"/>
          <w:numId w:val="435"/>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share capital of the Company, any consolidation or merger of the Company, any Merger and Acquisition, any Liquidation Event, or any New IPO</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shares of the same class as the Warrant Shares (or such other shares or securities at the time deliverable upon such reorganization, reclassification, consolidation, merger, transfer, dissolution, liquidation, winding--up, redemption or conversion) are to be determined. Such notice shall be mailed at least 5 business days prior to the record date or effective date for the event specified in such notice. In addition, the Company shall use commercially reasonable efforts to provide the Registered Holder with prompt written notice of any amendment to</w:t>
      </w:r>
    </w:p>
    <w:p>
      <w:pPr>
        <w:sectPr>
          <w:pgSz w:w="11900" w:h="16838" w:orient="portrait"/>
          <w:cols w:equalWidth="0" w:num="1">
            <w:col w:w="10920"/>
          </w:cols>
          <w:pgMar w:left="480" w:top="272" w:right="499" w:bottom="1440" w:gutter="0" w:footer="0" w:header="0"/>
        </w:sectPr>
      </w:pPr>
    </w:p>
    <w:bookmarkStart w:id="470" w:name="page471"/>
    <w:bookmarkEnd w:id="47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term “Merger and Acquisition” set forth in the Articles, other than in connection with the adoption and effectiveness if the Public Company Articles.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as the Warrant Shares.</w:t>
      </w:r>
    </w:p>
    <w:p>
      <w:pPr>
        <w:spacing w:after="0" w:line="189" w:lineRule="exact"/>
        <w:rPr>
          <w:sz w:val="20"/>
          <w:szCs w:val="20"/>
          <w:color w:val="auto"/>
        </w:rPr>
      </w:pPr>
    </w:p>
    <w:p>
      <w:pPr>
        <w:ind w:right="240" w:firstLine="7"/>
        <w:spacing w:after="0" w:line="257" w:lineRule="auto"/>
        <w:tabs>
          <w:tab w:leader="none" w:pos="401"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color w:val="auto"/>
        </w:rPr>
        <w:t>. Upon receipt of evidence reasonably satisfactory to the Company of the loss, theft, destruction or mutilation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83" w:lineRule="exact"/>
        <w:rPr>
          <w:rFonts w:ascii="Arial" w:cs="Arial" w:eastAsia="Arial" w:hAnsi="Arial"/>
          <w:sz w:val="18"/>
          <w:szCs w:val="18"/>
          <w:color w:val="auto"/>
        </w:rPr>
      </w:pPr>
    </w:p>
    <w:p>
      <w:pPr>
        <w:ind w:right="80" w:firstLine="7"/>
        <w:spacing w:after="0" w:line="275" w:lineRule="auto"/>
        <w:tabs>
          <w:tab w:leader="none" w:pos="394"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and to the extent of the exercise of this Warrant, the Registered Holder of this Warrant shall not have or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by virtue hereof as a shareholder of the Company.</w:t>
      </w:r>
    </w:p>
    <w:p>
      <w:pPr>
        <w:spacing w:after="0" w:line="167" w:lineRule="exact"/>
        <w:rPr>
          <w:rFonts w:ascii="Arial" w:cs="Arial" w:eastAsia="Arial" w:hAnsi="Arial"/>
          <w:sz w:val="18"/>
          <w:szCs w:val="18"/>
          <w:color w:val="auto"/>
        </w:rPr>
      </w:pPr>
    </w:p>
    <w:p>
      <w:pPr>
        <w:ind w:right="60" w:firstLine="7"/>
        <w:spacing w:after="0" w:line="261" w:lineRule="auto"/>
        <w:tabs>
          <w:tab w:leader="none" w:pos="401"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color w:val="auto"/>
        </w:rPr>
        <w:t>. No fractional Warrant Shares will be issued in connection with any exercise hereunder. In lieu of any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otherwise be issuable, the Company shall pay cash equal to the product of such fraction multiplied by the fair market value of one Warrant Share on the date of exercise, as determined in accordance with Section 2(d)(ii).</w:t>
      </w:r>
    </w:p>
    <w:p>
      <w:pPr>
        <w:spacing w:after="0" w:line="180" w:lineRule="exact"/>
        <w:rPr>
          <w:rFonts w:ascii="Arial" w:cs="Arial" w:eastAsia="Arial" w:hAnsi="Arial"/>
          <w:sz w:val="18"/>
          <w:szCs w:val="18"/>
          <w:color w:val="auto"/>
        </w:rPr>
      </w:pPr>
    </w:p>
    <w:p>
      <w:pPr>
        <w:ind w:right="500" w:firstLine="7"/>
        <w:spacing w:after="0" w:line="275" w:lineRule="auto"/>
        <w:tabs>
          <w:tab w:leader="none" w:pos="401"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color w:val="auto"/>
        </w:rPr>
        <w:t>. Unless otherwise set forth in this Warrant, the representations, warranties and covenants contained in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Warrant shall survive the execution and delivery of this Warrant.</w:t>
      </w:r>
    </w:p>
    <w:p>
      <w:pPr>
        <w:spacing w:after="0" w:line="167" w:lineRule="exact"/>
        <w:rPr>
          <w:rFonts w:ascii="Arial" w:cs="Arial" w:eastAsia="Arial" w:hAnsi="Arial"/>
          <w:sz w:val="18"/>
          <w:szCs w:val="18"/>
          <w:color w:val="auto"/>
        </w:rPr>
      </w:pPr>
    </w:p>
    <w:p>
      <w:pPr>
        <w:ind w:right="60" w:firstLine="7"/>
        <w:spacing w:after="0" w:line="261" w:lineRule="auto"/>
        <w:tabs>
          <w:tab w:leader="none" w:pos="401"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(including arbitration) is necessary to enforce or interpret the terms of any of this Warrant,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reasonable attorney’s fees, costs and necessary disbursements in addition to any other relief to which such party may be entitled.</w:t>
      </w:r>
    </w:p>
    <w:p>
      <w:pPr>
        <w:spacing w:after="0" w:line="180" w:lineRule="exact"/>
        <w:rPr>
          <w:rFonts w:ascii="Arial" w:cs="Arial" w:eastAsia="Arial" w:hAnsi="Arial"/>
          <w:sz w:val="18"/>
          <w:szCs w:val="18"/>
          <w:color w:val="auto"/>
        </w:rPr>
      </w:pPr>
    </w:p>
    <w:p>
      <w:pPr>
        <w:ind w:left="400" w:hanging="393"/>
        <w:spacing w:after="0"/>
        <w:tabs>
          <w:tab w:leader="none" w:pos="400"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120" w:firstLine="444"/>
        <w:spacing w:after="0" w:line="261" w:lineRule="auto"/>
        <w:tabs>
          <w:tab w:leader="none" w:pos="738" w:val="left"/>
        </w:tabs>
        <w:numPr>
          <w:ilvl w:val="1"/>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this Warrant, and all acts and transactions pursuant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obligations of the parties hereto shall be governed, construed and interpreted in accordance with the laws of the state of New York, without giving effect to principles of conflicts of law.</w:t>
      </w:r>
    </w:p>
    <w:p>
      <w:pPr>
        <w:spacing w:after="0" w:line="180" w:lineRule="exact"/>
        <w:rPr>
          <w:rFonts w:ascii="Arial" w:cs="Arial" w:eastAsia="Arial" w:hAnsi="Arial"/>
          <w:sz w:val="18"/>
          <w:szCs w:val="18"/>
          <w:color w:val="auto"/>
        </w:rPr>
      </w:pPr>
    </w:p>
    <w:p>
      <w:pPr>
        <w:ind w:right="20" w:firstLine="444"/>
        <w:spacing w:after="0" w:line="275" w:lineRule="auto"/>
        <w:tabs>
          <w:tab w:leader="none" w:pos="748" w:val="left"/>
        </w:tabs>
        <w:numPr>
          <w:ilvl w:val="1"/>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color w:val="auto"/>
        </w:rPr>
        <w:t>. With respect to any conflicts arising out of or related to this Warrant, the parties consent to the exclusive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and venue in, the competent courts in New York.</w:t>
      </w:r>
    </w:p>
    <w:p>
      <w:pPr>
        <w:spacing w:after="0" w:line="167" w:lineRule="exact"/>
        <w:rPr>
          <w:rFonts w:ascii="Arial" w:cs="Arial" w:eastAsia="Arial" w:hAnsi="Arial"/>
          <w:sz w:val="18"/>
          <w:szCs w:val="18"/>
          <w:color w:val="auto"/>
        </w:rPr>
      </w:pPr>
    </w:p>
    <w:p>
      <w:pPr>
        <w:ind w:right="40" w:firstLine="444"/>
        <w:spacing w:after="0" w:line="261" w:lineRule="auto"/>
        <w:tabs>
          <w:tab w:leader="none" w:pos="738" w:val="left"/>
        </w:tabs>
        <w:numPr>
          <w:ilvl w:val="1"/>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Warrant, together with the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supersedes all prior or contemporaneous discussions, understandings and agreements, whether oral or written, between them relating to the subject matter hereof.</w:t>
      </w:r>
    </w:p>
    <w:p>
      <w:pPr>
        <w:spacing w:after="0" w:line="180" w:lineRule="exact"/>
        <w:rPr>
          <w:rFonts w:ascii="Arial" w:cs="Arial" w:eastAsia="Arial" w:hAnsi="Arial"/>
          <w:sz w:val="18"/>
          <w:szCs w:val="18"/>
          <w:color w:val="auto"/>
        </w:rPr>
      </w:pPr>
    </w:p>
    <w:p>
      <w:pPr>
        <w:ind w:firstLine="444"/>
        <w:spacing w:after="0" w:line="257" w:lineRule="auto"/>
        <w:tabs>
          <w:tab w:leader="none" w:pos="748" w:val="left"/>
        </w:tabs>
        <w:numPr>
          <w:ilvl w:val="1"/>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Other than in connection with the delivery of a Replacement Exhibit pursuant to Section 2.c, no modification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or amendment to this 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183" w:lineRule="exact"/>
        <w:rPr>
          <w:rFonts w:ascii="Arial" w:cs="Arial" w:eastAsia="Arial" w:hAnsi="Arial"/>
          <w:sz w:val="18"/>
          <w:szCs w:val="18"/>
          <w:color w:val="auto"/>
        </w:rPr>
      </w:pPr>
    </w:p>
    <w:p>
      <w:pPr>
        <w:ind w:right="660" w:firstLine="444"/>
        <w:spacing w:after="0" w:line="275" w:lineRule="auto"/>
        <w:tabs>
          <w:tab w:leader="none" w:pos="738" w:val="left"/>
        </w:tabs>
        <w:numPr>
          <w:ilvl w:val="1"/>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obligations of the Company and the Registered Holder shall be binding upon and benefit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assigns and permitted transferees of the parties.</w:t>
      </w:r>
    </w:p>
    <w:p>
      <w:pPr>
        <w:spacing w:after="0" w:line="167" w:lineRule="exact"/>
        <w:rPr>
          <w:rFonts w:ascii="Arial" w:cs="Arial" w:eastAsia="Arial" w:hAnsi="Arial"/>
          <w:sz w:val="18"/>
          <w:szCs w:val="18"/>
          <w:color w:val="auto"/>
        </w:rPr>
      </w:pPr>
    </w:p>
    <w:p>
      <w:pPr>
        <w:ind w:right="60" w:firstLine="444"/>
        <w:spacing w:after="0" w:line="289" w:lineRule="auto"/>
        <w:tabs>
          <w:tab w:leader="none" w:pos="719" w:val="left"/>
        </w:tabs>
        <w:numPr>
          <w:ilvl w:val="1"/>
          <w:numId w:val="43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Warrant shall be in writing and shall be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personally, 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ectPr>
          <w:pgSz w:w="11900" w:h="16838" w:orient="portrait"/>
          <w:cols w:equalWidth="0" w:num="1">
            <w:col w:w="10920"/>
          </w:cols>
          <w:pgMar w:left="480" w:top="272" w:right="499" w:bottom="1440" w:gutter="0" w:footer="0" w:header="0"/>
        </w:sectPr>
      </w:pPr>
    </w:p>
    <w:bookmarkStart w:id="471" w:name="page472"/>
    <w:bookmarkEnd w:id="471"/>
    <w:p>
      <w:pPr>
        <w:ind w:left="-20" w:right="60" w:firstLine="444"/>
        <w:spacing w:after="0" w:line="255" w:lineRule="auto"/>
        <w:tabs>
          <w:tab w:leader="none" w:pos="728"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Severability</w:t>
      </w:r>
      <w:r>
        <w:rPr>
          <w:rFonts w:ascii="Arial" w:cs="Arial" w:eastAsia="Arial" w:hAnsi="Arial"/>
          <w:sz w:val="18"/>
          <w:szCs w:val="18"/>
          <w:color w:val="auto"/>
        </w:rPr>
        <w:t>. If any provision of this Warrant becomes or is declared by a court of competent jurisdiction to be illegal, unenforceable or void,</w:t>
      </w:r>
      <w:r>
        <w:rPr>
          <w:rFonts w:ascii="Arial" w:cs="Arial" w:eastAsia="Arial" w:hAnsi="Arial"/>
          <w:sz w:val="18"/>
          <w:szCs w:val="18"/>
          <w:b w:val="1"/>
          <w:bCs w:val="1"/>
          <w:color w:val="auto"/>
        </w:rPr>
        <w:t xml:space="preserve"> </w:t>
      </w:r>
      <w:r>
        <w:rPr>
          <w:rFonts w:ascii="Arial" w:cs="Arial" w:eastAsia="Arial" w:hAnsi="Arial"/>
          <w:sz w:val="18"/>
          <w:szCs w:val="18"/>
          <w:color w:val="auto"/>
        </w:rPr>
        <w:t>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184" w:lineRule="exact"/>
        <w:rPr>
          <w:rFonts w:ascii="Arial" w:cs="Arial" w:eastAsia="Arial" w:hAnsi="Arial"/>
          <w:sz w:val="18"/>
          <w:szCs w:val="18"/>
          <w:color w:val="auto"/>
        </w:rPr>
      </w:pPr>
    </w:p>
    <w:p>
      <w:pPr>
        <w:ind w:left="-20" w:firstLine="444"/>
        <w:spacing w:after="0" w:line="261" w:lineRule="auto"/>
        <w:tabs>
          <w:tab w:leader="none" w:pos="728"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Warrant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Warrant shall be deemed to be the product of all of the parties hereto, and no ambiguity shall be construed in favor of or against any one of the parties hereto.</w:t>
      </w:r>
    </w:p>
    <w:p>
      <w:pPr>
        <w:spacing w:after="0" w:line="180" w:lineRule="exact"/>
        <w:rPr>
          <w:rFonts w:ascii="Arial" w:cs="Arial" w:eastAsia="Arial" w:hAnsi="Arial"/>
          <w:sz w:val="18"/>
          <w:szCs w:val="18"/>
          <w:color w:val="auto"/>
        </w:rPr>
      </w:pPr>
    </w:p>
    <w:p>
      <w:pPr>
        <w:ind w:left="-20" w:right="80" w:firstLine="444"/>
        <w:spacing w:after="0" w:line="275" w:lineRule="auto"/>
        <w:tabs>
          <w:tab w:leader="none" w:pos="689"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Warrant are included for convenience only and are not to be considered in construing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interpreting this Warrant.</w:t>
      </w:r>
    </w:p>
    <w:p>
      <w:pPr>
        <w:spacing w:after="0" w:line="167" w:lineRule="exact"/>
        <w:rPr>
          <w:rFonts w:ascii="Arial" w:cs="Arial" w:eastAsia="Arial" w:hAnsi="Arial"/>
          <w:sz w:val="18"/>
          <w:szCs w:val="18"/>
          <w:color w:val="auto"/>
        </w:rPr>
      </w:pPr>
    </w:p>
    <w:p>
      <w:pPr>
        <w:ind w:left="-20" w:right="380" w:firstLine="444"/>
        <w:spacing w:after="0" w:line="275" w:lineRule="auto"/>
        <w:tabs>
          <w:tab w:leader="none" w:pos="689"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Warrant may be executed in any number of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00"/>
          </w:cols>
          <w:pgMar w:left="500" w:top="268" w:right="499" w:bottom="1440" w:gutter="0" w:footer="0" w:header="0"/>
        </w:sectPr>
      </w:pPr>
    </w:p>
    <w:bookmarkStart w:id="472" w:name="page473"/>
    <w:bookmarkEnd w:id="47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Company and the Registered Holder have executed this Warrant as of the date first set forth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Amir Schlachet</w:t>
            </w:r>
          </w:p>
        </w:tc>
      </w:tr>
      <w:tr>
        <w:trPr>
          <w:trHeight w:val="208"/>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Amir Schlachet</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Address: 25 Basel Street, Petah Tikva, 4951038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legal@global-e.com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SHOPIFY INTERNATIONAL LIMITED</w:t>
      </w:r>
    </w:p>
    <w:p>
      <w:pPr>
        <w:spacing w:after="0" w:line="26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Riordan</w:t>
      </w:r>
    </w:p>
    <w:p>
      <w:pPr>
        <w:spacing w:after="0" w:line="2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Address: 2nd Floor Victoria Buildings 1-2 Haddington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Road, Dublin 4, D04 XN32, Ireland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Email: contract_notices@shopify.com</w:t>
      </w:r>
    </w:p>
    <w:p>
      <w:pPr>
        <w:sectPr>
          <w:pgSz w:w="11900" w:h="16838" w:orient="portrait"/>
          <w:cols w:equalWidth="0" w:num="1">
            <w:col w:w="9979"/>
          </w:cols>
          <w:pgMar w:left="480" w:top="272" w:right="1440"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WARRANT SHARES</w:t>
      </w: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Up to an aggregate of </w:t>
      </w:r>
      <w:r>
        <w:rPr>
          <w:rFonts w:ascii="Arial" w:cs="Arial" w:eastAsia="Arial" w:hAnsi="Arial"/>
          <w:sz w:val="18"/>
          <w:szCs w:val="18"/>
          <w:b w:val="1"/>
          <w:bCs w:val="1"/>
          <w:u w:val="single" w:color="auto"/>
          <w:color w:val="auto"/>
        </w:rPr>
        <w:t>10,865,916</w:t>
      </w:r>
      <w:r>
        <w:rPr>
          <w:rFonts w:ascii="Arial" w:cs="Arial" w:eastAsia="Arial" w:hAnsi="Arial"/>
          <w:sz w:val="18"/>
          <w:szCs w:val="18"/>
          <w:color w:val="auto"/>
        </w:rPr>
        <w:t xml:space="preserve"> Ordinary Shares (subject to adjustment as provided in the Warrant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which will vest and become exercisable as follows: (i) 493,911 Ordinary Shares shall vest and become exercisable on July 12, 2021 (i.e., the three months anniversary of the effective date of the Agreement) and (ii) the remaining Total Shares shall vest and become exercisable in equal installments of 493,905 Ordinary Shares on each monthly anniversary thereafter such that the Total Shares shall be fully vested and exercisable as of the two-year anniversary of the effective date of the Agreement; provided, however, that no vesting of any of the Total Shares shall occur following the termination of the Agreement in accordance with the terms thereof (other than if the Agreement is terminated by the Company pursuant to Section 6.2 (Termination for Convenience) of the Agreement).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the vesting of the Total Shares shall be accelerated such that the Total Shares shall be fully vested and exercisable effective upon the earlier of (i) termination of the Agreement by the Company in accordance with Section 6.2 (Termination for Convenience) of the Agreement, (ii) immediately prior to a Merger and Acquisition or a Liquidation Event, and (iii) immediately prior to consummation of a New IPO.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without definition will have the meanings assigned thereto in the Warrant.</w:t>
      </w:r>
    </w:p>
    <w:p>
      <w:pPr>
        <w:sectPr>
          <w:pgSz w:w="11900" w:h="16838" w:orient="portrait"/>
          <w:cols w:equalWidth="0" w:num="1">
            <w:col w:w="10920"/>
          </w:cols>
          <w:pgMar w:left="480" w:top="268" w:right="49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40" w:type="dxa"/>
            <w:vAlign w:val="bottom"/>
            <w:gridSpan w:val="2"/>
          </w:tcPr>
          <w:p>
            <w:pPr>
              <w:jc w:val="center"/>
              <w:ind w:left="1011"/>
              <w:spacing w:after="0"/>
              <w:rPr>
                <w:sz w:val="20"/>
                <w:szCs w:val="20"/>
                <w:color w:val="auto"/>
              </w:rPr>
            </w:pPr>
            <w:r>
              <w:rPr>
                <w:rFonts w:ascii="Arial" w:cs="Arial" w:eastAsia="Arial" w:hAnsi="Arial"/>
                <w:sz w:val="18"/>
                <w:szCs w:val="18"/>
                <w:b w:val="1"/>
                <w:bCs w:val="1"/>
                <w:color w:val="auto"/>
                <w:w w:val="92"/>
              </w:rPr>
              <w:t>Exhibit B</w:t>
            </w: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8"/>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w w:val="98"/>
              </w:rPr>
              <w:t>PURCHASE/EXERCISE FORM</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8"/>
        </w:trPr>
        <w:tc>
          <w:tcPr>
            <w:tcW w:w="78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To:</w:t>
            </w: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w w:val="93"/>
              </w:rPr>
              <w:t>Global-E Online Ltd.</w:t>
            </w: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Dated:</w:t>
            </w:r>
          </w:p>
        </w:tc>
      </w:tr>
      <w:tr>
        <w:trPr>
          <w:trHeight w:val="389"/>
        </w:trPr>
        <w:tc>
          <w:tcPr>
            <w:tcW w:w="5780" w:type="dxa"/>
            <w:vAlign w:val="bottom"/>
            <w:gridSpan w:val="7"/>
          </w:tcPr>
          <w:p>
            <w:pPr>
              <w:spacing w:after="0"/>
              <w:rPr>
                <w:sz w:val="20"/>
                <w:szCs w:val="20"/>
                <w:color w:val="auto"/>
              </w:rPr>
            </w:pPr>
            <w:r>
              <w:rPr>
                <w:rFonts w:ascii="Arial" w:cs="Arial" w:eastAsia="Arial" w:hAnsi="Arial"/>
                <w:sz w:val="18"/>
                <w:szCs w:val="18"/>
                <w:color w:val="auto"/>
                <w:w w:val="89"/>
              </w:rPr>
              <w:t>The undersigned, pursuant to the provisions set forth in the attached Warrant No.</w:t>
            </w:r>
          </w:p>
        </w:tc>
        <w:tc>
          <w:tcPr>
            <w:tcW w:w="200" w:type="dxa"/>
            <w:vAlign w:val="bottom"/>
          </w:tcPr>
          <w:p>
            <w:pPr>
              <w:spacing w:after="0"/>
              <w:rPr>
                <w:sz w:val="24"/>
                <w:szCs w:val="24"/>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 hereby irrevocably elects to:</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14"/>
        </w:trPr>
        <w:tc>
          <w:tcPr>
            <w:tcW w:w="780" w:type="dxa"/>
            <w:vAlign w:val="bottom"/>
          </w:tcPr>
          <w:p>
            <w:pPr>
              <w:ind w:left="360"/>
              <w:spacing w:after="0"/>
              <w:rPr>
                <w:sz w:val="20"/>
                <w:szCs w:val="20"/>
                <w:color w:val="auto"/>
              </w:rPr>
            </w:pPr>
            <w:r>
              <w:rPr>
                <w:rFonts w:ascii="Arial" w:cs="Arial" w:eastAsia="Arial" w:hAnsi="Arial"/>
                <w:sz w:val="18"/>
                <w:szCs w:val="18"/>
                <w:color w:val="auto"/>
              </w:rPr>
              <w:t>(a)</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w w:val="89"/>
              </w:rPr>
              <w:t>purchase</w:t>
            </w:r>
          </w:p>
        </w:tc>
        <w:tc>
          <w:tcPr>
            <w:tcW w:w="700" w:type="dxa"/>
            <w:vAlign w:val="bottom"/>
          </w:tcPr>
          <w:p>
            <w:pPr>
              <w:spacing w:after="0"/>
              <w:rPr>
                <w:sz w:val="24"/>
                <w:szCs w:val="24"/>
                <w:color w:val="auto"/>
              </w:rPr>
            </w:pPr>
          </w:p>
        </w:tc>
        <w:tc>
          <w:tcPr>
            <w:tcW w:w="6480" w:type="dxa"/>
            <w:vAlign w:val="bottom"/>
            <w:gridSpan w:val="7"/>
          </w:tcPr>
          <w:p>
            <w:pPr>
              <w:ind w:left="60"/>
              <w:spacing w:after="0"/>
              <w:rPr>
                <w:sz w:val="20"/>
                <w:szCs w:val="20"/>
                <w:color w:val="auto"/>
              </w:rPr>
            </w:pPr>
            <w:r>
              <w:rPr>
                <w:rFonts w:ascii="Arial" w:cs="Arial" w:eastAsia="Arial" w:hAnsi="Arial"/>
                <w:sz w:val="18"/>
                <w:szCs w:val="18"/>
                <w:color w:val="auto"/>
                <w:w w:val="92"/>
              </w:rPr>
              <w:t>shares of the capital stock covered by such Warrant and herewith makes payment of $</w:t>
            </w:r>
          </w:p>
        </w:tc>
        <w:tc>
          <w:tcPr>
            <w:tcW w:w="1920" w:type="dxa"/>
            <w:vAlign w:val="bottom"/>
            <w:gridSpan w:val="2"/>
          </w:tcPr>
          <w:p>
            <w:pPr>
              <w:ind w:left="400"/>
              <w:spacing w:after="0"/>
              <w:rPr>
                <w:sz w:val="20"/>
                <w:szCs w:val="20"/>
                <w:color w:val="auto"/>
              </w:rPr>
            </w:pPr>
            <w:r>
              <w:rPr>
                <w:rFonts w:ascii="Arial" w:cs="Arial" w:eastAsia="Arial" w:hAnsi="Arial"/>
                <w:sz w:val="18"/>
                <w:szCs w:val="18"/>
                <w:color w:val="auto"/>
                <w:w w:val="89"/>
              </w:rPr>
              <w:t>, representing the full</w:t>
            </w:r>
          </w:p>
        </w:tc>
      </w:tr>
      <w:tr>
        <w:trPr>
          <w:trHeight w:val="20"/>
        </w:trPr>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780" w:type="dxa"/>
            <w:vAlign w:val="bottom"/>
          </w:tcPr>
          <w:p>
            <w:pPr>
              <w:spacing w:after="0"/>
              <w:rPr>
                <w:sz w:val="20"/>
                <w:szCs w:val="20"/>
                <w:color w:val="auto"/>
              </w:rPr>
            </w:pPr>
          </w:p>
        </w:tc>
        <w:tc>
          <w:tcPr>
            <w:tcW w:w="8080" w:type="dxa"/>
            <w:vAlign w:val="bottom"/>
            <w:gridSpan w:val="10"/>
          </w:tcPr>
          <w:p>
            <w:pPr>
              <w:ind w:left="220"/>
              <w:spacing w:after="0"/>
              <w:rPr>
                <w:sz w:val="20"/>
                <w:szCs w:val="20"/>
                <w:color w:val="auto"/>
              </w:rPr>
            </w:pPr>
            <w:r>
              <w:rPr>
                <w:rFonts w:ascii="Arial" w:cs="Arial" w:eastAsia="Arial" w:hAnsi="Arial"/>
                <w:sz w:val="18"/>
                <w:szCs w:val="18"/>
                <w:color w:val="auto"/>
              </w:rPr>
              <w:t>purchase price for such shares at the price per share provided for in such Warrant,</w:t>
            </w: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8"/>
        </w:trPr>
        <w:tc>
          <w:tcPr>
            <w:tcW w:w="780" w:type="dxa"/>
            <w:vAlign w:val="bottom"/>
          </w:tcPr>
          <w:p>
            <w:pPr>
              <w:spacing w:after="0"/>
              <w:rPr>
                <w:sz w:val="20"/>
                <w:szCs w:val="20"/>
                <w:color w:val="auto"/>
              </w:rPr>
            </w:pPr>
            <w:r>
              <w:rPr>
                <w:rFonts w:ascii="Arial" w:cs="Arial" w:eastAsia="Arial" w:hAnsi="Arial"/>
                <w:sz w:val="18"/>
                <w:szCs w:val="18"/>
                <w:color w:val="auto"/>
              </w:rPr>
              <w:t>OR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6"/>
        </w:trPr>
        <w:tc>
          <w:tcPr>
            <w:tcW w:w="780" w:type="dxa"/>
            <w:vAlign w:val="bottom"/>
          </w:tcPr>
          <w:p>
            <w:pPr>
              <w:ind w:left="360"/>
              <w:spacing w:after="0"/>
              <w:rPr>
                <w:sz w:val="20"/>
                <w:szCs w:val="20"/>
                <w:color w:val="auto"/>
              </w:rPr>
            </w:pPr>
            <w:r>
              <w:rPr>
                <w:rFonts w:ascii="Arial" w:cs="Arial" w:eastAsia="Arial" w:hAnsi="Arial"/>
                <w:sz w:val="18"/>
                <w:szCs w:val="18"/>
                <w:color w:val="auto"/>
              </w:rPr>
              <w:t>(b)</w:t>
            </w:r>
          </w:p>
        </w:tc>
        <w:tc>
          <w:tcPr>
            <w:tcW w:w="2340" w:type="dxa"/>
            <w:vAlign w:val="bottom"/>
            <w:gridSpan w:val="4"/>
          </w:tcPr>
          <w:p>
            <w:pPr>
              <w:ind w:left="220"/>
              <w:spacing w:after="0"/>
              <w:rPr>
                <w:sz w:val="20"/>
                <w:szCs w:val="20"/>
                <w:color w:val="auto"/>
              </w:rPr>
            </w:pPr>
            <w:r>
              <w:rPr>
                <w:rFonts w:ascii="Arial" w:cs="Arial" w:eastAsia="Arial" w:hAnsi="Arial"/>
                <w:sz w:val="18"/>
                <w:szCs w:val="18"/>
                <w:color w:val="auto"/>
                <w:w w:val="89"/>
              </w:rPr>
              <w:t>net exercise such Warrant for</w:t>
            </w:r>
          </w:p>
        </w:tc>
        <w:tc>
          <w:tcPr>
            <w:tcW w:w="720" w:type="dxa"/>
            <w:vAlign w:val="bottom"/>
            <w:tcBorders>
              <w:bottom w:val="single" w:sz="8" w:color="auto"/>
            </w:tcBorders>
          </w:tcPr>
          <w:p>
            <w:pPr>
              <w:spacing w:after="0"/>
              <w:rPr>
                <w:sz w:val="24"/>
                <w:szCs w:val="24"/>
                <w:color w:val="auto"/>
              </w:rPr>
            </w:pPr>
          </w:p>
        </w:tc>
        <w:tc>
          <w:tcPr>
            <w:tcW w:w="6940" w:type="dxa"/>
            <w:vAlign w:val="bottom"/>
            <w:gridSpan w:val="7"/>
          </w:tcPr>
          <w:p>
            <w:pPr>
              <w:ind w:left="40"/>
              <w:spacing w:after="0"/>
              <w:rPr>
                <w:sz w:val="20"/>
                <w:szCs w:val="20"/>
                <w:color w:val="auto"/>
              </w:rPr>
            </w:pPr>
            <w:r>
              <w:rPr>
                <w:rFonts w:ascii="Arial" w:cs="Arial" w:eastAsia="Arial" w:hAnsi="Arial"/>
                <w:sz w:val="18"/>
                <w:szCs w:val="18"/>
                <w:color w:val="auto"/>
                <w:w w:val="99"/>
              </w:rPr>
              <w:t>shares purchasable under the Warrant pursuant to the Net Issue Exercise provisions of</w:t>
            </w:r>
          </w:p>
        </w:tc>
      </w:tr>
      <w:tr>
        <w:trPr>
          <w:trHeight w:val="233"/>
        </w:trPr>
        <w:tc>
          <w:tcPr>
            <w:tcW w:w="780" w:type="dxa"/>
            <w:vAlign w:val="bottom"/>
          </w:tcPr>
          <w:p>
            <w:pPr>
              <w:spacing w:after="0"/>
              <w:rPr>
                <w:sz w:val="20"/>
                <w:szCs w:val="20"/>
                <w:color w:val="auto"/>
              </w:rPr>
            </w:pPr>
          </w:p>
        </w:tc>
        <w:tc>
          <w:tcPr>
            <w:tcW w:w="2340" w:type="dxa"/>
            <w:vAlign w:val="bottom"/>
            <w:gridSpan w:val="4"/>
          </w:tcPr>
          <w:p>
            <w:pPr>
              <w:ind w:left="220"/>
              <w:spacing w:after="0"/>
              <w:rPr>
                <w:sz w:val="20"/>
                <w:szCs w:val="20"/>
                <w:color w:val="auto"/>
              </w:rPr>
            </w:pPr>
            <w:r>
              <w:rPr>
                <w:rFonts w:ascii="Arial" w:cs="Arial" w:eastAsia="Arial" w:hAnsi="Arial"/>
                <w:sz w:val="18"/>
                <w:szCs w:val="18"/>
                <w:color w:val="auto"/>
                <w:w w:val="89"/>
              </w:rPr>
              <w:t>Section 2(d) of such Warrant.</w:t>
            </w:r>
          </w:p>
        </w:tc>
        <w:tc>
          <w:tcPr>
            <w:tcW w:w="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380"/>
        <w:spacing w:after="0" w:line="271" w:lineRule="auto"/>
        <w:rPr>
          <w:sz w:val="20"/>
          <w:szCs w:val="20"/>
          <w:color w:val="auto"/>
        </w:rPr>
      </w:pPr>
      <w:r>
        <w:rPr>
          <w:rFonts w:ascii="Arial" w:cs="Arial" w:eastAsia="Arial" w:hAnsi="Arial"/>
          <w:sz w:val="18"/>
          <w:szCs w:val="18"/>
          <w:color w:val="auto"/>
        </w:rPr>
        <w:t>The undersigned acknowledges that it has reviewed the representations and warranties of the Registered Holder set forth in the Warrant and by its signature below hereby makes such representations and warranties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Defined terms contained in this form shall have the meanings assigned to them in the Warrant.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Shopify International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780"/>
          </w:cols>
          <w:pgMar w:left="480" w:top="268" w:right="63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231"/>
        </w:trPr>
        <w:tc>
          <w:tcPr>
            <w:tcW w:w="2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Exhibit C</w:t>
            </w:r>
          </w:p>
        </w:tc>
        <w:tc>
          <w:tcPr>
            <w:tcW w:w="3500" w:type="dxa"/>
            <w:vAlign w:val="bottom"/>
          </w:tcPr>
          <w:p>
            <w:pPr>
              <w:spacing w:after="0"/>
              <w:rPr>
                <w:sz w:val="20"/>
                <w:szCs w:val="20"/>
                <w:color w:val="auto"/>
              </w:rPr>
            </w:pPr>
          </w:p>
        </w:tc>
      </w:tr>
      <w:tr>
        <w:trPr>
          <w:trHeight w:val="428"/>
        </w:trPr>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ASSIGNMENT FORM</w:t>
            </w:r>
          </w:p>
        </w:tc>
        <w:tc>
          <w:tcPr>
            <w:tcW w:w="3500" w:type="dxa"/>
            <w:vAlign w:val="bottom"/>
          </w:tcPr>
          <w:p>
            <w:pPr>
              <w:spacing w:after="0"/>
              <w:rPr>
                <w:sz w:val="24"/>
                <w:szCs w:val="24"/>
                <w:color w:val="auto"/>
              </w:rPr>
            </w:pPr>
          </w:p>
        </w:tc>
      </w:tr>
      <w:tr>
        <w:trPr>
          <w:trHeight w:val="389"/>
        </w:trPr>
        <w:tc>
          <w:tcPr>
            <w:tcW w:w="2420" w:type="dxa"/>
            <w:vAlign w:val="bottom"/>
          </w:tcPr>
          <w:p>
            <w:pPr>
              <w:ind w:left="440"/>
              <w:spacing w:after="0"/>
              <w:rPr>
                <w:sz w:val="20"/>
                <w:szCs w:val="20"/>
                <w:color w:val="auto"/>
              </w:rPr>
            </w:pPr>
            <w:r>
              <w:rPr>
                <w:rFonts w:ascii="Arial" w:cs="Arial" w:eastAsia="Arial" w:hAnsi="Arial"/>
                <w:sz w:val="18"/>
                <w:szCs w:val="18"/>
                <w:color w:val="auto"/>
                <w:w w:val="96"/>
              </w:rPr>
              <w:t>FOR VALUE RECEIVED,</w:t>
            </w:r>
          </w:p>
        </w:tc>
        <w:tc>
          <w:tcPr>
            <w:tcW w:w="720" w:type="dxa"/>
            <w:vAlign w:val="bottom"/>
            <w:tcBorders>
              <w:bottom w:val="single" w:sz="8" w:color="auto"/>
            </w:tcBorders>
          </w:tcPr>
          <w:p>
            <w:pPr>
              <w:spacing w:after="0"/>
              <w:rPr>
                <w:sz w:val="24"/>
                <w:szCs w:val="24"/>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w w:val="95"/>
              </w:rPr>
              <w:t>hereby sells, assigns and transfers all of the rights of the undersigned under the attached Warrant with</w:t>
            </w:r>
          </w:p>
        </w:tc>
      </w:tr>
      <w:tr>
        <w:trPr>
          <w:trHeight w:val="233"/>
        </w:trPr>
        <w:tc>
          <w:tcPr>
            <w:tcW w:w="7420" w:type="dxa"/>
            <w:vAlign w:val="bottom"/>
            <w:gridSpan w:val="6"/>
          </w:tcPr>
          <w:p>
            <w:pPr>
              <w:spacing w:after="0"/>
              <w:rPr>
                <w:sz w:val="20"/>
                <w:szCs w:val="20"/>
                <w:color w:val="auto"/>
              </w:rPr>
            </w:pPr>
            <w:r>
              <w:rPr>
                <w:rFonts w:ascii="Arial" w:cs="Arial" w:eastAsia="Arial" w:hAnsi="Arial"/>
                <w:sz w:val="18"/>
                <w:szCs w:val="18"/>
                <w:color w:val="auto"/>
              </w:rPr>
              <w:t>respect to the number of Ordinary Shares covered thereby set forth below, unto:</w:t>
            </w:r>
          </w:p>
        </w:tc>
        <w:tc>
          <w:tcPr>
            <w:tcW w:w="3500" w:type="dxa"/>
            <w:vAlign w:val="bottom"/>
          </w:tcPr>
          <w:p>
            <w:pPr>
              <w:spacing w:after="0"/>
              <w:rPr>
                <w:sz w:val="20"/>
                <w:szCs w:val="20"/>
                <w:color w:val="auto"/>
              </w:rPr>
            </w:pPr>
          </w:p>
        </w:tc>
      </w:tr>
      <w:tr>
        <w:trPr>
          <w:trHeight w:val="403"/>
        </w:trPr>
        <w:tc>
          <w:tcPr>
            <w:tcW w:w="24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w w:val="88"/>
              </w:rPr>
              <w:t>Name of Assignee</w:t>
            </w: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Address</w:t>
            </w:r>
          </w:p>
        </w:tc>
        <w:tc>
          <w:tcPr>
            <w:tcW w:w="100" w:type="dxa"/>
            <w:vAlign w:val="bottom"/>
          </w:tcPr>
          <w:p>
            <w:pPr>
              <w:spacing w:after="0"/>
              <w:rPr>
                <w:sz w:val="24"/>
                <w:szCs w:val="24"/>
                <w:color w:val="auto"/>
              </w:rPr>
            </w:pPr>
          </w:p>
        </w:tc>
        <w:tc>
          <w:tcPr>
            <w:tcW w:w="350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No. of Shares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920"/>
          </w:cols>
          <w:pgMar w:left="480" w:top="268" w:right="499" w:bottom="1440" w:gutter="0" w:footer="0" w:header="0"/>
        </w:sectPr>
      </w:pPr>
    </w:p>
    <w:bookmarkStart w:id="476" w:name="page477"/>
    <w:bookmarkEnd w:id="4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D</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JOINDER</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 20</w:t>
      </w:r>
    </w:p>
    <w:p>
      <w:pPr>
        <w:spacing w:after="0" w:line="208"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This Joinder Agreement (the “</w:t>
      </w:r>
      <w:r>
        <w:rPr>
          <w:rFonts w:ascii="Arial" w:cs="Arial" w:eastAsia="Arial" w:hAnsi="Arial"/>
          <w:sz w:val="16"/>
          <w:szCs w:val="16"/>
          <w:u w:val="single" w:color="auto"/>
          <w:color w:val="auto"/>
        </w:rPr>
        <w:t>Joinder Agreement</w:t>
      </w:r>
      <w:r>
        <w:rPr>
          <w:rFonts w:ascii="Arial" w:cs="Arial" w:eastAsia="Arial" w:hAnsi="Arial"/>
          <w:sz w:val="16"/>
          <w:szCs w:val="16"/>
          <w:color w:val="auto"/>
        </w:rPr>
        <w:t>”) to the [Third] Amended and Restated Investors’ Rights Agreement, dated [</w:t>
      </w:r>
      <w:r>
        <w:rPr>
          <w:rFonts w:ascii="Arial" w:cs="Arial" w:eastAsia="Arial" w:hAnsi="Arial"/>
          <w:sz w:val="16"/>
          <w:szCs w:val="16"/>
          <w:i w:val="1"/>
          <w:iCs w:val="1"/>
          <w:color w:val="auto"/>
        </w:rPr>
        <w:t>the date of the most</w:t>
      </w:r>
      <w:r>
        <w:rPr>
          <w:rFonts w:ascii="Arial" w:cs="Arial" w:eastAsia="Arial" w:hAnsi="Arial"/>
          <w:sz w:val="16"/>
          <w:szCs w:val="16"/>
          <w:color w:val="auto"/>
        </w:rPr>
        <w:t xml:space="preserve"> </w:t>
      </w:r>
      <w:r>
        <w:rPr>
          <w:rFonts w:ascii="Arial" w:cs="Arial" w:eastAsia="Arial" w:hAnsi="Arial"/>
          <w:sz w:val="16"/>
          <w:szCs w:val="16"/>
          <w:i w:val="1"/>
          <w:iCs w:val="1"/>
          <w:color w:val="auto"/>
        </w:rPr>
        <w:t>updated IRA in force to be included</w:t>
      </w:r>
      <w:r>
        <w:rPr>
          <w:rFonts w:ascii="Arial" w:cs="Arial" w:eastAsia="Arial" w:hAnsi="Arial"/>
          <w:sz w:val="16"/>
          <w:szCs w:val="16"/>
          <w:color w:val="auto"/>
        </w:rPr>
        <w:t>], by and among Global-e Online Ltd.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and entities identified therein (the “</w:t>
      </w:r>
      <w:r>
        <w:rPr>
          <w:rFonts w:ascii="Arial" w:cs="Arial" w:eastAsia="Arial" w:hAnsi="Arial"/>
          <w:sz w:val="16"/>
          <w:szCs w:val="16"/>
          <w:u w:val="single" w:color="auto"/>
          <w:color w:val="auto"/>
        </w:rPr>
        <w:t>IRA</w:t>
      </w:r>
      <w:r>
        <w:rPr>
          <w:rFonts w:ascii="Arial" w:cs="Arial" w:eastAsia="Arial" w:hAnsi="Arial"/>
          <w:sz w:val="16"/>
          <w:szCs w:val="16"/>
          <w:color w:val="auto"/>
        </w:rPr>
        <w:t>”), is</w:t>
      </w:r>
      <w:r>
        <w:rPr>
          <w:rFonts w:ascii="Arial" w:cs="Arial" w:eastAsia="Arial" w:hAnsi="Arial"/>
          <w:sz w:val="16"/>
          <w:szCs w:val="16"/>
          <w:i w:val="1"/>
          <w:iCs w:val="1"/>
          <w:color w:val="auto"/>
        </w:rPr>
        <w:t xml:space="preserve"> </w:t>
      </w:r>
      <w:r>
        <w:rPr>
          <w:rFonts w:ascii="Arial" w:cs="Arial" w:eastAsia="Arial" w:hAnsi="Arial"/>
          <w:sz w:val="16"/>
          <w:szCs w:val="16"/>
          <w:color w:val="auto"/>
        </w:rPr>
        <w:t>made and entered into as of the date first written above, by and between the Company and [Shopify International Limited] (“</w:t>
      </w:r>
      <w:r>
        <w:rPr>
          <w:rFonts w:ascii="Arial" w:cs="Arial" w:eastAsia="Arial" w:hAnsi="Arial"/>
          <w:sz w:val="16"/>
          <w:szCs w:val="16"/>
          <w:u w:val="single" w:color="auto"/>
          <w:color w:val="auto"/>
        </w:rPr>
        <w:t>Registered Holder</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herein shall have the meaning ascribed to them in the IRA.</w:t>
      </w:r>
    </w:p>
    <w:p>
      <w:pPr>
        <w:spacing w:after="0" w:line="221" w:lineRule="exact"/>
        <w:rPr>
          <w:sz w:val="20"/>
          <w:szCs w:val="20"/>
          <w:color w:val="auto"/>
        </w:rPr>
      </w:pPr>
    </w:p>
    <w:p>
      <w:pPr>
        <w:ind w:right="80" w:firstLine="7"/>
        <w:spacing w:after="0" w:line="271" w:lineRule="auto"/>
        <w:tabs>
          <w:tab w:leader="none" w:pos="30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parties hereto hereby acknowledge, agree and confirm that, by the execution of this Joinder Agreement, the Registered Holder shall be deemed to be a party to the IRA, as of the date hereof, and shall be deemed an “Investor” and a “Holder” thereunder.</w:t>
      </w:r>
    </w:p>
    <w:p>
      <w:pPr>
        <w:spacing w:after="0" w:line="174" w:lineRule="exact"/>
        <w:rPr>
          <w:rFonts w:ascii="Arial" w:cs="Arial" w:eastAsia="Arial" w:hAnsi="Arial"/>
          <w:sz w:val="18"/>
          <w:szCs w:val="18"/>
          <w:color w:val="auto"/>
        </w:rPr>
      </w:pPr>
    </w:p>
    <w:p>
      <w:pPr>
        <w:ind w:right="440" w:firstLine="7"/>
        <w:spacing w:after="0" w:line="271" w:lineRule="auto"/>
        <w:tabs>
          <w:tab w:leader="none" w:pos="30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Registered Holder hereby agrees to be bound by the IRA and to be subject to all of the rights and obligations of an Investor and/or Holder therein for all intents and purposes (including, without limitation, to the market standoff and confidentiality provisions).</w:t>
      </w:r>
    </w:p>
    <w:p>
      <w:pPr>
        <w:spacing w:after="0" w:line="174" w:lineRule="exact"/>
        <w:rPr>
          <w:rFonts w:ascii="Arial" w:cs="Arial" w:eastAsia="Arial" w:hAnsi="Arial"/>
          <w:sz w:val="18"/>
          <w:szCs w:val="18"/>
          <w:color w:val="auto"/>
        </w:rPr>
      </w:pPr>
    </w:p>
    <w:p>
      <w:pPr>
        <w:ind w:right="20" w:firstLine="7"/>
        <w:spacing w:after="0" w:line="288" w:lineRule="auto"/>
        <w:tabs>
          <w:tab w:leader="none" w:pos="309"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This Joinder Agreement shall be governed by and construed according to the laws of the State of Israel, without regard to the conflict of laws’ provisions thereof. Any term of this Joinder Agreement may be amended and the severance of any term hereof may be waived (either generally or in a particular instance and either retroactively or prospectively) only with the written consent of all parties hereto. This Joinder Agreement may be executed in any number of counterparts (including via facsimile or email, pdf. files and/or DocuSign), each of which shall be enforceable against the parties actually executing such counterparts, and all of which together shall constitute one instrument. If one or more provisions of this Joinder Agreement are held to be unenforceable under applicable law, such provision shall be excluded from this Joinder Agreement and the balance of the Joinder Agreement shall be interpreted as if such provision were so excluded and shall be enforceable in accordance with its terms.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00"/>
          </w:cols>
          <w:pgMar w:left="480" w:top="268" w:right="51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Address: 25 Basel Street, Petah Tikva, 4951038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SHOPIFY INTERNATIONAL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Address: 2nd Floor Victoria Buildings 1-2 Haddington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Road, Dublin 4, D04 XN32, Ireland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Email: contract_notices@shopify.com</w:t>
      </w:r>
    </w:p>
    <w:p>
      <w:pPr>
        <w:sectPr>
          <w:pgSz w:w="11900" w:h="16838" w:orient="portrait"/>
          <w:cols w:equalWidth="0" w:num="1">
            <w:col w:w="9979"/>
          </w:cols>
          <w:pgMar w:left="480" w:top="268" w:right="1440"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ind w:right="180" w:firstLine="7"/>
        <w:spacing w:after="0" w:line="271" w:lineRule="auto"/>
        <w:tabs>
          <w:tab w:leader="none" w:pos="431" w:val="left"/>
        </w:tabs>
        <w:numPr>
          <w:ilvl w:val="0"/>
          <w:numId w:val="439"/>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SERVICES AND PARTNERSHIP AGREEMENT</w:t>
      </w:r>
    </w:p>
    <w:p>
      <w:pPr>
        <w:spacing w:after="0" w:line="2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THIS SERVICE AND PARTNERSHIP AGREEMENT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April 12, 2021 (“</w:t>
      </w:r>
      <w:r>
        <w:rPr>
          <w:rFonts w:ascii="Arial" w:cs="Arial" w:eastAsia="Arial" w:hAnsi="Arial"/>
          <w:sz w:val="18"/>
          <w:szCs w:val="18"/>
          <w:b w:val="1"/>
          <w:bCs w:val="1"/>
          <w:color w:val="auto"/>
        </w:rPr>
        <w:t>Effective Date</w:t>
      </w:r>
      <w:r>
        <w:rPr>
          <w:rFonts w:ascii="Arial" w:cs="Arial" w:eastAsia="Arial" w:hAnsi="Arial"/>
          <w:sz w:val="18"/>
          <w:szCs w:val="18"/>
          <w:color w:val="auto"/>
        </w:rPr>
        <w:t>”) and is made between Shopify Inc., with an address at 151 O’Connor Street, Ottawa, Ontario, Canada, K2P 2L8, Shopify International Limited, with an address at 2nd Floor Victoria Buildings 1-2 Haddington Road, Dublin 4, D04 XN32, Ireland (referred to jointly herein as “</w:t>
      </w:r>
      <w:r>
        <w:rPr>
          <w:rFonts w:ascii="Arial" w:cs="Arial" w:eastAsia="Arial" w:hAnsi="Arial"/>
          <w:sz w:val="18"/>
          <w:szCs w:val="18"/>
          <w:b w:val="1"/>
          <w:bCs w:val="1"/>
          <w:color w:val="auto"/>
        </w:rPr>
        <w:t>Shopify</w:t>
      </w:r>
      <w:r>
        <w:rPr>
          <w:rFonts w:ascii="Arial" w:cs="Arial" w:eastAsia="Arial" w:hAnsi="Arial"/>
          <w:sz w:val="18"/>
          <w:szCs w:val="18"/>
          <w:color w:val="auto"/>
        </w:rPr>
        <w:t>”) and Global-e Online Ltd., with an address at 25 Bazel St., Petah Tikva, Israel (“</w:t>
      </w:r>
      <w:r>
        <w:rPr>
          <w:rFonts w:ascii="Arial" w:cs="Arial" w:eastAsia="Arial" w:hAnsi="Arial"/>
          <w:sz w:val="18"/>
          <w:szCs w:val="18"/>
          <w:b w:val="1"/>
          <w:bCs w:val="1"/>
          <w:color w:val="auto"/>
        </w:rPr>
        <w:t>GLBE”</w:t>
      </w:r>
      <w:r>
        <w:rPr>
          <w:rFonts w:ascii="Arial" w:cs="Arial" w:eastAsia="Arial" w:hAnsi="Arial"/>
          <w:sz w:val="18"/>
          <w:szCs w:val="18"/>
          <w:color w:val="auto"/>
        </w:rPr>
        <w:t>). Shopify and GLBE are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For the purposes of this Agreement, except as otherwise specified, references to either Party shall be deemed to be references also to such Party’s Affiliates (as defined below) and shall bind such Affiliates.</w:t>
      </w:r>
    </w:p>
    <w:p>
      <w:pPr>
        <w:spacing w:after="0" w:line="189" w:lineRule="exact"/>
        <w:rPr>
          <w:sz w:val="20"/>
          <w:szCs w:val="20"/>
          <w:color w:val="auto"/>
        </w:rPr>
      </w:pPr>
    </w:p>
    <w:p>
      <w:pPr>
        <w:ind w:left="180" w:hanging="173"/>
        <w:spacing w:after="0"/>
        <w:tabs>
          <w:tab w:leader="none" w:pos="180" w:val="left"/>
        </w:tabs>
        <w:numPr>
          <w:ilvl w:val="0"/>
          <w:numId w:val="440"/>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18"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GLBE offers, administers and provides access to certain Services (as defined below) acting as ‘merchant of record’ for the sale of goods offered by online merchants. GLBE and Shopify are entering into this Agreement for GLBE to make the Services, acting as merchant of record, available to Merchants (as defined below), all in accordance with the terms and conditions set forth in this Agreement.</w:t>
      </w:r>
    </w:p>
    <w:p>
      <w:pPr>
        <w:spacing w:after="0" w:line="165" w:lineRule="exact"/>
        <w:rPr>
          <w:sz w:val="20"/>
          <w:szCs w:val="20"/>
          <w:color w:val="auto"/>
        </w:rPr>
      </w:pPr>
    </w:p>
    <w:p>
      <w:pPr>
        <w:ind w:left="180" w:hanging="173"/>
        <w:spacing w:after="0"/>
        <w:tabs>
          <w:tab w:leader="none" w:pos="180" w:val="left"/>
        </w:tabs>
        <w:numPr>
          <w:ilvl w:val="0"/>
          <w:numId w:val="44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Affiliates</w:t>
      </w:r>
      <w:r>
        <w:rPr>
          <w:rFonts w:ascii="Arial" w:cs="Arial" w:eastAsia="Arial" w:hAnsi="Arial"/>
          <w:sz w:val="18"/>
          <w:szCs w:val="18"/>
          <w:color w:val="auto"/>
        </w:rPr>
        <w:t>” means any entity that directly or indirectly controls, is controlled by or is under common control with a Party.</w:t>
      </w:r>
    </w:p>
    <w:p>
      <w:pPr>
        <w:spacing w:after="0" w:line="114"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color w:val="auto"/>
        </w:rPr>
        <w:t>Applicable Law</w:t>
      </w:r>
      <w:r>
        <w:rPr>
          <w:rFonts w:ascii="Arial" w:cs="Arial" w:eastAsia="Arial" w:hAnsi="Arial"/>
          <w:sz w:val="16"/>
          <w:szCs w:val="16"/>
          <w:color w:val="auto"/>
        </w:rPr>
        <w:t>” means all federal, state, and local laws and regulations, directives and any other relevant authorities, guidance and requirements, including those of Regulatory Authorities or payment networks, applicable to the Parties’ performance under this Agreement, including, but not limited to, as may be applicable, securities laws and regulations (including those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with the Canadian securities regulators), privacy and data protection laws and regulations, anti-money laundering (“</w:t>
      </w:r>
      <w:r>
        <w:rPr>
          <w:rFonts w:ascii="Arial" w:cs="Arial" w:eastAsia="Arial" w:hAnsi="Arial"/>
          <w:sz w:val="16"/>
          <w:szCs w:val="16"/>
          <w:b w:val="1"/>
          <w:bCs w:val="1"/>
          <w:color w:val="auto"/>
        </w:rPr>
        <w:t>AML</w:t>
      </w:r>
      <w:r>
        <w:rPr>
          <w:rFonts w:ascii="Arial" w:cs="Arial" w:eastAsia="Arial" w:hAnsi="Arial"/>
          <w:sz w:val="16"/>
          <w:szCs w:val="16"/>
          <w:color w:val="auto"/>
        </w:rPr>
        <w:t>”),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and applicable anti-bribery and anti-corruption laws including the Foreign Corrupt Practices Act.</w:t>
      </w:r>
    </w:p>
    <w:p>
      <w:pPr>
        <w:spacing w:after="0" w:line="50" w:lineRule="exact"/>
        <w:rPr>
          <w:sz w:val="20"/>
          <w:szCs w:val="20"/>
          <w:color w:val="auto"/>
        </w:rPr>
      </w:pPr>
    </w:p>
    <w:p>
      <w:pPr>
        <w:ind w:right="60" w:firstLine="436"/>
        <w:spacing w:after="0" w:line="261"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sale of all or substantially all the assets of a Party; any merger, consolidation or acquisition of a Party with, by or into another corporation, entity or person; or any change in the ownership of more than fifty percent (50%) of the voting capital stock of a Party in one or more related transactions by another corporation (including its affiliates), entity, or person.</w:t>
      </w:r>
    </w:p>
    <w:p>
      <w:pPr>
        <w:spacing w:after="0" w:line="7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2.4.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the Party making disclosure thereof (“</w:t>
      </w:r>
      <w:r>
        <w:rPr>
          <w:rFonts w:ascii="Arial" w:cs="Arial" w:eastAsia="Arial" w:hAnsi="Arial"/>
          <w:sz w:val="17"/>
          <w:szCs w:val="17"/>
          <w:b w:val="1"/>
          <w:bCs w:val="1"/>
          <w:color w:val="auto"/>
        </w:rPr>
        <w:t>Disclosing Party</w:t>
      </w:r>
      <w:r>
        <w:rPr>
          <w:rFonts w:ascii="Arial" w:cs="Arial" w:eastAsia="Arial" w:hAnsi="Arial"/>
          <w:sz w:val="17"/>
          <w:szCs w:val="17"/>
          <w:color w:val="auto"/>
        </w:rPr>
        <w:t>”) means all data and information, regardless of the form or media, relating to the Disclosing Party of which the receiving Party (“</w:t>
      </w:r>
      <w:r>
        <w:rPr>
          <w:rFonts w:ascii="Arial" w:cs="Arial" w:eastAsia="Arial" w:hAnsi="Arial"/>
          <w:sz w:val="17"/>
          <w:szCs w:val="17"/>
          <w:b w:val="1"/>
          <w:bCs w:val="1"/>
          <w:color w:val="auto"/>
        </w:rPr>
        <w:t>Receiving Party</w:t>
      </w:r>
      <w:r>
        <w:rPr>
          <w:rFonts w:ascii="Arial" w:cs="Arial" w:eastAsia="Arial" w:hAnsi="Arial"/>
          <w:sz w:val="17"/>
          <w:szCs w:val="17"/>
          <w:color w:val="auto"/>
        </w:rPr>
        <w:t>”) becomes aware as a consequence of, or in relation to, the performance of its obligations or rights under this Agreement, which (i) is not generally known by the public, and (ii) is reasonably identified as confidential at the time of disclosure or which, under the circumstances surrounding disclosure, ought to be reasonably considered as confidential. Confidential Information includes (a) any information about Disclosing Party’s and its Affiliates’ (1) employees, (2) business plans, methods and practices, (3) marketing plans, method and practices, including data flows, product processes and security features, (4) financial information, (5) price lists and pricing policies, (6) contracts and contractual relations with customers, (7) customer names and lists, and (8) personally identifiable information (as defined under Applicable Law); (b) technical information and requirements, drawings, engineering data, performance specifications; (c) the existence and terms and conditions of this Agreement; and (d) confidential information of third parties.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79" w:name="page480"/>
    <w:bookmarkEnd w:id="4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 [***]</w:t>
      </w:r>
    </w:p>
    <w:p>
      <w:pPr>
        <w:spacing w:after="0" w:line="110" w:lineRule="exact"/>
        <w:rPr>
          <w:sz w:val="20"/>
          <w:szCs w:val="20"/>
          <w:color w:val="auto"/>
        </w:rPr>
      </w:pPr>
    </w:p>
    <w:p>
      <w:pPr>
        <w:ind w:right="160" w:firstLine="436"/>
        <w:spacing w:after="0" w:line="25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GLBE Services</w:t>
      </w:r>
      <w:r>
        <w:rPr>
          <w:rFonts w:ascii="Arial" w:cs="Arial" w:eastAsia="Arial" w:hAnsi="Arial"/>
          <w:sz w:val="18"/>
          <w:szCs w:val="18"/>
          <w:color w:val="auto"/>
        </w:rPr>
        <w:t>” means localization and merchant of record services, including merchant onboarding services, localized welcome messaging for international buyers, local currency pricing, merchant of record services, local acquiring, local payment methods, duty and tax calculation, international shipping, international returns, buyer-facing customer service, import and export compliance services, and other associated compliance services to enable international direct-to-consumer selling by Merchants.</w:t>
      </w:r>
    </w:p>
    <w:p>
      <w:pPr>
        <w:spacing w:after="0" w:line="76" w:lineRule="exact"/>
        <w:rPr>
          <w:sz w:val="20"/>
          <w:szCs w:val="20"/>
          <w:color w:val="auto"/>
        </w:rPr>
      </w:pPr>
    </w:p>
    <w:p>
      <w:pPr>
        <w:ind w:right="480" w:firstLine="436"/>
        <w:spacing w:after="0" w:line="340"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Gross Merchandise Volume</w:t>
      </w:r>
      <w:r>
        <w:rPr>
          <w:rFonts w:ascii="Arial" w:cs="Arial" w:eastAsia="Arial" w:hAnsi="Arial"/>
          <w:sz w:val="16"/>
          <w:szCs w:val="16"/>
          <w:color w:val="auto"/>
        </w:rPr>
        <w:t>” or “</w:t>
      </w:r>
      <w:r>
        <w:rPr>
          <w:rFonts w:ascii="Arial" w:cs="Arial" w:eastAsia="Arial" w:hAnsi="Arial"/>
          <w:sz w:val="16"/>
          <w:szCs w:val="16"/>
          <w:b w:val="1"/>
          <w:bCs w:val="1"/>
          <w:color w:val="auto"/>
        </w:rPr>
        <w:t>GMV</w:t>
      </w:r>
      <w:r>
        <w:rPr>
          <w:rFonts w:ascii="Arial" w:cs="Arial" w:eastAsia="Arial" w:hAnsi="Arial"/>
          <w:sz w:val="16"/>
          <w:szCs w:val="16"/>
          <w:color w:val="auto"/>
        </w:rPr>
        <w:t>” means the total value of all sales (including shipping and tax amounts) for all transactions processed through the GLBE Shopify App for Merchants (either through the Shopify native checkout or through the GLBE checkout).</w:t>
      </w:r>
    </w:p>
    <w:p>
      <w:pPr>
        <w:spacing w:after="0" w:line="14" w:lineRule="exact"/>
        <w:rPr>
          <w:sz w:val="20"/>
          <w:szCs w:val="20"/>
          <w:color w:val="auto"/>
        </w:rPr>
      </w:pPr>
    </w:p>
    <w:p>
      <w:pPr>
        <w:ind w:firstLine="436"/>
        <w:spacing w:after="0" w:line="284"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color w:val="auto"/>
        </w:rPr>
        <w:t>Materials</w:t>
      </w:r>
      <w:r>
        <w:rPr>
          <w:rFonts w:ascii="Arial" w:cs="Arial" w:eastAsia="Arial" w:hAnsi="Arial"/>
          <w:sz w:val="17"/>
          <w:szCs w:val="17"/>
          <w:color w:val="auto"/>
        </w:rPr>
        <w:t>” means any content, information, materials and items provided or made accessible by a Party pursuant to this Agreement, including APIs, links, text, images, audio, video and other copyright works, and software, tools, technologies and other functional items, and any other intellectual property in whatever format. Shopify Materials and GLBE Materials shall be construed accordingly.</w:t>
      </w:r>
    </w:p>
    <w:p>
      <w:pPr>
        <w:spacing w:after="0" w:line="55" w:lineRule="exact"/>
        <w:rPr>
          <w:sz w:val="20"/>
          <w:szCs w:val="20"/>
          <w:color w:val="auto"/>
        </w:rPr>
      </w:pPr>
    </w:p>
    <w:p>
      <w:pPr>
        <w:ind w:right="180" w:firstLine="436"/>
        <w:spacing w:after="0" w:line="275"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Merchants</w:t>
      </w:r>
      <w:r>
        <w:rPr>
          <w:rFonts w:ascii="Arial" w:cs="Arial" w:eastAsia="Arial" w:hAnsi="Arial"/>
          <w:sz w:val="18"/>
          <w:szCs w:val="18"/>
          <w:color w:val="auto"/>
        </w:rPr>
        <w:t>” means any merchant users of the Shopify commerce platform who will expressly elect to use the GLBE Services, and other merchant users of the Shopify commerce platform currently using GLBE Services.</w:t>
      </w:r>
    </w:p>
    <w:p>
      <w:pPr>
        <w:spacing w:after="0" w:line="61"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“Security Event”</w:t>
      </w:r>
      <w:r>
        <w:rPr>
          <w:rFonts w:ascii="Arial" w:cs="Arial" w:eastAsia="Arial" w:hAnsi="Arial"/>
          <w:sz w:val="18"/>
          <w:szCs w:val="18"/>
          <w:color w:val="auto"/>
        </w:rPr>
        <w:t xml:space="preserve"> means the unauthorized acquisition of or access to any confidential or personally identifiable information that has been provided by or made available on, or through the Shopify platform or the API, including due to access or use by an unauthorized person or due to unauthorized use.</w:t>
      </w:r>
    </w:p>
    <w:p>
      <w:pPr>
        <w:spacing w:after="0" w:line="74" w:lineRule="exact"/>
        <w:rPr>
          <w:sz w:val="20"/>
          <w:szCs w:val="20"/>
          <w:color w:val="auto"/>
        </w:rPr>
      </w:pPr>
    </w:p>
    <w:p>
      <w:pPr>
        <w:ind w:right="1600" w:firstLine="436"/>
        <w:spacing w:after="0" w:line="275"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Shopify API Terms</w:t>
      </w:r>
      <w:r>
        <w:rPr>
          <w:rFonts w:ascii="Arial" w:cs="Arial" w:eastAsia="Arial" w:hAnsi="Arial"/>
          <w:sz w:val="18"/>
          <w:szCs w:val="18"/>
          <w:color w:val="auto"/>
        </w:rPr>
        <w:t>” means the Shopify API License and Terms of use, as amended from time to time, available at https://www.shopify.com/legal/api-terms.</w:t>
      </w:r>
    </w:p>
    <w:p>
      <w:pPr>
        <w:spacing w:after="0" w:line="61" w:lineRule="exact"/>
        <w:rPr>
          <w:sz w:val="20"/>
          <w:szCs w:val="20"/>
          <w:color w:val="auto"/>
        </w:rPr>
      </w:pPr>
    </w:p>
    <w:p>
      <w:pPr>
        <w:ind w:right="1460" w:firstLine="436"/>
        <w:spacing w:after="0" w:line="275"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Shopify Partner Terms</w:t>
      </w:r>
      <w:r>
        <w:rPr>
          <w:rFonts w:ascii="Arial" w:cs="Arial" w:eastAsia="Arial" w:hAnsi="Arial"/>
          <w:sz w:val="18"/>
          <w:szCs w:val="18"/>
          <w:color w:val="auto"/>
        </w:rPr>
        <w:t>” means the Shopify Partner Program Agreement, as amended from time to time, available at https://www.shopify.ca/partners/terms.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Taxes</w:t>
      </w:r>
      <w:r>
        <w:rPr>
          <w:rFonts w:ascii="Arial" w:cs="Arial" w:eastAsia="Arial" w:hAnsi="Arial"/>
          <w:sz w:val="18"/>
          <w:szCs w:val="18"/>
          <w:color w:val="auto"/>
        </w:rPr>
        <w:t>” means any taxes, levies, assessments, imposts, duties or similar charges imposed by any taxing authority.</w:t>
      </w:r>
    </w:p>
    <w:p>
      <w:pPr>
        <w:spacing w:after="0" w:line="114" w:lineRule="exact"/>
        <w:rPr>
          <w:sz w:val="20"/>
          <w:szCs w:val="20"/>
          <w:color w:val="auto"/>
        </w:rPr>
      </w:pPr>
    </w:p>
    <w:p>
      <w:pPr>
        <w:ind w:left="180" w:hanging="173"/>
        <w:spacing w:after="0"/>
        <w:tabs>
          <w:tab w:leader="none" w:pos="18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Commercial Arrangement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Strategic Partnership</w:t>
      </w:r>
    </w:p>
    <w:p>
      <w:pPr>
        <w:spacing w:after="0" w:line="118" w:lineRule="exact"/>
        <w:rPr>
          <w:sz w:val="20"/>
          <w:szCs w:val="20"/>
          <w:color w:val="auto"/>
        </w:rPr>
      </w:pPr>
    </w:p>
    <w:p>
      <w:pPr>
        <w:ind w:right="60" w:firstLine="982"/>
        <w:spacing w:after="0" w:line="259" w:lineRule="auto"/>
        <w:rPr>
          <w:sz w:val="20"/>
          <w:szCs w:val="20"/>
          <w:color w:val="auto"/>
        </w:rPr>
      </w:pPr>
      <w:r>
        <w:rPr>
          <w:rFonts w:ascii="Arial" w:cs="Arial" w:eastAsia="Arial" w:hAnsi="Arial"/>
          <w:sz w:val="18"/>
          <w:szCs w:val="18"/>
          <w:color w:val="auto"/>
        </w:rPr>
        <w:t>3.1.1. Commencing on the Effective Date, Shopify and GLBE shall become strategic partners as provided hereinafter and shall continue their co-operation in order to secure and strengthen the existing collaboration to increase effective cross-border trade and benefit from mutual strong growth in the activity of the Merchants.</w:t>
      </w:r>
    </w:p>
    <w:p>
      <w:pPr>
        <w:spacing w:after="0" w:line="79" w:lineRule="exact"/>
        <w:rPr>
          <w:sz w:val="20"/>
          <w:szCs w:val="20"/>
          <w:color w:val="auto"/>
        </w:rPr>
      </w:pPr>
    </w:p>
    <w:p>
      <w:pPr>
        <w:ind w:right="140" w:firstLine="982"/>
        <w:spacing w:after="0" w:line="271" w:lineRule="auto"/>
        <w:rPr>
          <w:sz w:val="20"/>
          <w:szCs w:val="20"/>
          <w:color w:val="auto"/>
        </w:rPr>
      </w:pPr>
      <w:r>
        <w:rPr>
          <w:rFonts w:ascii="Arial" w:cs="Arial" w:eastAsia="Arial" w:hAnsi="Arial"/>
          <w:sz w:val="18"/>
          <w:szCs w:val="18"/>
          <w:color w:val="auto"/>
        </w:rPr>
        <w:t>3.1.2. To affect such strategic partnership, each of GLBE and Shopify shall commit to certain undertakings and obligations towards the other party as further described hereinafter.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Scope of Relationship</w:t>
      </w:r>
    </w:p>
    <w:p>
      <w:pPr>
        <w:spacing w:after="0" w:line="118" w:lineRule="exact"/>
        <w:rPr>
          <w:sz w:val="20"/>
          <w:szCs w:val="20"/>
          <w:color w:val="auto"/>
        </w:rPr>
      </w:pPr>
    </w:p>
    <w:p>
      <w:pPr>
        <w:jc w:val="both"/>
        <w:ind w:right="60" w:firstLine="982"/>
        <w:spacing w:after="0" w:line="259" w:lineRule="auto"/>
        <w:rPr>
          <w:sz w:val="20"/>
          <w:szCs w:val="20"/>
          <w:color w:val="auto"/>
        </w:rPr>
      </w:pPr>
      <w:r>
        <w:rPr>
          <w:rFonts w:ascii="Arial" w:cs="Arial" w:eastAsia="Arial" w:hAnsi="Arial"/>
          <w:sz w:val="18"/>
          <w:szCs w:val="18"/>
          <w:color w:val="auto"/>
        </w:rPr>
        <w:t>3.2.1. For the duration of the Term, GLBE will be the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480" w:top="272" w:right="659" w:bottom="1440" w:gutter="0" w:footer="0" w:header="0"/>
        </w:sectPr>
      </w:pPr>
    </w:p>
    <w:bookmarkStart w:id="480" w:name="page481"/>
    <w:bookmarkEnd w:id="480"/>
    <w:p>
      <w:pPr>
        <w:ind w:right="180" w:firstLine="982"/>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3.2.2. Notwithstanding anything to the contrary, Shopify will be entitled to offer its own native, whitelabel, or branded partnership merchant of record solution to any merchants without limitation. Further, each Party will remain free to contract with others with respect to the subject matter of the Agreement, and to provide services that are the same as or similar to those provided by the other party, provided that it does not use the other party’s Confidential Information in so doing. Shopify, may, at its sole discretion, or based on merchants’ needs, refer clients to use the GLBE Services,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in no event will Shopify be required to refer any merchants to GLBE, in preference over other providers of similar services.</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3.2.3. The Parties will cooperate in good faith to set mutual goals for the partnership.</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Consideration</w:t>
      </w:r>
    </w:p>
    <w:p>
      <w:pPr>
        <w:spacing w:after="0" w:line="127" w:lineRule="exact"/>
        <w:rPr>
          <w:sz w:val="20"/>
          <w:szCs w:val="20"/>
          <w:color w:val="auto"/>
        </w:rPr>
      </w:pPr>
    </w:p>
    <w:p>
      <w:pPr>
        <w:ind w:left="440" w:hanging="427"/>
        <w:spacing w:after="0" w:line="251"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b w:val="1"/>
          <w:bCs w:val="1"/>
          <w:u w:val="single" w:color="auto"/>
          <w:color w:val="auto"/>
        </w:rPr>
        <w:t>Shopify Revenue Share</w:t>
      </w:r>
      <w:r>
        <w:rPr>
          <w:rFonts w:ascii="Arial" w:cs="Arial" w:eastAsia="Arial" w:hAnsi="Arial"/>
          <w:sz w:val="18"/>
          <w:szCs w:val="18"/>
          <w:color w:val="auto"/>
        </w:rPr>
        <w:t>. During the Term, Shopify is entitled to the “</w:t>
      </w:r>
      <w:r>
        <w:rPr>
          <w:rFonts w:ascii="Arial" w:cs="Arial" w:eastAsia="Arial" w:hAnsi="Arial"/>
          <w:sz w:val="18"/>
          <w:szCs w:val="18"/>
          <w:b w:val="1"/>
          <w:bCs w:val="1"/>
          <w:color w:val="auto"/>
        </w:rPr>
        <w:t>Shopify Revenue Share</w:t>
      </w:r>
      <w:r>
        <w:rPr>
          <w:rFonts w:ascii="Arial" w:cs="Arial" w:eastAsia="Arial" w:hAnsi="Arial"/>
          <w:sz w:val="18"/>
          <w:szCs w:val="18"/>
          <w:color w:val="auto"/>
        </w:rPr>
        <w:t>”, for each Merchant who uses the GLBE Services during the Term, calculated as the product of (i) the [***] during an applicable calendar month, multiplied by (ii) [***]. Notwithstanding the aforementioned, with respect to [***], including such [***] with respect to which payments were due and made to Shopify prior to the Effective Date, then commencing on the Effective Date and continuing for the [***] period thereafter, the Shopify Revenue Share will be calculated as the product of (i) the [***] during an applicable calendar month, multiplied by (ii) [***]. Commencing as of immediately following [***], the Shopify Revenue Share payable for such [***] will [***] from [***] and will continue throughout the Term as of that point. Without derogating from this provisions of this Section 3.3.1, Shopify and GLBE will discuss in good faith and from time to time and will mutually agree on a case by case basis, [***] with respect to [***]. The discussion will take place between GLBE’s CRO and Shopify’s Partnership Manager, unless otherwise agreed on an ad-hoc basis.</w:t>
      </w:r>
    </w:p>
    <w:p>
      <w:pPr>
        <w:spacing w:after="0" w:line="85" w:lineRule="exact"/>
        <w:rPr>
          <w:sz w:val="20"/>
          <w:szCs w:val="20"/>
          <w:color w:val="auto"/>
        </w:rPr>
      </w:pPr>
    </w:p>
    <w:p>
      <w:pPr>
        <w:ind w:left="440" w:right="20" w:firstLine="419"/>
        <w:spacing w:after="0" w:line="27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b w:val="1"/>
          <w:bCs w:val="1"/>
          <w:u w:val="single" w:color="auto"/>
          <w:color w:val="auto"/>
        </w:rPr>
        <w:t>Warrant Agreement</w:t>
      </w:r>
      <w:r>
        <w:rPr>
          <w:rFonts w:ascii="Arial" w:cs="Arial" w:eastAsia="Arial" w:hAnsi="Arial"/>
          <w:sz w:val="18"/>
          <w:szCs w:val="18"/>
          <w:color w:val="auto"/>
        </w:rPr>
        <w:t xml:space="preserve">. At the time of execution of this Agreement, the Parties shall enter into the warrant agreement attached hereto as </w:t>
      </w:r>
      <w:r>
        <w:rPr>
          <w:rFonts w:ascii="Arial" w:cs="Arial" w:eastAsia="Arial" w:hAnsi="Arial"/>
          <w:sz w:val="18"/>
          <w:szCs w:val="18"/>
          <w:b w:val="1"/>
          <w:bCs w:val="1"/>
          <w:u w:val="single" w:color="auto"/>
          <w:color w:val="auto"/>
        </w:rPr>
        <w:t>Schedule 3.3.2</w:t>
      </w:r>
      <w:r>
        <w:rPr>
          <w:rFonts w:ascii="Arial" w:cs="Arial" w:eastAsia="Arial" w:hAnsi="Arial"/>
          <w:sz w:val="18"/>
          <w:szCs w:val="18"/>
          <w:color w:val="auto"/>
        </w:rPr>
        <w:t>.</w:t>
      </w:r>
    </w:p>
    <w:p>
      <w:pPr>
        <w:spacing w:after="0" w:line="74" w:lineRule="exact"/>
        <w:rPr>
          <w:sz w:val="20"/>
          <w:szCs w:val="20"/>
          <w:color w:val="auto"/>
        </w:rPr>
      </w:pPr>
    </w:p>
    <w:p>
      <w:pPr>
        <w:ind w:left="440" w:right="220" w:hanging="427"/>
        <w:spacing w:after="0" w:line="261"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b w:val="1"/>
          <w:bCs w:val="1"/>
          <w:u w:val="single" w:color="auto"/>
          <w:color w:val="auto"/>
        </w:rPr>
        <w:t>Payouts to Shopify</w:t>
      </w:r>
      <w:r>
        <w:rPr>
          <w:rFonts w:ascii="Arial" w:cs="Arial" w:eastAsia="Arial" w:hAnsi="Arial"/>
          <w:sz w:val="18"/>
          <w:szCs w:val="18"/>
          <w:color w:val="auto"/>
        </w:rPr>
        <w:t>. No later than [***] business days following the end of each calendar month during the Term, GLBE will transfer, in U.S. dollars via wire transfer or ACH, to Shopify’s U.S. bank account (the “</w:t>
      </w:r>
      <w:r>
        <w:rPr>
          <w:rFonts w:ascii="Arial" w:cs="Arial" w:eastAsia="Arial" w:hAnsi="Arial"/>
          <w:sz w:val="18"/>
          <w:szCs w:val="18"/>
          <w:b w:val="1"/>
          <w:bCs w:val="1"/>
          <w:color w:val="auto"/>
        </w:rPr>
        <w:t>Shopify Account</w:t>
      </w:r>
      <w:r>
        <w:rPr>
          <w:rFonts w:ascii="Arial" w:cs="Arial" w:eastAsia="Arial" w:hAnsi="Arial"/>
          <w:sz w:val="18"/>
          <w:szCs w:val="18"/>
          <w:color w:val="auto"/>
        </w:rPr>
        <w:t>”) the aggregate amount of Shopify Revenue Share due for such calendar month pursuant to Sections 3.3.1.</w:t>
      </w:r>
    </w:p>
    <w:p>
      <w:pPr>
        <w:spacing w:after="0" w:line="87" w:lineRule="exact"/>
        <w:rPr>
          <w:sz w:val="20"/>
          <w:szCs w:val="20"/>
          <w:color w:val="auto"/>
        </w:rPr>
      </w:pPr>
    </w:p>
    <w:p>
      <w:pPr>
        <w:ind w:left="440" w:right="40" w:hanging="427"/>
        <w:spacing w:after="0" w:line="269"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b w:val="1"/>
          <w:bCs w:val="1"/>
          <w:u w:val="single" w:color="auto"/>
          <w:color w:val="auto"/>
        </w:rPr>
        <w:t>Statement of Accounts</w:t>
      </w:r>
      <w:r>
        <w:rPr>
          <w:rFonts w:ascii="Arial" w:cs="Arial" w:eastAsia="Arial" w:hAnsi="Arial"/>
          <w:sz w:val="17"/>
          <w:szCs w:val="17"/>
          <w:color w:val="auto"/>
        </w:rPr>
        <w:t xml:space="preserve">. GLBE hereby acknowledges and agrees to submit relevant reports to Shopify and shall do so on a monthly basis for each month (or portion of a month), as defined herein. GLBE will submit to Shopify each month via email [***], a statement detailing the total amount of Shopify Revenue Share for the month, including the total Gross Merchandise Volume segmented according to [***] processed by Merchant country location and which is transacted for Merchants through Shopify’s native checkout and [***], and any other associated information requested by Shopify, all of which will be compiled by GLBE acting in good faith. GLBE will provide Shopify such statement in substantially the format set out in </w:t>
      </w:r>
      <w:r>
        <w:rPr>
          <w:rFonts w:ascii="Arial" w:cs="Arial" w:eastAsia="Arial" w:hAnsi="Arial"/>
          <w:sz w:val="17"/>
          <w:szCs w:val="17"/>
          <w:b w:val="1"/>
          <w:bCs w:val="1"/>
          <w:u w:val="single" w:color="auto"/>
          <w:color w:val="auto"/>
        </w:rPr>
        <w:t>Schedule 3.3.4</w:t>
      </w:r>
      <w:r>
        <w:rPr>
          <w:rFonts w:ascii="Arial" w:cs="Arial" w:eastAsia="Arial" w:hAnsi="Arial"/>
          <w:sz w:val="17"/>
          <w:szCs w:val="17"/>
          <w:color w:val="auto"/>
        </w:rPr>
        <w:t>, which will be deemed accepted after 30 days from submission. The reporting by GLBE will be at all times in sufficient detail to permit Shopify to validate the amount of any such payment.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GLBE Obligations</w:t>
      </w:r>
    </w:p>
    <w:p>
      <w:pPr>
        <w:spacing w:after="0" w:line="118" w:lineRule="exact"/>
        <w:rPr>
          <w:sz w:val="20"/>
          <w:szCs w:val="20"/>
          <w:color w:val="auto"/>
        </w:rPr>
      </w:pPr>
    </w:p>
    <w:p>
      <w:pPr>
        <w:jc w:val="both"/>
        <w:ind w:left="440" w:right="340" w:firstLine="419"/>
        <w:spacing w:after="0" w:line="259" w:lineRule="auto"/>
        <w:rPr>
          <w:sz w:val="20"/>
          <w:szCs w:val="20"/>
          <w:color w:val="auto"/>
        </w:rPr>
      </w:pPr>
      <w:r>
        <w:rPr>
          <w:rFonts w:ascii="Arial" w:cs="Arial" w:eastAsia="Arial" w:hAnsi="Arial"/>
          <w:sz w:val="18"/>
          <w:szCs w:val="18"/>
          <w:color w:val="auto"/>
        </w:rPr>
        <w:t>3.4.1. GLBE will render the GLBE Services directly to the Merchants, and will perform the GLBE Services in a professional manner, in compliance with Applicable Law, and consistent with high industry standards. GLBE, at its sole expense, shall be responsible for ensuring the Merchants’ meet the GLBE eligibility criteria to use the GLBE Services.</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3.4.2. GLBE, at its sole expense, shall: (i) develop all Merchant agreements and disclosures governing or related to the GLBE Services; and</w:t>
      </w:r>
    </w:p>
    <w:p>
      <w:pPr>
        <w:spacing w:after="0" w:line="43" w:lineRule="exact"/>
        <w:rPr>
          <w:sz w:val="20"/>
          <w:szCs w:val="20"/>
          <w:color w:val="auto"/>
        </w:rPr>
      </w:pPr>
    </w:p>
    <w:p>
      <w:pPr>
        <w:ind w:left="440" w:right="20" w:firstLine="4"/>
        <w:spacing w:after="0" w:line="252" w:lineRule="auto"/>
        <w:tabs>
          <w:tab w:leader="none" w:pos="70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be responsible for ensuring that such Merchant agreements comply with Applicable Law. GLBE will provide to Shopify all template Merchant agreements in use by GLBE with respect to GLBE Services provided to Merchants at any time for review by Shopify. GLBE will consider, in good faith, any modifications suggested by Shopify.</w:t>
      </w:r>
    </w:p>
    <w:p>
      <w:pPr>
        <w:spacing w:after="0" w:line="84" w:lineRule="exact"/>
        <w:rPr>
          <w:sz w:val="20"/>
          <w:szCs w:val="20"/>
          <w:color w:val="auto"/>
        </w:rPr>
      </w:pPr>
    </w:p>
    <w:p>
      <w:pPr>
        <w:ind w:left="440" w:right="80" w:firstLine="419"/>
        <w:spacing w:after="0" w:line="255" w:lineRule="auto"/>
        <w:rPr>
          <w:sz w:val="20"/>
          <w:szCs w:val="20"/>
          <w:color w:val="auto"/>
        </w:rPr>
      </w:pPr>
      <w:r>
        <w:rPr>
          <w:rFonts w:ascii="Arial" w:cs="Arial" w:eastAsia="Arial" w:hAnsi="Arial"/>
          <w:sz w:val="18"/>
          <w:szCs w:val="18"/>
          <w:color w:val="auto"/>
        </w:rPr>
        <w:t>3.4.3. GLBE, at its sole expense, shall provide the GLBE Services to Merchants, in accordance with the applicable Merchant services agreement (to be entered into exclusively by GLBE and the Merchant, and not by Shopify, based on commercial terms to be agreed upon directly between GLBE and the Merchant), and will be exclusively liable and responsible towards the Merchant for all its obligations under the applicable Merchant services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81" w:name="page482"/>
    <w:bookmarkEnd w:id="481"/>
    <w:p>
      <w:pPr>
        <w:jc w:val="both"/>
        <w:ind w:left="420" w:right="20" w:hanging="427"/>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3.4.4. GLBE will make all necessary modifications to the GLBE Services to integrate the GLBE Services in such a manner that is satisfactory to Shopify in its sole reasonable discretion. GLBE will make all such modifications within [***] of Shopify providing GLBE with access to the API referred to in section 3.5.3 below. GLBE will work with Shopify in good faith throughout the term of this Agreement in order to make any modifications to the GLBE Services that Shopify deems necessary to improve, update, enhance, or maintain the integration with the Shopify platform.</w:t>
      </w:r>
    </w:p>
    <w:p>
      <w:pPr>
        <w:spacing w:after="0" w:line="52" w:lineRule="exact"/>
        <w:rPr>
          <w:sz w:val="20"/>
          <w:szCs w:val="20"/>
          <w:color w:val="auto"/>
        </w:rPr>
      </w:pPr>
    </w:p>
    <w:p>
      <w:pPr>
        <w:ind w:left="420" w:right="280" w:firstLine="943"/>
        <w:spacing w:after="0" w:line="259" w:lineRule="auto"/>
        <w:rPr>
          <w:sz w:val="20"/>
          <w:szCs w:val="20"/>
          <w:color w:val="auto"/>
        </w:rPr>
      </w:pPr>
      <w:r>
        <w:rPr>
          <w:rFonts w:ascii="Arial" w:cs="Arial" w:eastAsia="Arial" w:hAnsi="Arial"/>
          <w:sz w:val="18"/>
          <w:szCs w:val="18"/>
          <w:color w:val="auto"/>
        </w:rPr>
        <w:t>3.4.5. GLBE will be responsible for all customer support and servicing directly related to the provision of the GLBE Services to Merchants. Nothing in this subsection 3.4.5 shall be construed to limit the scope of Shopify’s relationship with any Merchants using the GLBE Services or its ability to provide support to Merchants.</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Shopify Obligations</w:t>
      </w:r>
    </w:p>
    <w:p>
      <w:pPr>
        <w:spacing w:after="0" w:line="118" w:lineRule="exact"/>
        <w:rPr>
          <w:sz w:val="20"/>
          <w:szCs w:val="20"/>
          <w:color w:val="auto"/>
        </w:rPr>
      </w:pPr>
    </w:p>
    <w:p>
      <w:pPr>
        <w:ind w:left="420" w:right="140" w:firstLine="943"/>
        <w:spacing w:after="0" w:line="259" w:lineRule="auto"/>
        <w:rPr>
          <w:sz w:val="20"/>
          <w:szCs w:val="20"/>
          <w:color w:val="auto"/>
        </w:rPr>
      </w:pPr>
      <w:r>
        <w:rPr>
          <w:rFonts w:ascii="Arial" w:cs="Arial" w:eastAsia="Arial" w:hAnsi="Arial"/>
          <w:sz w:val="18"/>
          <w:szCs w:val="18"/>
          <w:color w:val="auto"/>
        </w:rPr>
        <w:t>3.5.1. Shopify shall, for the term of this Agreement, host the merchant platform as well as the Shopify native checkout (together the “</w:t>
      </w:r>
      <w:r>
        <w:rPr>
          <w:rFonts w:ascii="Arial" w:cs="Arial" w:eastAsia="Arial" w:hAnsi="Arial"/>
          <w:sz w:val="18"/>
          <w:szCs w:val="18"/>
          <w:b w:val="1"/>
          <w:bCs w:val="1"/>
          <w:color w:val="auto"/>
        </w:rPr>
        <w:t>Platform</w:t>
      </w:r>
      <w:r>
        <w:rPr>
          <w:rFonts w:ascii="Arial" w:cs="Arial" w:eastAsia="Arial" w:hAnsi="Arial"/>
          <w:sz w:val="18"/>
          <w:szCs w:val="18"/>
          <w:color w:val="auto"/>
        </w:rPr>
        <w:t>”). Shopify’s obligation will be to configure and maintain the Platform in a manner that will allow GLBE to perform its obligations under this Agreement and its direct service commitments to Merchants in compliance with Applicable Law.</w:t>
      </w:r>
    </w:p>
    <w:p>
      <w:pPr>
        <w:spacing w:after="0" w:line="79" w:lineRule="exact"/>
        <w:rPr>
          <w:sz w:val="20"/>
          <w:szCs w:val="20"/>
          <w:color w:val="auto"/>
        </w:rPr>
      </w:pPr>
    </w:p>
    <w:p>
      <w:pPr>
        <w:ind w:left="420" w:right="260" w:firstLine="943"/>
        <w:spacing w:after="0" w:line="259" w:lineRule="auto"/>
        <w:rPr>
          <w:sz w:val="20"/>
          <w:szCs w:val="20"/>
          <w:color w:val="auto"/>
        </w:rPr>
      </w:pPr>
      <w:r>
        <w:rPr>
          <w:rFonts w:ascii="Arial" w:cs="Arial" w:eastAsia="Arial" w:hAnsi="Arial"/>
          <w:sz w:val="18"/>
          <w:szCs w:val="18"/>
          <w:color w:val="auto"/>
        </w:rPr>
        <w:t>3.5.2. Shopify will be further obligated to allow the integration of applicable elements of the GLBE Services to the Shopify native checkout. Such applicable elements will be determined by Shopify in its sole discretion, and Shopify will at all times have sole authority to improve, update, and modify its native checkout.</w:t>
      </w:r>
    </w:p>
    <w:p>
      <w:pPr>
        <w:spacing w:after="0" w:line="79" w:lineRule="exact"/>
        <w:rPr>
          <w:sz w:val="20"/>
          <w:szCs w:val="20"/>
          <w:color w:val="auto"/>
        </w:rPr>
      </w:pPr>
    </w:p>
    <w:p>
      <w:pPr>
        <w:ind w:left="420" w:right="640" w:firstLine="943"/>
        <w:spacing w:after="0" w:line="271" w:lineRule="auto"/>
        <w:rPr>
          <w:sz w:val="20"/>
          <w:szCs w:val="20"/>
          <w:color w:val="auto"/>
        </w:rPr>
      </w:pPr>
      <w:r>
        <w:rPr>
          <w:rFonts w:ascii="Arial" w:cs="Arial" w:eastAsia="Arial" w:hAnsi="Arial"/>
          <w:sz w:val="18"/>
          <w:szCs w:val="18"/>
          <w:color w:val="auto"/>
        </w:rPr>
        <w:t>3.5.3. Shopify will make available all of the required APIs that Shopify determines in its sole and reasonable discretion to be necessary to permit GLBE to integrate the GLBE Services into the Shopify platform.</w:t>
      </w:r>
    </w:p>
    <w:p>
      <w:pPr>
        <w:spacing w:after="0" w:line="64" w:lineRule="exact"/>
        <w:rPr>
          <w:sz w:val="20"/>
          <w:szCs w:val="20"/>
          <w:color w:val="auto"/>
        </w:rPr>
      </w:pPr>
    </w:p>
    <w:p>
      <w:pPr>
        <w:ind w:left="420" w:right="120" w:firstLine="419"/>
        <w:spacing w:after="0" w:line="29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Committees</w:t>
      </w:r>
      <w:r>
        <w:rPr>
          <w:rFonts w:ascii="Arial" w:cs="Arial" w:eastAsia="Arial" w:hAnsi="Arial"/>
          <w:sz w:val="16"/>
          <w:szCs w:val="16"/>
          <w:color w:val="auto"/>
        </w:rPr>
        <w:t>. The Parties will establish an operating committee (“</w:t>
      </w:r>
      <w:r>
        <w:rPr>
          <w:rFonts w:ascii="Arial" w:cs="Arial" w:eastAsia="Arial" w:hAnsi="Arial"/>
          <w:sz w:val="16"/>
          <w:szCs w:val="16"/>
          <w:b w:val="1"/>
          <w:bCs w:val="1"/>
          <w:color w:val="auto"/>
        </w:rPr>
        <w:t>Strategic Operating Committee</w:t>
      </w:r>
      <w:r>
        <w:rPr>
          <w:rFonts w:ascii="Arial" w:cs="Arial" w:eastAsia="Arial" w:hAnsi="Arial"/>
          <w:sz w:val="16"/>
          <w:szCs w:val="16"/>
          <w:color w:val="auto"/>
        </w:rPr>
        <w:t>”) to oversee and review all aspects of the partnership, including a sub-committee for commercial aspects, and a sub-committee for technological and development aspects. The Strategic Operating Committee will consist of persons with sufficient enterprise responsibility and knowledge of a business unit integral to the performance or supervision of the partnership, as applicable, within each Party (e.g., business development, product/engineering).</w:t>
      </w:r>
    </w:p>
    <w:p>
      <w:pPr>
        <w:spacing w:after="0" w:line="153" w:lineRule="exact"/>
        <w:rPr>
          <w:sz w:val="20"/>
          <w:szCs w:val="20"/>
          <w:color w:val="auto"/>
        </w:rPr>
      </w:pPr>
    </w:p>
    <w:p>
      <w:pPr>
        <w:ind w:left="600" w:hanging="176"/>
        <w:spacing w:after="0"/>
        <w:tabs>
          <w:tab w:leader="none" w:pos="600"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Audit</w:t>
      </w:r>
    </w:p>
    <w:p>
      <w:pPr>
        <w:spacing w:after="0" w:line="118" w:lineRule="exact"/>
        <w:rPr>
          <w:sz w:val="20"/>
          <w:szCs w:val="20"/>
          <w:color w:val="auto"/>
        </w:rPr>
      </w:pPr>
    </w:p>
    <w:p>
      <w:pPr>
        <w:ind w:left="420" w:right="360" w:firstLine="419"/>
        <w:spacing w:after="0" w:line="259" w:lineRule="auto"/>
        <w:rPr>
          <w:sz w:val="20"/>
          <w:szCs w:val="20"/>
          <w:color w:val="auto"/>
        </w:rPr>
      </w:pPr>
      <w:r>
        <w:rPr>
          <w:rFonts w:ascii="Arial" w:cs="Arial" w:eastAsia="Arial" w:hAnsi="Arial"/>
          <w:sz w:val="18"/>
          <w:szCs w:val="18"/>
          <w:color w:val="auto"/>
        </w:rPr>
        <w:t>4.1. GLBE shall maintain consistently applied, accurate and complete books, records and other documents (including electronic files) to document compliance with this Agreement. GLBE shall maintain the applicable books, records and other documents in conformance with generally accepted accounting principles.</w:t>
      </w:r>
    </w:p>
    <w:p>
      <w:pPr>
        <w:spacing w:after="0" w:line="79" w:lineRule="exact"/>
        <w:rPr>
          <w:sz w:val="20"/>
          <w:szCs w:val="20"/>
          <w:color w:val="auto"/>
        </w:rPr>
      </w:pPr>
    </w:p>
    <w:p>
      <w:pPr>
        <w:jc w:val="both"/>
        <w:ind w:left="420" w:right="60" w:firstLine="419"/>
        <w:spacing w:after="0" w:line="259" w:lineRule="auto"/>
        <w:rPr>
          <w:sz w:val="20"/>
          <w:szCs w:val="20"/>
          <w:color w:val="auto"/>
        </w:rPr>
      </w:pPr>
      <w:r>
        <w:rPr>
          <w:rFonts w:ascii="Arial" w:cs="Arial" w:eastAsia="Arial" w:hAnsi="Arial"/>
          <w:sz w:val="18"/>
          <w:szCs w:val="18"/>
          <w:color w:val="auto"/>
        </w:rPr>
        <w:t>4.2. Shopify will have the right at any time to itself perform, or appoint an independent auditor under appropriate non-disclosure conditions, to audit GLBE’s books, records and other relevant documents (including electronic files) reasonably required by Shopify to validate the accuracy and completeness of the reporting provided by GLBE under Section 3.3.4.</w:t>
      </w:r>
    </w:p>
    <w:p>
      <w:pPr>
        <w:spacing w:after="0" w:line="79" w:lineRule="exact"/>
        <w:rPr>
          <w:sz w:val="20"/>
          <w:szCs w:val="20"/>
          <w:color w:val="auto"/>
        </w:rPr>
      </w:pPr>
    </w:p>
    <w:p>
      <w:pPr>
        <w:ind w:left="420" w:firstLine="419"/>
        <w:spacing w:after="0" w:line="269" w:lineRule="auto"/>
        <w:rPr>
          <w:sz w:val="20"/>
          <w:szCs w:val="20"/>
          <w:color w:val="auto"/>
        </w:rPr>
      </w:pPr>
      <w:r>
        <w:rPr>
          <w:rFonts w:ascii="Arial" w:cs="Arial" w:eastAsia="Arial" w:hAnsi="Arial"/>
          <w:sz w:val="17"/>
          <w:szCs w:val="17"/>
          <w:color w:val="auto"/>
        </w:rPr>
        <w:t xml:space="preserve">4.3. GLBE shall be required to comply with all Shopify audit requirements, including but not limited to providing Shopify or its independent auditor, as applicable, with access to GLBE’s books, records and other relevant documents (including electronic files) necessary to confirm GLBE’s compliance with this Agreement. The foregoing access shall include electronic access to such books, records and documents; providing such access within the time frame requested by Shopify; cooperating with Shopify and responding to any requests from Shopify in a timely fashion, and providing Shopify with access to any relevant personnel,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GLBE will not be required to provide any information, access, records or books that could compromise GLBE’s confidentiality or other undertakings towards third parties which are not relevant for the performance of the audit or the validity of the reporting obligations under Section 3.3.4.</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2" w:right="499" w:bottom="1440" w:gutter="0" w:footer="0" w:header="0"/>
        </w:sectPr>
      </w:pPr>
    </w:p>
    <w:bookmarkStart w:id="482" w:name="page483"/>
    <w:bookmarkEnd w:id="48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4.4. If any such audit reveals financial non-compliance by GLBE:</w:t>
      </w:r>
    </w:p>
    <w:p>
      <w:pPr>
        <w:spacing w:after="0" w:line="114" w:lineRule="exact"/>
        <w:rPr>
          <w:sz w:val="20"/>
          <w:szCs w:val="20"/>
          <w:color w:val="auto"/>
        </w:rPr>
      </w:pPr>
    </w:p>
    <w:p>
      <w:pPr>
        <w:ind w:right="400" w:firstLine="943"/>
        <w:spacing w:after="0" w:line="335" w:lineRule="auto"/>
        <w:rPr>
          <w:sz w:val="20"/>
          <w:szCs w:val="20"/>
          <w:color w:val="auto"/>
        </w:rPr>
      </w:pPr>
      <w:r>
        <w:rPr>
          <w:rFonts w:ascii="Arial" w:cs="Arial" w:eastAsia="Arial" w:hAnsi="Arial"/>
          <w:sz w:val="16"/>
          <w:szCs w:val="16"/>
          <w:color w:val="auto"/>
        </w:rPr>
        <w:t>4.4.1. Shopify or the independent auditor who conducted such audit, as applicable, will provide GLBE with a report (along with supporting documentation) indicating any discrepancies and other failures by GLBE to fulfill its financial obligations under this Agreement;</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4.4.2. prompt adjustment will be made by GLBE to compensate for any overpayments or underpayments disclosed by any such audit;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1" w:lineRule="exact"/>
        <w:rPr>
          <w:sz w:val="20"/>
          <w:szCs w:val="20"/>
          <w:color w:val="auto"/>
        </w:rPr>
      </w:pPr>
    </w:p>
    <w:p>
      <w:pPr>
        <w:ind w:right="40" w:firstLine="943"/>
        <w:spacing w:after="0" w:line="255" w:lineRule="auto"/>
        <w:rPr>
          <w:sz w:val="20"/>
          <w:szCs w:val="20"/>
          <w:color w:val="auto"/>
        </w:rPr>
      </w:pPr>
      <w:r>
        <w:rPr>
          <w:rFonts w:ascii="Arial" w:cs="Arial" w:eastAsia="Arial" w:hAnsi="Arial"/>
          <w:sz w:val="18"/>
          <w:szCs w:val="18"/>
          <w:color w:val="auto"/>
        </w:rPr>
        <w:t>4.4.3. any expense incurred as part of such examination will be paid by Shopify unless such examination reveals an underpayment of the amounts due from GLBE to Shopify during the audit period that exceeds three (3%) percent of the amount actually due during such period, in which case GLBE will reimburse Shopify for the costs of the audit and will pay the underpayment amount to Shopify within thirty (30) days of the conclusion of the audit.</w:t>
      </w:r>
    </w:p>
    <w:p>
      <w:pPr>
        <w:spacing w:after="0" w:line="83" w:lineRule="exact"/>
        <w:rPr>
          <w:sz w:val="20"/>
          <w:szCs w:val="20"/>
          <w:color w:val="auto"/>
        </w:rPr>
      </w:pPr>
    </w:p>
    <w:p>
      <w:pPr>
        <w:ind w:right="580" w:firstLine="419"/>
        <w:spacing w:after="0" w:line="271" w:lineRule="auto"/>
        <w:rPr>
          <w:sz w:val="20"/>
          <w:szCs w:val="20"/>
          <w:color w:val="auto"/>
        </w:rPr>
      </w:pPr>
      <w:r>
        <w:rPr>
          <w:rFonts w:ascii="Arial" w:cs="Arial" w:eastAsia="Arial" w:hAnsi="Arial"/>
          <w:sz w:val="18"/>
          <w:szCs w:val="18"/>
          <w:color w:val="auto"/>
        </w:rPr>
        <w:t>4.5. If any such audit reveals any technical or other discrepancies or non-compliance, GLBE will be provided with 45 days’ notice to remedy such non-compliance, failing which Shopify may terminate this Agreement.</w:t>
      </w:r>
    </w:p>
    <w:p>
      <w:pPr>
        <w:spacing w:after="0" w:line="171" w:lineRule="exact"/>
        <w:rPr>
          <w:sz w:val="20"/>
          <w:szCs w:val="20"/>
          <w:color w:val="auto"/>
        </w:rPr>
      </w:pPr>
    </w:p>
    <w:p>
      <w:pPr>
        <w:ind w:left="180" w:hanging="176"/>
        <w:spacing w:after="0"/>
        <w:tabs>
          <w:tab w:leader="none" w:pos="18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Representations, Warranties and Covenants.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GLBE Representations, Warranties and Covenants</w:t>
      </w:r>
      <w:r>
        <w:rPr>
          <w:rFonts w:ascii="Arial" w:cs="Arial" w:eastAsia="Arial" w:hAnsi="Arial"/>
          <w:sz w:val="18"/>
          <w:szCs w:val="18"/>
          <w:color w:val="auto"/>
        </w:rPr>
        <w:t>. GLBE represents, warrants and covenants to Shopify that:</w:t>
      </w:r>
    </w:p>
    <w:p>
      <w:pPr>
        <w:spacing w:after="0" w:line="118" w:lineRule="exact"/>
        <w:rPr>
          <w:sz w:val="20"/>
          <w:szCs w:val="20"/>
          <w:color w:val="auto"/>
        </w:rPr>
      </w:pPr>
    </w:p>
    <w:p>
      <w:pPr>
        <w:ind w:right="180" w:firstLine="419"/>
        <w:spacing w:after="0" w:line="271" w:lineRule="auto"/>
        <w:rPr>
          <w:sz w:val="20"/>
          <w:szCs w:val="20"/>
          <w:color w:val="auto"/>
        </w:rPr>
      </w:pPr>
      <w:r>
        <w:rPr>
          <w:rFonts w:ascii="Arial" w:cs="Arial" w:eastAsia="Arial" w:hAnsi="Arial"/>
          <w:sz w:val="18"/>
          <w:szCs w:val="18"/>
          <w:color w:val="auto"/>
        </w:rPr>
        <w:t>5.1.1. Entering into and carrying out of the terms and conditions of this Agreement will not violate or constitute a breach of any obligation binding GLBE;</w:t>
      </w:r>
    </w:p>
    <w:p>
      <w:pPr>
        <w:spacing w:after="0" w:line="68" w:lineRule="exact"/>
        <w:rPr>
          <w:sz w:val="20"/>
          <w:szCs w:val="20"/>
          <w:color w:val="auto"/>
        </w:rPr>
      </w:pPr>
    </w:p>
    <w:p>
      <w:pPr>
        <w:ind w:right="160" w:firstLine="419"/>
        <w:spacing w:after="0" w:line="271" w:lineRule="auto"/>
        <w:rPr>
          <w:sz w:val="20"/>
          <w:szCs w:val="20"/>
          <w:color w:val="auto"/>
        </w:rPr>
      </w:pPr>
      <w:r>
        <w:rPr>
          <w:rFonts w:ascii="Arial" w:cs="Arial" w:eastAsia="Arial" w:hAnsi="Arial"/>
          <w:sz w:val="18"/>
          <w:szCs w:val="18"/>
          <w:color w:val="auto"/>
        </w:rPr>
        <w:t>5.1.2. GLBE is duly organized, validly existing and in good standing under the laws of the state of jurisdiction of its formation and has full corporate power and authority to carry on its business as currently conducted;</w:t>
      </w:r>
    </w:p>
    <w:p>
      <w:pPr>
        <w:spacing w:after="0" w:line="68" w:lineRule="exact"/>
        <w:rPr>
          <w:sz w:val="20"/>
          <w:szCs w:val="20"/>
          <w:color w:val="auto"/>
        </w:rPr>
      </w:pPr>
    </w:p>
    <w:p>
      <w:pPr>
        <w:ind w:right="80" w:firstLine="419"/>
        <w:spacing w:after="0" w:line="307" w:lineRule="auto"/>
        <w:rPr>
          <w:sz w:val="20"/>
          <w:szCs w:val="20"/>
          <w:color w:val="auto"/>
        </w:rPr>
      </w:pPr>
      <w:r>
        <w:rPr>
          <w:rFonts w:ascii="Arial" w:cs="Arial" w:eastAsia="Arial" w:hAnsi="Arial"/>
          <w:sz w:val="16"/>
          <w:szCs w:val="16"/>
          <w:color w:val="auto"/>
        </w:rPr>
        <w:t>5.1.3. When executed and delivered by GLBE, this Agreement will constitute the legal, valid and binding obligation of GLBE,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43" w:lineRule="exact"/>
        <w:rPr>
          <w:sz w:val="20"/>
          <w:szCs w:val="20"/>
          <w:color w:val="auto"/>
        </w:rPr>
      </w:pPr>
    </w:p>
    <w:p>
      <w:pPr>
        <w:ind w:right="120" w:firstLine="419"/>
        <w:spacing w:after="0" w:line="259" w:lineRule="auto"/>
        <w:rPr>
          <w:sz w:val="20"/>
          <w:szCs w:val="20"/>
          <w:color w:val="auto"/>
        </w:rPr>
      </w:pPr>
      <w:r>
        <w:rPr>
          <w:rFonts w:ascii="Arial" w:cs="Arial" w:eastAsia="Arial" w:hAnsi="Arial"/>
          <w:sz w:val="18"/>
          <w:szCs w:val="18"/>
          <w:color w:val="auto"/>
        </w:rPr>
        <w:t>5.1.4. GLBE has obtained and is in compliance with all licenses, permits, memberships, consents and authorizations required to perform all its obligations under this Agreement and other agreements that must be executed to effect the services provided by GLBE as expressly set forth herein, and which shall be maintained at all times during the term of this Agreement;</w:t>
      </w:r>
    </w:p>
    <w:p>
      <w:pPr>
        <w:spacing w:after="0" w:line="79" w:lineRule="exact"/>
        <w:rPr>
          <w:sz w:val="20"/>
          <w:szCs w:val="20"/>
          <w:color w:val="auto"/>
        </w:rPr>
      </w:pPr>
    </w:p>
    <w:p>
      <w:pPr>
        <w:ind w:right="240" w:firstLine="419"/>
        <w:spacing w:after="0" w:line="271" w:lineRule="auto"/>
        <w:rPr>
          <w:sz w:val="20"/>
          <w:szCs w:val="20"/>
          <w:color w:val="auto"/>
        </w:rPr>
      </w:pPr>
      <w:r>
        <w:rPr>
          <w:rFonts w:ascii="Arial" w:cs="Arial" w:eastAsia="Arial" w:hAnsi="Arial"/>
          <w:sz w:val="18"/>
          <w:szCs w:val="18"/>
          <w:color w:val="auto"/>
        </w:rPr>
        <w:t>5.1.5. To GLBE’s knowledge, any Materials and the intellectual property rights to such Materials it may provide to Shopify do not violate the intellectual property rights of any third party;</w:t>
      </w:r>
    </w:p>
    <w:p>
      <w:pPr>
        <w:spacing w:after="0" w:line="68" w:lineRule="exact"/>
        <w:rPr>
          <w:sz w:val="20"/>
          <w:szCs w:val="20"/>
          <w:color w:val="auto"/>
        </w:rPr>
      </w:pPr>
    </w:p>
    <w:p>
      <w:pPr>
        <w:ind w:right="20" w:firstLine="419"/>
        <w:spacing w:after="0" w:line="255" w:lineRule="auto"/>
        <w:rPr>
          <w:sz w:val="20"/>
          <w:szCs w:val="20"/>
          <w:color w:val="auto"/>
        </w:rPr>
      </w:pPr>
      <w:r>
        <w:rPr>
          <w:rFonts w:ascii="Arial" w:cs="Arial" w:eastAsia="Arial" w:hAnsi="Arial"/>
          <w:sz w:val="18"/>
          <w:szCs w:val="18"/>
          <w:color w:val="auto"/>
        </w:rPr>
        <w:t>5.1.6. There is no pending, nor to the knowledge of GLBE,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financial condition or its ability to perform services under or in connection with this Agreement;</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5.1.7. GLBE shall at all times comply with and conduct its activities in connection with this Agreement in accordance with Applicable Law;</w:t>
      </w:r>
    </w:p>
    <w:p>
      <w:pPr>
        <w:spacing w:after="0" w:line="137" w:lineRule="exact"/>
        <w:rPr>
          <w:sz w:val="20"/>
          <w:szCs w:val="20"/>
          <w:color w:val="auto"/>
        </w:rPr>
      </w:pPr>
    </w:p>
    <w:p>
      <w:pPr>
        <w:ind w:right="80" w:firstLine="419"/>
        <w:spacing w:after="0" w:line="259" w:lineRule="auto"/>
        <w:rPr>
          <w:sz w:val="20"/>
          <w:szCs w:val="20"/>
          <w:color w:val="auto"/>
        </w:rPr>
      </w:pPr>
      <w:r>
        <w:rPr>
          <w:rFonts w:ascii="Arial" w:cs="Arial" w:eastAsia="Arial" w:hAnsi="Arial"/>
          <w:sz w:val="18"/>
          <w:szCs w:val="18"/>
          <w:color w:val="auto"/>
        </w:rPr>
        <w:t>5.1.8. GLBE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920" w:top="272" w:right="499" w:bottom="1440" w:gutter="0" w:footer="0" w:header="0"/>
        </w:sectPr>
      </w:pPr>
    </w:p>
    <w:bookmarkStart w:id="483" w:name="page484"/>
    <w:bookmarkEnd w:id="483"/>
    <w:p>
      <w:pPr>
        <w:ind w:right="120" w:firstLine="943"/>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5.1.9. GLBE has implemented and will maintain an enterprise governance, third-party risk management, and a compliance program that includes legal and regulatory training requirements related to its services contemplated under this Agreement; and</w:t>
      </w:r>
    </w:p>
    <w:p>
      <w:pPr>
        <w:spacing w:after="0" w:line="45" w:lineRule="exact"/>
        <w:rPr>
          <w:sz w:val="20"/>
          <w:szCs w:val="20"/>
          <w:color w:val="auto"/>
        </w:rPr>
      </w:pPr>
    </w:p>
    <w:p>
      <w:pPr>
        <w:ind w:right="540" w:firstLine="943"/>
        <w:spacing w:after="0" w:line="271" w:lineRule="auto"/>
        <w:rPr>
          <w:sz w:val="20"/>
          <w:szCs w:val="20"/>
          <w:color w:val="auto"/>
        </w:rPr>
      </w:pPr>
      <w:r>
        <w:rPr>
          <w:rFonts w:ascii="Arial" w:cs="Arial" w:eastAsia="Arial" w:hAnsi="Arial"/>
          <w:sz w:val="18"/>
          <w:szCs w:val="18"/>
          <w:color w:val="auto"/>
        </w:rPr>
        <w:t>5.1.10. GLBE’s services and deliverables, including GLBE Materials, will be free from all viruses, worms, Trojan horses, and malicious code.</w:t>
      </w:r>
    </w:p>
    <w:p>
      <w:pPr>
        <w:spacing w:after="0" w:line="68" w:lineRule="exact"/>
        <w:rPr>
          <w:sz w:val="20"/>
          <w:szCs w:val="20"/>
          <w:color w:val="auto"/>
        </w:rPr>
      </w:pPr>
    </w:p>
    <w:p>
      <w:pPr>
        <w:ind w:right="140" w:firstLine="943"/>
        <w:spacing w:after="0" w:line="259" w:lineRule="auto"/>
        <w:rPr>
          <w:sz w:val="20"/>
          <w:szCs w:val="20"/>
          <w:color w:val="auto"/>
        </w:rPr>
      </w:pPr>
      <w:r>
        <w:rPr>
          <w:rFonts w:ascii="Arial" w:cs="Arial" w:eastAsia="Arial" w:hAnsi="Arial"/>
          <w:sz w:val="18"/>
          <w:szCs w:val="18"/>
          <w:color w:val="auto"/>
        </w:rPr>
        <w:t>5.1.11. GLBE will at all times comply with and conduct its activities in connection with this Agreement in accordance with the Shopify Partner Terms and the Shopify API Terms, except to the extent such terms are inconsistent with this Agreement, in which case the terms of this Agreement shall apply.</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Shopify Representations, Warranties and Covenants</w:t>
      </w:r>
      <w:r>
        <w:rPr>
          <w:rFonts w:ascii="Arial" w:cs="Arial" w:eastAsia="Arial" w:hAnsi="Arial"/>
          <w:sz w:val="18"/>
          <w:szCs w:val="18"/>
          <w:color w:val="auto"/>
        </w:rPr>
        <w:t>. Shopify represents, warrants, and covenants to GLBE that:</w:t>
      </w:r>
    </w:p>
    <w:p>
      <w:pPr>
        <w:spacing w:after="0" w:line="118" w:lineRule="exact"/>
        <w:rPr>
          <w:sz w:val="20"/>
          <w:szCs w:val="20"/>
          <w:color w:val="auto"/>
        </w:rPr>
      </w:pPr>
    </w:p>
    <w:p>
      <w:pPr>
        <w:ind w:right="420" w:firstLine="943"/>
        <w:spacing w:after="0" w:line="271" w:lineRule="auto"/>
        <w:rPr>
          <w:sz w:val="20"/>
          <w:szCs w:val="20"/>
          <w:color w:val="auto"/>
        </w:rPr>
      </w:pPr>
      <w:r>
        <w:rPr>
          <w:rFonts w:ascii="Arial" w:cs="Arial" w:eastAsia="Arial" w:hAnsi="Arial"/>
          <w:sz w:val="18"/>
          <w:szCs w:val="18"/>
          <w:color w:val="auto"/>
        </w:rPr>
        <w:t>5.2.1. Entering into and carrying out of the terms and conditions of this Agreement will not violate or constitute a breach of any obligation binding Shopify;</w:t>
      </w:r>
    </w:p>
    <w:p>
      <w:pPr>
        <w:spacing w:after="0" w:line="68" w:lineRule="exact"/>
        <w:rPr>
          <w:sz w:val="20"/>
          <w:szCs w:val="20"/>
          <w:color w:val="auto"/>
        </w:rPr>
      </w:pPr>
    </w:p>
    <w:p>
      <w:pPr>
        <w:ind w:right="100" w:firstLine="943"/>
        <w:spacing w:after="0" w:line="255" w:lineRule="auto"/>
        <w:rPr>
          <w:sz w:val="20"/>
          <w:szCs w:val="20"/>
          <w:color w:val="auto"/>
        </w:rPr>
      </w:pPr>
      <w:r>
        <w:rPr>
          <w:rFonts w:ascii="Arial" w:cs="Arial" w:eastAsia="Arial" w:hAnsi="Arial"/>
          <w:sz w:val="18"/>
          <w:szCs w:val="18"/>
          <w:color w:val="auto"/>
        </w:rPr>
        <w:t>5.2.2. Shopify is duly organized, validly existing and in good standing under the laws of the state of jurisdiction of its formation and has full corporate power and authority to carry on its business as currently conducted;</w:t>
      </w:r>
    </w:p>
    <w:p>
      <w:pPr>
        <w:spacing w:after="0" w:line="1" w:lineRule="exact"/>
        <w:rPr>
          <w:sz w:val="20"/>
          <w:szCs w:val="20"/>
          <w:color w:val="auto"/>
        </w:rPr>
      </w:pPr>
    </w:p>
    <w:p>
      <w:pPr>
        <w:ind w:firstLine="419"/>
        <w:spacing w:after="0" w:line="256" w:lineRule="auto"/>
        <w:rPr>
          <w:sz w:val="20"/>
          <w:szCs w:val="20"/>
          <w:color w:val="auto"/>
        </w:rPr>
      </w:pPr>
      <w:r>
        <w:rPr>
          <w:rFonts w:ascii="Arial" w:cs="Arial" w:eastAsia="Arial" w:hAnsi="Arial"/>
          <w:sz w:val="18"/>
          <w:szCs w:val="18"/>
          <w:color w:val="auto"/>
        </w:rPr>
        <w:t>5.2.3. Shopify has obtained and is in compliance with all licenses, permits, memberships, consents and authorizations required to perform all its obligations under this Agreement;</w:t>
      </w:r>
    </w:p>
    <w:p>
      <w:pPr>
        <w:spacing w:after="0" w:line="81" w:lineRule="exact"/>
        <w:rPr>
          <w:sz w:val="20"/>
          <w:szCs w:val="20"/>
          <w:color w:val="auto"/>
        </w:rPr>
      </w:pPr>
    </w:p>
    <w:p>
      <w:pPr>
        <w:ind w:right="420" w:firstLine="943"/>
        <w:spacing w:after="0" w:line="271" w:lineRule="auto"/>
        <w:rPr>
          <w:sz w:val="20"/>
          <w:szCs w:val="20"/>
          <w:color w:val="auto"/>
        </w:rPr>
      </w:pPr>
      <w:r>
        <w:rPr>
          <w:rFonts w:ascii="Arial" w:cs="Arial" w:eastAsia="Arial" w:hAnsi="Arial"/>
          <w:sz w:val="18"/>
          <w:szCs w:val="18"/>
          <w:color w:val="auto"/>
        </w:rPr>
        <w:t>5.2.4. To Shopify’s knowledge, Materials and the intellectual property rights to such Materials it may provide to Shopify do not violate the intellectual property rights of any third party; and</w:t>
      </w:r>
    </w:p>
    <w:p>
      <w:pPr>
        <w:spacing w:after="0" w:line="68" w:lineRule="exact"/>
        <w:rPr>
          <w:sz w:val="20"/>
          <w:szCs w:val="20"/>
          <w:color w:val="auto"/>
        </w:rPr>
      </w:pPr>
    </w:p>
    <w:p>
      <w:pPr>
        <w:ind w:right="300" w:firstLine="943"/>
        <w:spacing w:after="0" w:line="255" w:lineRule="auto"/>
        <w:rPr>
          <w:sz w:val="20"/>
          <w:szCs w:val="20"/>
          <w:color w:val="auto"/>
        </w:rPr>
      </w:pPr>
      <w:r>
        <w:rPr>
          <w:rFonts w:ascii="Arial" w:cs="Arial" w:eastAsia="Arial" w:hAnsi="Arial"/>
          <w:sz w:val="18"/>
          <w:szCs w:val="18"/>
          <w:color w:val="auto"/>
        </w:rPr>
        <w:t>5.2.5. When executed and delivered by Shopify, this Agreement will constitute the legal, valid and binding obligation of Shopify,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83" w:lineRule="exact"/>
        <w:rPr>
          <w:sz w:val="20"/>
          <w:szCs w:val="20"/>
          <w:color w:val="auto"/>
        </w:rPr>
      </w:pPr>
    </w:p>
    <w:p>
      <w:pPr>
        <w:ind w:right="260" w:firstLine="943"/>
        <w:spacing w:after="0" w:line="255" w:lineRule="auto"/>
        <w:rPr>
          <w:sz w:val="20"/>
          <w:szCs w:val="20"/>
          <w:color w:val="auto"/>
        </w:rPr>
      </w:pPr>
      <w:r>
        <w:rPr>
          <w:rFonts w:ascii="Arial" w:cs="Arial" w:eastAsia="Arial" w:hAnsi="Arial"/>
          <w:sz w:val="18"/>
          <w:szCs w:val="18"/>
          <w:color w:val="auto"/>
        </w:rPr>
        <w:t>5.2.6. There is no pending, nor to the knowledge of Shopify,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ability to perform its obligations under or in connection with this Agreement;</w:t>
      </w:r>
    </w:p>
    <w:p>
      <w:pPr>
        <w:spacing w:after="0" w:line="83" w:lineRule="exact"/>
        <w:rPr>
          <w:sz w:val="20"/>
          <w:szCs w:val="20"/>
          <w:color w:val="auto"/>
        </w:rPr>
      </w:pPr>
    </w:p>
    <w:p>
      <w:pPr>
        <w:ind w:right="640" w:firstLine="943"/>
        <w:spacing w:after="0" w:line="271" w:lineRule="auto"/>
        <w:rPr>
          <w:sz w:val="20"/>
          <w:szCs w:val="20"/>
          <w:color w:val="auto"/>
        </w:rPr>
      </w:pPr>
      <w:r>
        <w:rPr>
          <w:rFonts w:ascii="Arial" w:cs="Arial" w:eastAsia="Arial" w:hAnsi="Arial"/>
          <w:sz w:val="18"/>
          <w:szCs w:val="18"/>
          <w:color w:val="auto"/>
        </w:rPr>
        <w:t>5.2.7. Shopify shall at all times comply with and conduct its activities in connection with this Agreement in accordance with Applicable Law;</w:t>
      </w:r>
    </w:p>
    <w:p>
      <w:pPr>
        <w:spacing w:after="0" w:line="68" w:lineRule="exact"/>
        <w:rPr>
          <w:sz w:val="20"/>
          <w:szCs w:val="20"/>
          <w:color w:val="auto"/>
        </w:rPr>
      </w:pPr>
    </w:p>
    <w:p>
      <w:pPr>
        <w:ind w:right="120" w:firstLine="943"/>
        <w:spacing w:after="0" w:line="259" w:lineRule="auto"/>
        <w:rPr>
          <w:sz w:val="20"/>
          <w:szCs w:val="20"/>
          <w:color w:val="auto"/>
        </w:rPr>
      </w:pPr>
      <w:r>
        <w:rPr>
          <w:rFonts w:ascii="Arial" w:cs="Arial" w:eastAsia="Arial" w:hAnsi="Arial"/>
          <w:sz w:val="18"/>
          <w:szCs w:val="18"/>
          <w:color w:val="auto"/>
        </w:rPr>
        <w:t>5.2.8. Shopify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79" w:lineRule="exact"/>
        <w:rPr>
          <w:sz w:val="20"/>
          <w:szCs w:val="20"/>
          <w:color w:val="auto"/>
        </w:rPr>
      </w:pPr>
    </w:p>
    <w:p>
      <w:pPr>
        <w:ind w:right="260" w:firstLine="943"/>
        <w:spacing w:after="0" w:line="271" w:lineRule="auto"/>
        <w:rPr>
          <w:sz w:val="20"/>
          <w:szCs w:val="20"/>
          <w:color w:val="auto"/>
        </w:rPr>
      </w:pPr>
      <w:r>
        <w:rPr>
          <w:rFonts w:ascii="Arial" w:cs="Arial" w:eastAsia="Arial" w:hAnsi="Arial"/>
          <w:sz w:val="18"/>
          <w:szCs w:val="18"/>
          <w:color w:val="auto"/>
        </w:rPr>
        <w:t>5.2.9. Shopify’s services and deliverables, including Shopify Materials, to the extent applicable or as required for this Agreement, will be free from all viruses, worms, Trojan horses, and malicious code.</w:t>
      </w:r>
    </w:p>
    <w:p>
      <w:pPr>
        <w:spacing w:after="0" w:line="171" w:lineRule="exact"/>
        <w:rPr>
          <w:sz w:val="20"/>
          <w:szCs w:val="20"/>
          <w:color w:val="auto"/>
        </w:rPr>
      </w:pPr>
    </w:p>
    <w:p>
      <w:pPr>
        <w:ind w:left="180" w:hanging="176"/>
        <w:spacing w:after="0"/>
        <w:tabs>
          <w:tab w:leader="none" w:pos="18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114" w:lineRule="exact"/>
        <w:rPr>
          <w:sz w:val="20"/>
          <w:szCs w:val="20"/>
          <w:color w:val="auto"/>
        </w:rPr>
      </w:pPr>
    </w:p>
    <w:p>
      <w:pPr>
        <w:ind w:right="180" w:firstLine="419"/>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begins on the Effective Date and will remain in effect for an initial term of three (3) years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unless otherwise terminated as permitted herein. After the Initial Term, this Agreement shall automatically renew for successive 1-year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(each, a “</w:t>
      </w:r>
      <w:r>
        <w:rPr>
          <w:rFonts w:ascii="Arial" w:cs="Arial" w:eastAsia="Arial" w:hAnsi="Arial"/>
          <w:sz w:val="18"/>
          <w:szCs w:val="18"/>
          <w:b w:val="1"/>
          <w:bCs w:val="1"/>
          <w:color w:val="auto"/>
        </w:rPr>
        <w:t>Renewal Term</w:t>
      </w:r>
      <w:r>
        <w:rPr>
          <w:rFonts w:ascii="Arial" w:cs="Arial" w:eastAsia="Arial" w:hAnsi="Arial"/>
          <w:sz w:val="18"/>
          <w:szCs w:val="18"/>
          <w:color w:val="auto"/>
        </w:rPr>
        <w:t>”) unless a Party provides the other Party with written notice of its election to terminate this Agreement at least 180 days prior to the expiration the then-current Renewal Term as applicable. The Initial Term together with all Renewal Terms shall be collectively referred to herein as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20" w:top="272" w:right="519" w:bottom="1440" w:gutter="0" w:footer="0" w:header="0"/>
        </w:sectPr>
      </w:pPr>
    </w:p>
    <w:bookmarkStart w:id="484" w:name="page485"/>
    <w:bookmarkEnd w:id="484"/>
    <w:p>
      <w:pPr>
        <w:ind w:right="160" w:firstLine="419"/>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6.2.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Either Party may immediately terminate this Agreement for convenience by providing 180-days prior written notice to the other Party.</w:t>
      </w:r>
    </w:p>
    <w:p>
      <w:pPr>
        <w:spacing w:after="0" w:line="61"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Termination for Cause.</w:t>
      </w:r>
      <w:r>
        <w:rPr>
          <w:rFonts w:ascii="Arial" w:cs="Arial" w:eastAsia="Arial" w:hAnsi="Arial"/>
          <w:sz w:val="18"/>
          <w:szCs w:val="18"/>
          <w:color w:val="auto"/>
        </w:rPr>
        <w:t xml:space="preserve"> In addition to any other termination rights set forth in the Agreement, either Party (“</w:t>
      </w:r>
      <w:r>
        <w:rPr>
          <w:rFonts w:ascii="Arial" w:cs="Arial" w:eastAsia="Arial" w:hAnsi="Arial"/>
          <w:sz w:val="18"/>
          <w:szCs w:val="18"/>
          <w:b w:val="1"/>
          <w:bCs w:val="1"/>
          <w:color w:val="auto"/>
        </w:rPr>
        <w:t>Terminating Party</w:t>
      </w:r>
      <w:r>
        <w:rPr>
          <w:rFonts w:ascii="Arial" w:cs="Arial" w:eastAsia="Arial" w:hAnsi="Arial"/>
          <w:sz w:val="18"/>
          <w:szCs w:val="18"/>
          <w:color w:val="auto"/>
        </w:rPr>
        <w:t>”) may terminate this Agreement immediately upon notice to the other Party (“</w:t>
      </w:r>
      <w:r>
        <w:rPr>
          <w:rFonts w:ascii="Arial" w:cs="Arial" w:eastAsia="Arial" w:hAnsi="Arial"/>
          <w:sz w:val="18"/>
          <w:szCs w:val="18"/>
          <w:b w:val="1"/>
          <w:bCs w:val="1"/>
          <w:color w:val="auto"/>
        </w:rPr>
        <w:t>Non-Terminating Party</w:t>
      </w:r>
      <w:r>
        <w:rPr>
          <w:rFonts w:ascii="Arial" w:cs="Arial" w:eastAsia="Arial" w:hAnsi="Arial"/>
          <w:sz w:val="18"/>
          <w:szCs w:val="18"/>
          <w:color w:val="auto"/>
        </w:rPr>
        <w:t>”) (subject to the cure periods and notices noted below, if any) if:</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6.3.1. Non-Terminating Party breaches any material provision relating to its security or confidentiality obligations of this Agreement;</w:t>
      </w:r>
    </w:p>
    <w:p>
      <w:pPr>
        <w:spacing w:after="0" w:line="137" w:lineRule="exact"/>
        <w:rPr>
          <w:sz w:val="20"/>
          <w:szCs w:val="20"/>
          <w:color w:val="auto"/>
        </w:rPr>
      </w:pPr>
    </w:p>
    <w:p>
      <w:pPr>
        <w:ind w:right="560" w:firstLine="943"/>
        <w:spacing w:after="0" w:line="259" w:lineRule="auto"/>
        <w:rPr>
          <w:sz w:val="20"/>
          <w:szCs w:val="20"/>
          <w:color w:val="auto"/>
        </w:rPr>
      </w:pPr>
      <w:r>
        <w:rPr>
          <w:rFonts w:ascii="Arial" w:cs="Arial" w:eastAsia="Arial" w:hAnsi="Arial"/>
          <w:sz w:val="18"/>
          <w:szCs w:val="18"/>
          <w:color w:val="auto"/>
        </w:rPr>
        <w:t>6.3.2. Non-Terminating Party materially breaches any provision of this Agreement and the breach is capable of cure but Non-Terminating Party fails to cure such breach within 30 days following written notice to Non-Terminating Party from Terminating Party specifying in reasonable detail the nature of the claimed breach;</w:t>
      </w:r>
    </w:p>
    <w:p>
      <w:pPr>
        <w:spacing w:after="0" w:line="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6.3.3. Non-Terminating Party materially breaches the Agreement in a manner that cannot be remedied;</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6.3.4. GLBE undergoes a Change of Control;</w:t>
      </w:r>
    </w:p>
    <w:p>
      <w:pPr>
        <w:spacing w:after="0" w:line="114" w:lineRule="exact"/>
        <w:rPr>
          <w:sz w:val="20"/>
          <w:szCs w:val="20"/>
          <w:color w:val="auto"/>
        </w:rPr>
      </w:pPr>
    </w:p>
    <w:p>
      <w:pPr>
        <w:ind w:right="160" w:firstLine="943"/>
        <w:spacing w:after="0" w:line="290" w:lineRule="auto"/>
        <w:rPr>
          <w:sz w:val="20"/>
          <w:szCs w:val="20"/>
          <w:color w:val="auto"/>
        </w:rPr>
      </w:pPr>
      <w:r>
        <w:rPr>
          <w:rFonts w:ascii="Arial" w:cs="Arial" w:eastAsia="Arial" w:hAnsi="Arial"/>
          <w:sz w:val="16"/>
          <w:szCs w:val="16"/>
          <w:color w:val="auto"/>
        </w:rPr>
        <w:t>6.3.5. Non-Terminating Party generally fails to pay its debts as they become due, admits in writing its inability to pay its debts generally, makes a general assignment for the benefit of creditors or any proceedings or filing of any petition seeking relief under Title 11 of the United States Code or if any other federal, state or foreign bankruptcy, insolvency, liquidation or similar law is instituted by or against Non-Terminating Party or Non-Terminating Party takes any corporate action to authorize any of the actions set forth in this subsection; provided that this termination right shall only apply to an involuntary petition or proceeding under Title 11 of the United States Code or any other federal, state or foreign bankruptcy, insolvency, liquidation or similar law if such involuntary petition or proceeding is not dismissed within 60 days;</w:t>
      </w:r>
    </w:p>
    <w:p>
      <w:pPr>
        <w:spacing w:after="0" w:line="57" w:lineRule="exact"/>
        <w:rPr>
          <w:sz w:val="20"/>
          <w:szCs w:val="20"/>
          <w:color w:val="auto"/>
        </w:rPr>
      </w:pPr>
    </w:p>
    <w:p>
      <w:pPr>
        <w:ind w:right="20" w:firstLine="943"/>
        <w:spacing w:after="0" w:line="259" w:lineRule="auto"/>
        <w:rPr>
          <w:sz w:val="20"/>
          <w:szCs w:val="20"/>
          <w:color w:val="auto"/>
        </w:rPr>
      </w:pPr>
      <w:r>
        <w:rPr>
          <w:rFonts w:ascii="Arial" w:cs="Arial" w:eastAsia="Arial" w:hAnsi="Arial"/>
          <w:sz w:val="18"/>
          <w:szCs w:val="18"/>
          <w:color w:val="auto"/>
        </w:rPr>
        <w:t>6.3.6. A court of competent jurisdiction (or other administrative body or Regulatory Authority empowered to issue such orders) issues a final order or judgment holding that this Agreement or the services and deliverables offered hereunder are in violation of or are prohibited by Applicable Law;</w:t>
      </w:r>
    </w:p>
    <w:p>
      <w:pPr>
        <w:spacing w:after="0" w:line="79" w:lineRule="exact"/>
        <w:rPr>
          <w:sz w:val="20"/>
          <w:szCs w:val="20"/>
          <w:color w:val="auto"/>
        </w:rPr>
      </w:pPr>
    </w:p>
    <w:p>
      <w:pPr>
        <w:jc w:val="both"/>
        <w:ind w:firstLine="943"/>
        <w:spacing w:after="0" w:line="307" w:lineRule="auto"/>
        <w:rPr>
          <w:sz w:val="20"/>
          <w:szCs w:val="20"/>
          <w:color w:val="auto"/>
        </w:rPr>
      </w:pPr>
      <w:r>
        <w:rPr>
          <w:rFonts w:ascii="Arial" w:cs="Arial" w:eastAsia="Arial" w:hAnsi="Arial"/>
          <w:sz w:val="16"/>
          <w:szCs w:val="16"/>
          <w:color w:val="auto"/>
        </w:rPr>
        <w:t>6.3.7. There is any obligation placed on Terminating Party by a Regulatory Authority or any other third party after the Effective Date that the Terminating Party determines, in its sole and reasonable discretion, would materially diminish the economic value of the Agreement to the Terminating Party, make performance infeasible, or otherwise have a material and adverse effect on the Terminating Party; or</w:t>
      </w:r>
    </w:p>
    <w:p>
      <w:pPr>
        <w:spacing w:after="0" w:line="43" w:lineRule="exact"/>
        <w:rPr>
          <w:sz w:val="20"/>
          <w:szCs w:val="20"/>
          <w:color w:val="auto"/>
        </w:rPr>
      </w:pPr>
    </w:p>
    <w:p>
      <w:pPr>
        <w:ind w:right="20" w:firstLine="943"/>
        <w:spacing w:after="0" w:line="252" w:lineRule="auto"/>
        <w:rPr>
          <w:sz w:val="20"/>
          <w:szCs w:val="20"/>
          <w:color w:val="auto"/>
        </w:rPr>
      </w:pPr>
      <w:r>
        <w:rPr>
          <w:rFonts w:ascii="Arial" w:cs="Arial" w:eastAsia="Arial" w:hAnsi="Arial"/>
          <w:sz w:val="18"/>
          <w:szCs w:val="18"/>
          <w:color w:val="auto"/>
        </w:rPr>
        <w:t>6.3.8. With immediate effect, if so required by a Regulatory Authority or Applicable Law, or Non-Terminating Party is issued a warning or any other form of reprimand by a Regulatory Authority, and if the Regulatory Authority permits a cure, Non-Terminating Party then fails to remedy or cure such situation within 90 days or the cure period designated by Applicable Law or Regulatory Authority, whichever is earlier, following written notice to Non-Terminating Party specifying in reasonable detail the nature of the cause. In the event the non-Terminating Party does not comply with such requirement, the non-Terminating Party shall be responsible for all Losses to the Terminating Party arising from or related to such non-compliance.</w:t>
      </w:r>
    </w:p>
    <w:p>
      <w:pPr>
        <w:spacing w:after="0" w:line="83" w:lineRule="exact"/>
        <w:rPr>
          <w:sz w:val="20"/>
          <w:szCs w:val="20"/>
          <w:color w:val="auto"/>
        </w:rPr>
      </w:pPr>
    </w:p>
    <w:p>
      <w:pPr>
        <w:ind w:right="260" w:firstLine="419"/>
        <w:spacing w:after="0" w:line="28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Effect of Termination</w:t>
      </w:r>
      <w:r>
        <w:rPr>
          <w:rFonts w:ascii="Arial" w:cs="Arial" w:eastAsia="Arial" w:hAnsi="Arial"/>
          <w:sz w:val="16"/>
          <w:szCs w:val="16"/>
          <w:color w:val="auto"/>
        </w:rPr>
        <w:t>. In the event either Party terminates this Agreement for any reason whatsoever, then each Party will return or destroy, as requested by the Disclosing Party, all Confidential Information of the other Party, except to the extent (i) this Agreement requires or permits the express retention of the Confidential Information; (ii) in accordance with the Receiving Party’s record retention policy; (iii) such Confidential Information is retained in automated backups provided that the Receiving Party does not access such Confidential Information; or</w:t>
      </w:r>
    </w:p>
    <w:p>
      <w:pPr>
        <w:spacing w:after="0" w:line="2" w:lineRule="exact"/>
        <w:rPr>
          <w:sz w:val="20"/>
          <w:szCs w:val="20"/>
          <w:color w:val="auto"/>
        </w:rPr>
      </w:pPr>
    </w:p>
    <w:p>
      <w:pPr>
        <w:ind w:right="560" w:firstLine="4"/>
        <w:spacing w:after="0" w:line="298" w:lineRule="auto"/>
        <w:tabs>
          <w:tab w:leader="none" w:pos="30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as otherwise required by Applicable Law and in which case, such Confidential Information will remain subject to the confidentiality provisions of this Agreement until such time that such obligations expire and the applicable Party certifies the return or destruction of such Confidential Information in accordance with this Section 6.4 (Effect of Termination) and Section 7 (Confidential Information).</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20" w:top="268" w:right="519" w:bottom="1440" w:gutter="0" w:footer="0" w:header="0"/>
        </w:sectPr>
      </w:pPr>
    </w:p>
    <w:bookmarkStart w:id="485" w:name="page486"/>
    <w:bookmarkEnd w:id="485"/>
    <w:p>
      <w:pPr>
        <w:ind w:left="180" w:hanging="176"/>
        <w:spacing w:after="0"/>
        <w:tabs>
          <w:tab w:leader="none" w:pos="180"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Confidential Information.</w:t>
      </w:r>
    </w:p>
    <w:p>
      <w:pPr>
        <w:spacing w:after="0" w:line="114" w:lineRule="exact"/>
        <w:rPr>
          <w:sz w:val="20"/>
          <w:szCs w:val="20"/>
          <w:color w:val="auto"/>
        </w:rPr>
      </w:pPr>
    </w:p>
    <w:p>
      <w:pPr>
        <w:ind w:right="20" w:firstLine="419"/>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Obligations for Confidential Information</w:t>
      </w:r>
      <w:r>
        <w:rPr>
          <w:rFonts w:ascii="Arial" w:cs="Arial" w:eastAsia="Arial" w:hAnsi="Arial"/>
          <w:sz w:val="16"/>
          <w:szCs w:val="16"/>
          <w:color w:val="auto"/>
        </w:rPr>
        <w:t>. Each Party shall hold the Confidential Information of the other Party in confidence and the Receiving Party will disclose such information only to its Personnel who reasonably require access to such Confidential Information. Disclosing Party will be liable for all damages arising out of such third parties’ disclosure of Confidential Information. A Receiving Party may use the Confidential Information only as necessary for Receiving Party’s performance under or pursuant to rights granted in this Agreement and for no other purpose. A Receiving Party shall protect or be required to protect, in the case of Receiving Parties that are third parties so authorized to receive Confidential Information pursuant to this Agreement, the Disclosing Party’s Confidential Information using at least the same degree of care it uses to protect its own Confidential Information, but no less than a reasonable degree of care, to prevent the unauthorized use, disclosure or duplication (except as required for backup systems or to carry out the purpose of the Agreement) of such Confidential Information.</w:t>
      </w:r>
    </w:p>
    <w:p>
      <w:pPr>
        <w:spacing w:after="0" w:line="59" w:lineRule="exact"/>
        <w:rPr>
          <w:sz w:val="20"/>
          <w:szCs w:val="20"/>
          <w:color w:val="auto"/>
        </w:rPr>
      </w:pPr>
    </w:p>
    <w:p>
      <w:pPr>
        <w:ind w:right="120" w:firstLine="419"/>
        <w:spacing w:after="0" w:line="284"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Compelled Disclosure</w:t>
      </w:r>
      <w:r>
        <w:rPr>
          <w:rFonts w:ascii="Arial" w:cs="Arial" w:eastAsia="Arial" w:hAnsi="Arial"/>
          <w:sz w:val="17"/>
          <w:szCs w:val="17"/>
          <w:color w:val="auto"/>
        </w:rPr>
        <w:t>. If a court or governmental agency having proper jurisdiction over the Parties requires a Receiving Party to disclose any Confidential Information, then Receiving Party will promptly provide the Disclosing Party notice of such requirement (to the extent permissible under applicable law) to enable the Disclosing Party to seek an appropriate protective order.</w:t>
      </w:r>
    </w:p>
    <w:p>
      <w:pPr>
        <w:spacing w:after="0" w:line="55" w:lineRule="exact"/>
        <w:rPr>
          <w:sz w:val="20"/>
          <w:szCs w:val="20"/>
          <w:color w:val="auto"/>
        </w:rPr>
      </w:pPr>
    </w:p>
    <w:p>
      <w:pPr>
        <w:ind w:right="60" w:firstLine="419"/>
        <w:spacing w:after="0" w:line="27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Authorized Disclosure</w:t>
      </w:r>
      <w:r>
        <w:rPr>
          <w:rFonts w:ascii="Arial" w:cs="Arial" w:eastAsia="Arial" w:hAnsi="Arial"/>
          <w:sz w:val="18"/>
          <w:szCs w:val="18"/>
          <w:color w:val="auto"/>
        </w:rPr>
        <w:t>. A Receiving Party may disclose the Disclosing Party’s Confidential Information with the written authorization of the Disclosing Party.</w:t>
      </w:r>
    </w:p>
    <w:p>
      <w:pPr>
        <w:spacing w:after="0" w:line="61" w:lineRule="exact"/>
        <w:rPr>
          <w:sz w:val="20"/>
          <w:szCs w:val="20"/>
          <w:color w:val="auto"/>
        </w:rPr>
      </w:pPr>
    </w:p>
    <w:p>
      <w:pPr>
        <w:ind w:right="160" w:firstLine="419"/>
        <w:spacing w:after="0" w:line="29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Exclusions</w:t>
      </w:r>
      <w:r>
        <w:rPr>
          <w:rFonts w:ascii="Arial" w:cs="Arial" w:eastAsia="Arial" w:hAnsi="Arial"/>
          <w:sz w:val="16"/>
          <w:szCs w:val="16"/>
          <w:color w:val="auto"/>
        </w:rPr>
        <w:t>. Subject to the last sentence of this Section 7.4 (Exclusions), the term “Confidential Information” excludes any portion of such information that a Receiving Party can establish by clear and convincing evidence to have been: (i) publicly known without breach of this Agreement; (ii) known by the Receiving Party prior to its receipt from the Disclosing Party; (iii) received in good faith from a third-party source that to Receiving Party’s reasonable knowledge rightfully disclosed such information without an obligation of confidentiality; or (iv) developed independently by Receiving Party without use or reference to the Disclosing Party’s Confidential Information.</w:t>
      </w:r>
    </w:p>
    <w:p>
      <w:pPr>
        <w:spacing w:after="0" w:line="50" w:lineRule="exact"/>
        <w:rPr>
          <w:sz w:val="20"/>
          <w:szCs w:val="20"/>
          <w:color w:val="auto"/>
        </w:rPr>
      </w:pPr>
    </w:p>
    <w:p>
      <w:pPr>
        <w:ind w:right="60" w:firstLine="419"/>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Filings</w:t>
      </w:r>
      <w:r>
        <w:rPr>
          <w:rFonts w:ascii="Arial" w:cs="Arial" w:eastAsia="Arial" w:hAnsi="Arial"/>
          <w:sz w:val="17"/>
          <w:szCs w:val="17"/>
          <w:color w:val="auto"/>
        </w:rPr>
        <w:t>. Neither Party shall file the Agreement (including any addendum, schedule, supplement or attachment), or any future amendment or supplement hereto, with the SEC or with the Canadian securities regulators unless such filing is required under Applicable Law. In the event that a Party determines that the Agreement (or amendment or supplement) must be filed with the SEC or with the Canadian securities regulators under applicable law, it shall take all actions necessary to obtain confidential treatment to the extent possible for the Agreement and all exhibits, addenda, schedules, supplements and attachments (including all pricing attachments).</w:t>
      </w:r>
    </w:p>
    <w:p>
      <w:pPr>
        <w:spacing w:after="0" w:line="65" w:lineRule="exact"/>
        <w:rPr>
          <w:sz w:val="20"/>
          <w:szCs w:val="20"/>
          <w:color w:val="auto"/>
        </w:rPr>
      </w:pPr>
    </w:p>
    <w:p>
      <w:pPr>
        <w:ind w:firstLine="419"/>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Remedies</w:t>
      </w:r>
      <w:r>
        <w:rPr>
          <w:rFonts w:ascii="Arial" w:cs="Arial" w:eastAsia="Arial" w:hAnsi="Arial"/>
          <w:sz w:val="18"/>
          <w:szCs w:val="18"/>
          <w:color w:val="auto"/>
        </w:rPr>
        <w:t>. If the Receiving Party or its representatives or agents breach the obligations set forth in this Section 7 (Confidential Information), then irreparable injury may result to the Disclosing Party or third parties entrusting Confidential Information to the Disclosing Party. Therefore, the Disclosing Party’s remedies at law may be inadequate and the Disclosing Party will be entitled to seek an injunction to restrain any continuing breach. Notwithstanding any limitation on Receiving Party’s liability, the Disclosing Party will further be entitled to any other rights and remedies that it may have at law or in equity.</w:t>
      </w:r>
    </w:p>
    <w:p>
      <w:pPr>
        <w:spacing w:after="0" w:line="184" w:lineRule="exact"/>
        <w:rPr>
          <w:sz w:val="20"/>
          <w:szCs w:val="20"/>
          <w:color w:val="auto"/>
        </w:rPr>
      </w:pPr>
    </w:p>
    <w:p>
      <w:pPr>
        <w:ind w:left="180" w:hanging="176"/>
        <w:spacing w:after="0"/>
        <w:tabs>
          <w:tab w:leader="none" w:pos="180"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114" w:lineRule="exact"/>
        <w:rPr>
          <w:sz w:val="20"/>
          <w:szCs w:val="20"/>
          <w:color w:val="auto"/>
        </w:rPr>
      </w:pPr>
    </w:p>
    <w:p>
      <w:pPr>
        <w:ind w:right="40" w:firstLine="419"/>
        <w:spacing w:after="0" w:line="27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Shopify Materials</w:t>
      </w:r>
      <w:r>
        <w:rPr>
          <w:rFonts w:ascii="Arial" w:cs="Arial" w:eastAsia="Arial" w:hAnsi="Arial"/>
          <w:sz w:val="18"/>
          <w:szCs w:val="18"/>
          <w:color w:val="auto"/>
        </w:rPr>
        <w:t>. To the extent that Shopify provides any Shopify Materials to GLBE pursuant to this Agreement, the following shall apply:</w:t>
      </w:r>
    </w:p>
    <w:p>
      <w:pPr>
        <w:spacing w:after="0" w:line="61" w:lineRule="exact"/>
        <w:rPr>
          <w:sz w:val="20"/>
          <w:szCs w:val="20"/>
          <w:color w:val="auto"/>
        </w:rPr>
      </w:pPr>
    </w:p>
    <w:p>
      <w:pPr>
        <w:ind w:right="160" w:firstLine="943"/>
        <w:spacing w:after="0" w:line="340"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b w:val="1"/>
          <w:bCs w:val="1"/>
          <w:color w:val="auto"/>
        </w:rPr>
        <w:t>License</w:t>
      </w:r>
      <w:r>
        <w:rPr>
          <w:rFonts w:ascii="Arial" w:cs="Arial" w:eastAsia="Arial" w:hAnsi="Arial"/>
          <w:sz w:val="16"/>
          <w:szCs w:val="16"/>
          <w:color w:val="auto"/>
        </w:rPr>
        <w:t>. Shopify hereby grants to GLBE a limited, non-exclusive, non-transferable, non-sublicensable and revocable license to the Shopify Materials during the Term, solely as necessary for GLBE fulfill its obligations under this Agreement and for no other purpose.</w:t>
      </w:r>
    </w:p>
    <w:p>
      <w:pPr>
        <w:spacing w:after="0" w:line="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20" w:top="268" w:right="519" w:bottom="1440" w:gutter="0" w:footer="0" w:header="0"/>
        </w:sectPr>
      </w:pPr>
    </w:p>
    <w:bookmarkStart w:id="486" w:name="page487"/>
    <w:bookmarkEnd w:id="486"/>
    <w:p>
      <w:pPr>
        <w:ind w:right="320" w:firstLine="94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8.1.2. </w:t>
      </w:r>
      <w:r>
        <w:rPr>
          <w:rFonts w:ascii="Arial" w:cs="Arial" w:eastAsia="Arial" w:hAnsi="Arial"/>
          <w:sz w:val="18"/>
          <w:szCs w:val="18"/>
          <w:b w:val="1"/>
          <w:bCs w:val="1"/>
          <w:color w:val="auto"/>
        </w:rPr>
        <w:t>Ownership</w:t>
      </w:r>
      <w:r>
        <w:rPr>
          <w:rFonts w:ascii="Arial" w:cs="Arial" w:eastAsia="Arial" w:hAnsi="Arial"/>
          <w:sz w:val="18"/>
          <w:szCs w:val="18"/>
          <w:color w:val="auto"/>
        </w:rPr>
        <w:t>. The Shopify Materials are owned by Shopify and licensed to GLBE and not sold to GLBE. Shopify owns and reserves all right, title and interest in and to the Shopify Materials and all Intellectual Property Rights therein.</w:t>
      </w:r>
    </w:p>
    <w:p>
      <w:pPr>
        <w:spacing w:after="0" w:line="61" w:lineRule="exact"/>
        <w:rPr>
          <w:sz w:val="20"/>
          <w:szCs w:val="20"/>
          <w:color w:val="auto"/>
        </w:rPr>
      </w:pPr>
    </w:p>
    <w:p>
      <w:pPr>
        <w:ind w:right="80" w:firstLine="943"/>
        <w:spacing w:after="0" w:line="294"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b w:val="1"/>
          <w:bCs w:val="1"/>
          <w:color w:val="auto"/>
        </w:rPr>
        <w:t>Risk of Loss</w:t>
      </w:r>
      <w:r>
        <w:rPr>
          <w:rFonts w:ascii="Arial" w:cs="Arial" w:eastAsia="Arial" w:hAnsi="Arial"/>
          <w:sz w:val="16"/>
          <w:szCs w:val="16"/>
          <w:color w:val="auto"/>
        </w:rPr>
        <w:t>. To the extent that Shopify provides any Shopify Materials to GLBE for the performance of its obligations under this Agreement, GLBE will: (i) take all reasonable precautions to protect such property against loss, damage, theft or disappearance; (ii) take no actions that affect Shopify’s title or interest; (iii) abide by specifications and use instructions; (iv) not give access to any third party without Shopify’s prior written consent; and (v) not reverse engineer, decompile, disassemble, modify, create derivative works of or otherwise create, attempt to create or derive, or permit or assist any third party to create or derive, the source code underlying the Shopify Materials.</w:t>
      </w:r>
    </w:p>
    <w:p>
      <w:pPr>
        <w:spacing w:after="0" w:line="50" w:lineRule="exact"/>
        <w:rPr>
          <w:sz w:val="20"/>
          <w:szCs w:val="20"/>
          <w:color w:val="auto"/>
        </w:rPr>
      </w:pPr>
    </w:p>
    <w:p>
      <w:pPr>
        <w:jc w:val="both"/>
        <w:ind w:right="380" w:firstLine="943"/>
        <w:spacing w:after="0" w:line="340"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b w:val="1"/>
          <w:bCs w:val="1"/>
          <w:color w:val="auto"/>
        </w:rPr>
        <w:t>Approval</w:t>
      </w:r>
      <w:r>
        <w:rPr>
          <w:rFonts w:ascii="Arial" w:cs="Arial" w:eastAsia="Arial" w:hAnsi="Arial"/>
          <w:sz w:val="16"/>
          <w:szCs w:val="16"/>
          <w:color w:val="auto"/>
        </w:rPr>
        <w:t>. To the extent that GLBE will display the Shopify Materials in any publicly-available medium, GLBE will seek Shopify’s prior written consent for such display, such consent not to be unreasonably withheld, conditioned or delayed by Shopify.</w:t>
      </w:r>
    </w:p>
    <w:p>
      <w:pPr>
        <w:spacing w:after="0" w:line="14" w:lineRule="exact"/>
        <w:rPr>
          <w:sz w:val="20"/>
          <w:szCs w:val="20"/>
          <w:color w:val="auto"/>
        </w:rPr>
      </w:pPr>
    </w:p>
    <w:p>
      <w:pPr>
        <w:jc w:val="both"/>
        <w:ind w:right="360" w:firstLine="943"/>
        <w:spacing w:after="0" w:line="261"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b w:val="1"/>
          <w:bCs w:val="1"/>
          <w:color w:val="auto"/>
        </w:rPr>
        <w:t>Removal of Shopify Materials</w:t>
      </w:r>
      <w:r>
        <w:rPr>
          <w:rFonts w:ascii="Arial" w:cs="Arial" w:eastAsia="Arial" w:hAnsi="Arial"/>
          <w:sz w:val="18"/>
          <w:szCs w:val="18"/>
          <w:color w:val="auto"/>
        </w:rPr>
        <w:t>. Shopify, acting reasonably, shall be entitled to request the removal of all or certain of the Shopify Materials from any medium in which they are used by GLBE and, upon receipt of such request GLBE shall cease using such Shopify Materials within 10 business days.</w:t>
      </w:r>
    </w:p>
    <w:p>
      <w:pPr>
        <w:spacing w:after="0" w:line="74" w:lineRule="exact"/>
        <w:rPr>
          <w:sz w:val="20"/>
          <w:szCs w:val="20"/>
          <w:color w:val="auto"/>
        </w:rPr>
      </w:pPr>
    </w:p>
    <w:p>
      <w:pPr>
        <w:ind w:right="240" w:firstLine="419"/>
        <w:spacing w:after="0" w:line="27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GLBE Materials</w:t>
      </w:r>
      <w:r>
        <w:rPr>
          <w:rFonts w:ascii="Arial" w:cs="Arial" w:eastAsia="Arial" w:hAnsi="Arial"/>
          <w:sz w:val="18"/>
          <w:szCs w:val="18"/>
          <w:color w:val="auto"/>
        </w:rPr>
        <w:t>. To the extent that GLBE provides any GLBE Materials to Shopify pursuant to this Agreement, the following shall apply:</w:t>
      </w:r>
    </w:p>
    <w:p>
      <w:pPr>
        <w:spacing w:after="0" w:line="61" w:lineRule="exact"/>
        <w:rPr>
          <w:sz w:val="20"/>
          <w:szCs w:val="20"/>
          <w:color w:val="auto"/>
        </w:rPr>
      </w:pPr>
    </w:p>
    <w:p>
      <w:pPr>
        <w:jc w:val="both"/>
        <w:ind w:right="180" w:firstLine="943"/>
        <w:spacing w:after="0" w:line="340"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b w:val="1"/>
          <w:bCs w:val="1"/>
          <w:color w:val="auto"/>
        </w:rPr>
        <w:t>License</w:t>
      </w:r>
      <w:r>
        <w:rPr>
          <w:rFonts w:ascii="Arial" w:cs="Arial" w:eastAsia="Arial" w:hAnsi="Arial"/>
          <w:sz w:val="16"/>
          <w:szCs w:val="16"/>
          <w:color w:val="auto"/>
        </w:rPr>
        <w:t>. GLBE hereby grants to Shopify a limited, non-exclusive, non-transferable, non-sublicensable and revocable license to the GLBE Materials during the Term, solely as necessary for Shopify to fulfill its obligations under this Agreement and for no other purpose.</w:t>
      </w:r>
    </w:p>
    <w:p>
      <w:pPr>
        <w:spacing w:after="0" w:line="14" w:lineRule="exact"/>
        <w:rPr>
          <w:sz w:val="20"/>
          <w:szCs w:val="20"/>
          <w:color w:val="auto"/>
        </w:rPr>
      </w:pPr>
    </w:p>
    <w:p>
      <w:pPr>
        <w:ind w:right="440" w:firstLine="943"/>
        <w:spacing w:after="0" w:line="275"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color w:val="auto"/>
        </w:rPr>
        <w:t>Ownership</w:t>
      </w:r>
      <w:r>
        <w:rPr>
          <w:rFonts w:ascii="Arial" w:cs="Arial" w:eastAsia="Arial" w:hAnsi="Arial"/>
          <w:sz w:val="18"/>
          <w:szCs w:val="18"/>
          <w:color w:val="auto"/>
        </w:rPr>
        <w:t>. The GLBE Materials are owned by GLBE and licensed to Shopify and not sold to Shopify. GLBE owns and reserves all right, title and interest in and to the GLBE Materials and all Intellectual Property Rights therein.</w:t>
      </w:r>
    </w:p>
    <w:p>
      <w:pPr>
        <w:spacing w:after="0" w:line="61" w:lineRule="exact"/>
        <w:rPr>
          <w:sz w:val="20"/>
          <w:szCs w:val="20"/>
          <w:color w:val="auto"/>
        </w:rPr>
      </w:pPr>
    </w:p>
    <w:p>
      <w:pPr>
        <w:ind w:right="20" w:firstLine="943"/>
        <w:spacing w:after="0" w:line="294"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b w:val="1"/>
          <w:bCs w:val="1"/>
          <w:color w:val="auto"/>
        </w:rPr>
        <w:t>Risk of Loss</w:t>
      </w:r>
      <w:r>
        <w:rPr>
          <w:rFonts w:ascii="Arial" w:cs="Arial" w:eastAsia="Arial" w:hAnsi="Arial"/>
          <w:sz w:val="16"/>
          <w:szCs w:val="16"/>
          <w:color w:val="auto"/>
        </w:rPr>
        <w:t>. To the extent that GLBE provides any GLBE Materials to Shopify for the performance of its obligations under this Agreement, Shopify will: (i) take all reasonable precautions to protect such property against loss, damage, theft or disappearance; (ii) take no actions that affect GLBE’s title or interest; (iii) abide by specifications and use instructions; (iv) not give access to any third party without GLBE’s prior written consent; and (v) not reverse engineer, decompile, disassemble, modify, create derivative works of or otherwise create, attempt to create or derive, or permit or assist any third party to create or derive, the source code underlying the GLBE Materials.</w:t>
      </w:r>
    </w:p>
    <w:p>
      <w:pPr>
        <w:spacing w:after="0" w:line="50" w:lineRule="exact"/>
        <w:rPr>
          <w:sz w:val="20"/>
          <w:szCs w:val="20"/>
          <w:color w:val="auto"/>
        </w:rPr>
      </w:pPr>
    </w:p>
    <w:p>
      <w:pPr>
        <w:jc w:val="both"/>
        <w:ind w:right="60" w:firstLine="943"/>
        <w:spacing w:after="0" w:line="261" w:lineRule="auto"/>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b w:val="1"/>
          <w:bCs w:val="1"/>
          <w:color w:val="auto"/>
        </w:rPr>
        <w:t>Removal of GLBE Materials</w:t>
      </w:r>
      <w:r>
        <w:rPr>
          <w:rFonts w:ascii="Arial" w:cs="Arial" w:eastAsia="Arial" w:hAnsi="Arial"/>
          <w:sz w:val="18"/>
          <w:szCs w:val="18"/>
          <w:color w:val="auto"/>
        </w:rPr>
        <w:t>. GLBE, acting reasonably, shall be entitled to request the removal of all or certain of the GLBE Materials from any medium in which they are used by Shopify and, upon receipt of such request Shopify shall cease using such Shopify Materials within 10 business days.</w:t>
      </w:r>
    </w:p>
    <w:p>
      <w:pPr>
        <w:spacing w:after="0" w:line="74" w:lineRule="exact"/>
        <w:rPr>
          <w:sz w:val="20"/>
          <w:szCs w:val="20"/>
          <w:color w:val="auto"/>
        </w:rPr>
      </w:pPr>
    </w:p>
    <w:p>
      <w:pPr>
        <w:ind w:firstLine="419"/>
        <w:spacing w:after="0" w:line="299"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Reservation of Intellectual Property Rights</w:t>
      </w:r>
      <w:r>
        <w:rPr>
          <w:rFonts w:ascii="Arial" w:cs="Arial" w:eastAsia="Arial" w:hAnsi="Arial"/>
          <w:sz w:val="16"/>
          <w:szCs w:val="16"/>
          <w:color w:val="auto"/>
        </w:rPr>
        <w:t>. Nothing in this Agreement shall be construed as granting either Party a license to use in any way the Intellectual Property Rights of the other Party, except as provided in this Agreement. Neither Party shall take any action that interferes with the other Party’s Intellectual Property Rights or attempt to copyright or patent any part of the other Party’s Intellectual Property Rights or attempt to register any trademark, service mark or trade name that is identical or confusingly similar to the other Party’s marks.</w:t>
      </w:r>
    </w:p>
    <w:p>
      <w:pPr>
        <w:spacing w:after="0" w:line="153" w:lineRule="exact"/>
        <w:rPr>
          <w:sz w:val="20"/>
          <w:szCs w:val="20"/>
          <w:color w:val="auto"/>
        </w:rPr>
      </w:pPr>
    </w:p>
    <w:p>
      <w:pPr>
        <w:ind w:left="180" w:hanging="176"/>
        <w:spacing w:after="0"/>
        <w:tabs>
          <w:tab w:leader="none" w:pos="180" w:val="left"/>
        </w:tabs>
        <w:numPr>
          <w:ilvl w:val="0"/>
          <w:numId w:val="45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4" w:lineRule="exact"/>
        <w:rPr>
          <w:sz w:val="20"/>
          <w:szCs w:val="20"/>
          <w:color w:val="auto"/>
        </w:rPr>
      </w:pPr>
    </w:p>
    <w:p>
      <w:pPr>
        <w:ind w:right="20" w:firstLine="419"/>
        <w:spacing w:after="0" w:line="29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Public Releases; Required Release</w:t>
      </w:r>
      <w:r>
        <w:rPr>
          <w:rFonts w:ascii="Arial" w:cs="Arial" w:eastAsia="Arial" w:hAnsi="Arial"/>
          <w:sz w:val="16"/>
          <w:szCs w:val="16"/>
          <w:color w:val="auto"/>
        </w:rPr>
        <w:t>. All media releases, public announcements and public disclosures by Shopify or GLBE or their representatives, employees, partners or agents, relating to this Agreement, including, without limitation, promotional or marketing material, but not including any disclosure required by legal, accounting or regulatory requirements beyond the reasonable control of the releasing Party, shall be coordinated with and approved by both Parties in writing prior to the release thereof. Each Party may file the Agreement</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920" w:top="267" w:right="499" w:bottom="1440" w:gutter="0" w:footer="0" w:header="0"/>
        </w:sectPr>
      </w:pPr>
    </w:p>
    <w:bookmarkStart w:id="487" w:name="page488"/>
    <w:bookmarkEnd w:id="487"/>
    <w:p>
      <w:pPr>
        <w:ind w:right="1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any addendum, schedule, supplement or attachment), or any future amendment or supplement hereto, with the SEC or with the Canadian securities regulators if such filing is required under the applicable regulations or Applicable Law. In the event that a Party determines that the Agreement (or amendment or supplement) must be filed with the SEC or with the Canadian securities regulators under applicable law, it shall take all actions necessary to obtain confidential treatment to the extent possible for the Agreement and all exhibits, addenda, schedules, supplements and attachments (including all pricing attachments).</w:t>
      </w:r>
    </w:p>
    <w:p>
      <w:pPr>
        <w:spacing w:after="0" w:line="82" w:lineRule="exact"/>
        <w:rPr>
          <w:sz w:val="20"/>
          <w:szCs w:val="20"/>
          <w:color w:val="auto"/>
        </w:rPr>
      </w:pPr>
    </w:p>
    <w:p>
      <w:pPr>
        <w:ind w:right="40" w:firstLine="419"/>
        <w:spacing w:after="0" w:line="29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Non-Disparagement</w:t>
      </w:r>
      <w:r>
        <w:rPr>
          <w:rFonts w:ascii="Arial" w:cs="Arial" w:eastAsia="Arial" w:hAnsi="Arial"/>
          <w:sz w:val="16"/>
          <w:szCs w:val="16"/>
          <w:color w:val="auto"/>
        </w:rPr>
        <w:t>. In public communications or direct private communications with Merchants, GLBE will not make disparaging or derogatory statements about Shopify or any Shopify product or service and further will not seek to encourage or induce a Merchant to cease using any Shopify service; provided, however, nothing herein shall: (a) prohibit GLBE from engaging in general marketing of its products or services which are competitive to the products and services of Shopify and which are issued in accordance with section 9.1, or (b) prohibit complaints by employees of GLBE in their individual capacity as consumers or customers of Shopify or its affiliates.</w:t>
      </w:r>
    </w:p>
    <w:p>
      <w:pPr>
        <w:spacing w:after="0" w:line="50" w:lineRule="exact"/>
        <w:rPr>
          <w:sz w:val="20"/>
          <w:szCs w:val="20"/>
          <w:color w:val="auto"/>
        </w:rPr>
      </w:pPr>
    </w:p>
    <w:p>
      <w:pPr>
        <w:ind w:firstLine="419"/>
        <w:spacing w:after="0" w:line="29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Escalation</w:t>
      </w:r>
      <w:r>
        <w:rPr>
          <w:rFonts w:ascii="Arial" w:cs="Arial" w:eastAsia="Arial" w:hAnsi="Arial"/>
          <w:sz w:val="16"/>
          <w:szCs w:val="16"/>
          <w:color w:val="auto"/>
        </w:rPr>
        <w:t>. Any dispute, controversy or claim relating to all or any of the provisions of this Agreement shall be referred to the senior management of the Parties - GLBE’s CRO and Shopify’s Commercial Lead - for good faith discussions and resolution. If any dispute, controversy, or claim cannot be resolved by such good faith discussions between the above mentioned senior managers within three business days, it shall be referred to a discussion between GLBE’s President and Shopify’s Vice President, Merchant Services for expeditious resolution.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Independent Contractors</w:t>
      </w:r>
      <w:r>
        <w:rPr>
          <w:rFonts w:ascii="Arial" w:cs="Arial" w:eastAsia="Arial" w:hAnsi="Arial"/>
          <w:sz w:val="18"/>
          <w:szCs w:val="18"/>
          <w:color w:val="auto"/>
        </w:rPr>
        <w:t>.</w:t>
      </w:r>
    </w:p>
    <w:p>
      <w:pPr>
        <w:spacing w:after="0" w:line="118" w:lineRule="exact"/>
        <w:rPr>
          <w:sz w:val="20"/>
          <w:szCs w:val="20"/>
          <w:color w:val="auto"/>
        </w:rPr>
      </w:pPr>
    </w:p>
    <w:p>
      <w:pPr>
        <w:ind w:right="80" w:firstLine="943"/>
        <w:spacing w:after="0" w:line="255" w:lineRule="auto"/>
        <w:rPr>
          <w:sz w:val="20"/>
          <w:szCs w:val="20"/>
          <w:color w:val="auto"/>
        </w:rPr>
      </w:pPr>
      <w:r>
        <w:rPr>
          <w:rFonts w:ascii="Arial" w:cs="Arial" w:eastAsia="Arial" w:hAnsi="Arial"/>
          <w:sz w:val="18"/>
          <w:szCs w:val="18"/>
          <w:color w:val="auto"/>
        </w:rPr>
        <w:t>9.4.1. GLBE and Shopify agree that they are independent contractors to each other in performing their respective obligations hereunder. This Agreement will not be construed as creating a relationship of employment, agency, partnership, joint venture or any other form of legal association. Neither Party has any power to bind the other Party or to assume or to create any obligation or responsibility on behalf of the other Party or in the other Party’s name.</w:t>
      </w:r>
    </w:p>
    <w:p>
      <w:pPr>
        <w:spacing w:after="0" w:line="83" w:lineRule="exact"/>
        <w:rPr>
          <w:sz w:val="20"/>
          <w:szCs w:val="20"/>
          <w:color w:val="auto"/>
        </w:rPr>
      </w:pPr>
    </w:p>
    <w:p>
      <w:pPr>
        <w:ind w:right="160" w:firstLine="943"/>
        <w:spacing w:after="0" w:line="283" w:lineRule="auto"/>
        <w:rPr>
          <w:sz w:val="20"/>
          <w:szCs w:val="20"/>
          <w:color w:val="auto"/>
        </w:rPr>
      </w:pPr>
      <w:r>
        <w:rPr>
          <w:rFonts w:ascii="Arial" w:cs="Arial" w:eastAsia="Arial" w:hAnsi="Arial"/>
          <w:sz w:val="16"/>
          <w:szCs w:val="16"/>
          <w:color w:val="auto"/>
        </w:rPr>
        <w:t>9.4.2. Each Party’s personnel are not eligible for, nor may they participate in, any employee benefit plans of the other Party, and the non-employing Party will not insure the employing Party for workers’ compensation coverage or for unemployment insurance. Each Party is solely responsible for and agrees to comply with all federal and state laws and regulations with respect to: (i) hire, tenure, and conditions of employment; (ii) hours of work, salaries and compensation (including unemployment compensation); (iii) deductions and withholdings;</w:t>
      </w:r>
    </w:p>
    <w:p>
      <w:pPr>
        <w:spacing w:after="0" w:line="1" w:lineRule="exact"/>
        <w:rPr>
          <w:sz w:val="20"/>
          <w:szCs w:val="20"/>
          <w:color w:val="auto"/>
        </w:rPr>
      </w:pPr>
    </w:p>
    <w:p>
      <w:pPr>
        <w:ind w:right="180" w:firstLine="4"/>
        <w:spacing w:after="0" w:line="256" w:lineRule="auto"/>
        <w:tabs>
          <w:tab w:leader="none" w:pos="30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payment of any and all contributions, taxes and assessments, with respect to all Party Personnel who provide services hereunder; and (v) the keeping of records and making of reports.</w:t>
      </w:r>
    </w:p>
    <w:p>
      <w:pPr>
        <w:spacing w:after="0" w:line="77" w:lineRule="exact"/>
        <w:rPr>
          <w:sz w:val="20"/>
          <w:szCs w:val="20"/>
          <w:color w:val="auto"/>
        </w:rPr>
      </w:pPr>
    </w:p>
    <w:p>
      <w:pPr>
        <w:ind w:right="20" w:firstLine="419"/>
        <w:spacing w:after="0" w:line="28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Notices.</w:t>
      </w:r>
      <w:r>
        <w:rPr>
          <w:rFonts w:ascii="Arial" w:cs="Arial" w:eastAsia="Arial" w:hAnsi="Arial"/>
          <w:sz w:val="16"/>
          <w:szCs w:val="16"/>
          <w:color w:val="auto"/>
        </w:rPr>
        <w:t xml:space="preserve"> For a notice or other communication under this Agreement to be valid, it must be in writing and delivered via email, or by a globally recognized express delivery service or fax (followed by an email copy, receipt of which need not be acknowledged) to the other party at the address listed herein. Any such notice or communication will be deemed to have been delivered and received (1) in the case of email, on the date the recipient acknowledges having received the email, with an automatic “read receipt” constituting acknowledgment of an email for purposes of this Section and (2) in the case of a globally recognized express delivery service, the business day on which receipt by the addressee is confirmed pursuant to the service’s systems, and (3) by fax on the date of delivery of such fax with a confirmation of such fax being delivered. Either party may update its address for notice by giving the other party written notice of the new address.</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118" w:lineRule="exact"/>
        <w:rPr>
          <w:sz w:val="20"/>
          <w:szCs w:val="20"/>
          <w:color w:val="auto"/>
        </w:rPr>
      </w:pPr>
    </w:p>
    <w:p>
      <w:pPr>
        <w:ind w:right="640" w:firstLine="943"/>
        <w:spacing w:after="0" w:line="271" w:lineRule="auto"/>
        <w:rPr>
          <w:sz w:val="20"/>
          <w:szCs w:val="20"/>
          <w:color w:val="auto"/>
        </w:rPr>
      </w:pPr>
      <w:r>
        <w:rPr>
          <w:rFonts w:ascii="Arial" w:cs="Arial" w:eastAsia="Arial" w:hAnsi="Arial"/>
          <w:sz w:val="18"/>
          <w:szCs w:val="18"/>
          <w:color w:val="auto"/>
        </w:rPr>
        <w:t>9.6.1. Each Party is responsible for all its respective applicable Taxes that arise from or as a result of any activities under this Agreement or with respect to Party’s dealings with a Merchant.</w:t>
      </w:r>
    </w:p>
    <w:p>
      <w:pPr>
        <w:spacing w:after="0" w:line="68" w:lineRule="exact"/>
        <w:rPr>
          <w:sz w:val="20"/>
          <w:szCs w:val="20"/>
          <w:color w:val="auto"/>
        </w:rPr>
      </w:pPr>
    </w:p>
    <w:p>
      <w:pPr>
        <w:ind w:right="160" w:firstLine="943"/>
        <w:spacing w:after="0" w:line="275" w:lineRule="auto"/>
        <w:rPr>
          <w:sz w:val="20"/>
          <w:szCs w:val="20"/>
          <w:color w:val="auto"/>
        </w:rPr>
      </w:pPr>
      <w:r>
        <w:rPr>
          <w:rFonts w:ascii="Arial" w:cs="Arial" w:eastAsia="Arial" w:hAnsi="Arial"/>
          <w:sz w:val="17"/>
          <w:szCs w:val="17"/>
          <w:color w:val="auto"/>
        </w:rPr>
        <w:t>9.6.2. The payment of any consideration by GLBE to Shopify under this Agreement shall be made without the deduction or withholding of any Taxes, unless otherwise required by law. If such deduction or withholding is so required, GLBE shall pay the amount of such Taxes so imposed to the applicable taxing authority, and shall pay such additional amounts to Shopify so that Shopify receives the net amount after such deduction or withholding that it would have received had no such deduction or withholding been imposed.</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920" w:top="272" w:right="499" w:bottom="1440" w:gutter="0" w:footer="0" w:header="0"/>
        </w:sectPr>
      </w:pPr>
    </w:p>
    <w:bookmarkStart w:id="488" w:name="page489"/>
    <w:bookmarkEnd w:id="488"/>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9.6.3.</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Indemnities</w:t>
      </w:r>
      <w:r>
        <w:rPr>
          <w:rFonts w:ascii="Arial" w:cs="Arial" w:eastAsia="Arial" w:hAnsi="Arial"/>
          <w:sz w:val="18"/>
          <w:szCs w:val="18"/>
          <w:color w:val="auto"/>
        </w:rPr>
        <w:t>.</w:t>
      </w:r>
    </w:p>
    <w:p>
      <w:pPr>
        <w:spacing w:after="0" w:line="118" w:lineRule="exact"/>
        <w:rPr>
          <w:sz w:val="20"/>
          <w:szCs w:val="20"/>
          <w:color w:val="auto"/>
        </w:rPr>
      </w:pPr>
    </w:p>
    <w:p>
      <w:pPr>
        <w:ind w:right="40" w:firstLine="943"/>
        <w:spacing w:after="0" w:line="290" w:lineRule="auto"/>
        <w:rPr>
          <w:sz w:val="20"/>
          <w:szCs w:val="20"/>
          <w:color w:val="auto"/>
        </w:rPr>
      </w:pPr>
      <w:r>
        <w:rPr>
          <w:rFonts w:ascii="Arial" w:cs="Arial" w:eastAsia="Arial" w:hAnsi="Arial"/>
          <w:sz w:val="16"/>
          <w:szCs w:val="16"/>
          <w:color w:val="auto"/>
        </w:rPr>
        <w:t>9.7.1. GLBE agrees to defend, indemnify and hold harmless Shopify, its affiliates, subsidiaries, officers, directors, shareholders and employees against any third party claim, suit or demand (including reasonable legal fees) made or incurred by any third party due to or arising out of (a) a breach of this Agreement; (b) GLBE’s gross negligence, fraud, or wilful misconduct in carrying out the terms of this Agreement; (c) a claim that the GLBE Services infringes any third party’s intellectual property rights; (d) any Merchant’s use of the GLBE Services, including any claim made by customs or tax authorities; (e) any violation of Applicable Laws; (f) harm, injury or loss related to a product sold by GLBE in connection with the GLBE Services; or (g) any Security Event which occurs on any GLBE information system.</w:t>
      </w:r>
    </w:p>
    <w:p>
      <w:pPr>
        <w:spacing w:after="0" w:line="57" w:lineRule="exact"/>
        <w:rPr>
          <w:sz w:val="20"/>
          <w:szCs w:val="20"/>
          <w:color w:val="auto"/>
        </w:rPr>
      </w:pPr>
    </w:p>
    <w:p>
      <w:pPr>
        <w:ind w:right="40" w:firstLine="943"/>
        <w:spacing w:after="0" w:line="284" w:lineRule="auto"/>
        <w:rPr>
          <w:sz w:val="20"/>
          <w:szCs w:val="20"/>
          <w:color w:val="auto"/>
        </w:rPr>
      </w:pPr>
      <w:r>
        <w:rPr>
          <w:rFonts w:ascii="Arial" w:cs="Arial" w:eastAsia="Arial" w:hAnsi="Arial"/>
          <w:sz w:val="16"/>
          <w:szCs w:val="16"/>
          <w:color w:val="auto"/>
        </w:rPr>
        <w:t>9.7.2. Shopify agrees to defend, indemnify and hold harmless GLBE, its affiliates, subsidiaries, officers, directors, shareholders and employees against any third party claim, suit or demand (including reasonable legal fees) made or incurred by any third party due to or arising out of (a) a breach of this Agreement; (b) Shopify’s gross negligence, fraud, or wilful misconduct in carrying out the terms of this Agreement; or</w:t>
      </w:r>
    </w:p>
    <w:p>
      <w:pPr>
        <w:spacing w:after="0" w:line="2" w:lineRule="exact"/>
        <w:rPr>
          <w:sz w:val="20"/>
          <w:szCs w:val="20"/>
          <w:color w:val="auto"/>
        </w:rPr>
      </w:pPr>
    </w:p>
    <w:p>
      <w:pPr>
        <w:ind w:left="420" w:right="5140" w:hanging="416"/>
        <w:spacing w:after="0" w:line="364" w:lineRule="auto"/>
        <w:tabs>
          <w:tab w:leader="none" w:pos="24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any Security Event which occurs on any Shopify’s information system. 9.8. </w:t>
      </w:r>
      <w:r>
        <w:rPr>
          <w:rFonts w:ascii="Arial" w:cs="Arial" w:eastAsia="Arial" w:hAnsi="Arial"/>
          <w:sz w:val="18"/>
          <w:szCs w:val="18"/>
          <w:b w:val="1"/>
          <w:bCs w:val="1"/>
          <w:color w:val="auto"/>
        </w:rPr>
        <w:t>Limitation of Liability.</w:t>
      </w:r>
    </w:p>
    <w:p>
      <w:pPr>
        <w:spacing w:after="0" w:line="1" w:lineRule="exact"/>
        <w:rPr>
          <w:sz w:val="20"/>
          <w:szCs w:val="20"/>
          <w:color w:val="auto"/>
        </w:rPr>
      </w:pPr>
    </w:p>
    <w:p>
      <w:pPr>
        <w:ind w:right="100" w:firstLine="943"/>
        <w:spacing w:after="0" w:line="255" w:lineRule="auto"/>
        <w:rPr>
          <w:sz w:val="20"/>
          <w:szCs w:val="20"/>
          <w:color w:val="auto"/>
        </w:rPr>
      </w:pPr>
      <w:r>
        <w:rPr>
          <w:rFonts w:ascii="Arial" w:cs="Arial" w:eastAsia="Arial" w:hAnsi="Arial"/>
          <w:sz w:val="18"/>
          <w:szCs w:val="18"/>
          <w:color w:val="auto"/>
        </w:rPr>
        <w:t>9.8.1. IN NO EVENT SHALL EITHER PARTY (OR ITS AFFILIATES, DIRECTORS, OFFICERS, EMPLOYEES OR REPRESENTATIVES) BE LIABLE FOR INDIRECT, SPECIAL, INCIDENTAL, EXEMPLARY, OR CONSEQUENTIAL DAMAGES, INCLUDING LOST PROFITS (HOWEVER ARISING, INCLUDING NEGLIGENCE) ARISING OUT OF OR IN ANY WAY RELATING TO THIS AGREEMENT.</w:t>
      </w:r>
    </w:p>
    <w:p>
      <w:pPr>
        <w:spacing w:after="0" w:line="83" w:lineRule="exact"/>
        <w:rPr>
          <w:sz w:val="20"/>
          <w:szCs w:val="20"/>
          <w:color w:val="auto"/>
        </w:rPr>
      </w:pPr>
    </w:p>
    <w:p>
      <w:pPr>
        <w:ind w:right="220" w:firstLine="943"/>
        <w:spacing w:after="0" w:line="268" w:lineRule="auto"/>
        <w:rPr>
          <w:sz w:val="20"/>
          <w:szCs w:val="20"/>
          <w:color w:val="auto"/>
        </w:rPr>
      </w:pPr>
      <w:r>
        <w:rPr>
          <w:rFonts w:ascii="Arial" w:cs="Arial" w:eastAsia="Arial" w:hAnsi="Arial"/>
          <w:sz w:val="17"/>
          <w:szCs w:val="17"/>
          <w:color w:val="auto"/>
        </w:rPr>
        <w:t>9.8.2. IN NO EVENT SHALL EITHER PARTY OR ITS AFFILIATES, DIRECTORS, OFFICERS, EMPLOYEES, OR REPRESENTATIVES BE LIABLE FOR AN AMOUNT EXCEEDING ANY AMOUNTS PAID BY GLBE UNDER THIS AGREEMENT IN THE [***] PRECEDING THE OCCURRENCE OF FACTS THAT FIRST GIVE RISE TO ANY LIABILITY HEREUNDER, PROVIDED THAT DURING THE FIRST [***] OF THE TERM SUCH LIMITATION WILL BE BASED ON THE AVERAGE MONTHLY REVENUE SHARE PAID UNDER THIS AGREEMENT PRIOR TO THE DATE OF THE FIRST CLAIM GIVING RISE TO SUCH LIABILITY MULTIPLIED BY [***]. THE EXISTENCE OF MORE THAN ONE CLAIM OR EVENT FROM WHICH LIABILITY ARISES WILL NOT ENLARGE THIS AGGREGATE LIMITATION. THIS AGGREGATE LIMIT IS A SINGLE, GLOBAL LIMIT THAT APPLIES COLLECTIVELY (AND NOT INDIVIDUALLY) TO EVENTS GIVING RISE TO LIABILITY OF EACH PARTY.</w:t>
      </w:r>
    </w:p>
    <w:p>
      <w:pPr>
        <w:spacing w:after="0" w:line="73" w:lineRule="exact"/>
        <w:rPr>
          <w:sz w:val="20"/>
          <w:szCs w:val="20"/>
          <w:color w:val="auto"/>
        </w:rPr>
      </w:pPr>
    </w:p>
    <w:p>
      <w:pPr>
        <w:ind w:right="620" w:firstLine="943"/>
        <w:spacing w:after="0" w:line="259" w:lineRule="auto"/>
        <w:rPr>
          <w:sz w:val="20"/>
          <w:szCs w:val="20"/>
          <w:color w:val="auto"/>
        </w:rPr>
      </w:pPr>
      <w:r>
        <w:rPr>
          <w:rFonts w:ascii="Arial" w:cs="Arial" w:eastAsia="Arial" w:hAnsi="Arial"/>
          <w:sz w:val="18"/>
          <w:szCs w:val="18"/>
          <w:color w:val="auto"/>
        </w:rPr>
        <w:t>9.8.3. EXCLUSIONS. THE LIMITATIONS OF LIABILITY SET FORTH HEREIN SHALL NOT APPLY TO (A) GLBE’S OBLIGATION TO PAY CONSIDERATION DUE PURSUANT TO SECTION 3; OR (B) EITHER PARTY’S INDEMNIFICATION OBLIGATIONS UNDER THIS AGREEMENT.</w:t>
      </w:r>
    </w:p>
    <w:p>
      <w:pPr>
        <w:spacing w:after="0" w:line="75" w:lineRule="exact"/>
        <w:rPr>
          <w:sz w:val="20"/>
          <w:szCs w:val="20"/>
          <w:color w:val="auto"/>
        </w:rPr>
      </w:pPr>
    </w:p>
    <w:p>
      <w:pPr>
        <w:ind w:firstLine="419"/>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together with the Partner Terms and the API Terms, as applicable, constitute the complete and entire agreement of the Parties with respect to the relationship between the Parties and in particular the subject matter hereof, and supersedes all prior oral and written agreements, understandings, and communications between the Parties, and further this Agreement prevails over any inconsistency with the Shopify Partner Terms and the Shopify API Terms. For the avoidance of doubt this Agreement shall not terminate or be deemed to be terminated or amended even if the Shopify Partner Terms and Shopify API Terms are amended, varied, expire or otherwise replaced, changed by Shopify.</w:t>
      </w:r>
    </w:p>
    <w:p>
      <w:pPr>
        <w:spacing w:after="0" w:line="82" w:lineRule="exact"/>
        <w:rPr>
          <w:sz w:val="20"/>
          <w:szCs w:val="20"/>
          <w:color w:val="auto"/>
        </w:rPr>
      </w:pPr>
    </w:p>
    <w:p>
      <w:pPr>
        <w:ind w:right="40" w:firstLine="419"/>
        <w:spacing w:after="0" w:line="340"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b w:val="1"/>
          <w:bCs w:val="1"/>
          <w:color w:val="auto"/>
        </w:rPr>
        <w:t>Amendment and Waiver.</w:t>
      </w:r>
      <w:r>
        <w:rPr>
          <w:rFonts w:ascii="Arial" w:cs="Arial" w:eastAsia="Arial" w:hAnsi="Arial"/>
          <w:sz w:val="16"/>
          <w:szCs w:val="16"/>
          <w:color w:val="auto"/>
        </w:rPr>
        <w:t xml:space="preserve"> No amendment of this Agreement will be effective unless it is in writing and signed by both Parties. No waiver of a party’s failure to comply with an obligation under this Agreement will be effective unless it is in writing and signed by the other party.</w:t>
      </w:r>
    </w:p>
    <w:p>
      <w:pPr>
        <w:spacing w:after="0" w:line="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920" w:top="272" w:right="519" w:bottom="1440" w:gutter="0" w:footer="0" w:header="0"/>
        </w:sectPr>
      </w:pPr>
    </w:p>
    <w:bookmarkStart w:id="489" w:name="page490"/>
    <w:bookmarkEnd w:id="489"/>
    <w:p>
      <w:pPr>
        <w:jc w:val="both"/>
        <w:ind w:firstLine="41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9.11. </w:t>
      </w:r>
      <w:r>
        <w:rPr>
          <w:rFonts w:ascii="Arial" w:cs="Arial" w:eastAsia="Arial" w:hAnsi="Arial"/>
          <w:sz w:val="18"/>
          <w:szCs w:val="18"/>
          <w:b w:val="1"/>
          <w:bCs w:val="1"/>
          <w:color w:val="auto"/>
        </w:rPr>
        <w:t>Governing Law and Forum.</w:t>
      </w:r>
      <w:r>
        <w:rPr>
          <w:rFonts w:ascii="Arial" w:cs="Arial" w:eastAsia="Arial" w:hAnsi="Arial"/>
          <w:sz w:val="18"/>
          <w:szCs w:val="18"/>
          <w:color w:val="auto"/>
        </w:rPr>
        <w:t xml:space="preserve"> This Agreement is governed by the laws of the Province of Ontario and the laws of Canada applicable therein without giving effect to its principles of conflicts of law. Any dispute regarding this Agreement must be decided by a court of competent jurisdiction located in Ontario, Canada.</w:t>
      </w:r>
    </w:p>
    <w:p>
      <w:pPr>
        <w:spacing w:after="0" w:line="78" w:lineRule="exact"/>
        <w:rPr>
          <w:sz w:val="20"/>
          <w:szCs w:val="20"/>
          <w:color w:val="auto"/>
        </w:rPr>
      </w:pPr>
    </w:p>
    <w:p>
      <w:pPr>
        <w:ind w:right="100" w:firstLine="419"/>
        <w:spacing w:after="0" w:line="271" w:lineRule="auto"/>
        <w:rPr>
          <w:sz w:val="20"/>
          <w:szCs w:val="20"/>
          <w:color w:val="auto"/>
        </w:rPr>
      </w:pPr>
      <w:r>
        <w:rPr>
          <w:rFonts w:ascii="Arial" w:cs="Arial" w:eastAsia="Arial" w:hAnsi="Arial"/>
          <w:sz w:val="18"/>
          <w:szCs w:val="18"/>
          <w:color w:val="auto"/>
        </w:rPr>
        <w:t>9.12. This Agreement may be executed and delivered in any number of counterparts, each of which will be deemed an original and all of which together will constitute one and the same instrument.</w:t>
      </w:r>
    </w:p>
    <w:p>
      <w:pPr>
        <w:spacing w:after="0" w:line="17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80"/>
          </w:cols>
          <w:pgMar w:left="920" w:top="268" w:right="699" w:bottom="1440" w:gutter="0" w:footer="0" w:header="0"/>
        </w:sectPr>
      </w:pPr>
    </w:p>
    <w:bookmarkStart w:id="490" w:name="page491"/>
    <w:bookmarkEnd w:id="49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have executed this Agreement by their authorized representatives as of the Agreement Effective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Amir Schlachet</w:t>
            </w:r>
          </w:p>
        </w:tc>
        <w:tc>
          <w:tcPr>
            <w:tcW w:w="4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Shapero</w:t>
            </w: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GLOBAL E-ONLINE LTD.</w:t>
            </w:r>
          </w:p>
        </w:tc>
        <w:tc>
          <w:tcPr>
            <w:tcW w:w="4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SHOPIFY INC.</w:t>
            </w:r>
          </w:p>
        </w:tc>
      </w:tr>
      <w:tr>
        <w:trPr>
          <w:trHeight w:val="427"/>
        </w:trPr>
        <w:tc>
          <w:tcPr>
            <w:tcW w:w="5360" w:type="dxa"/>
            <w:vAlign w:val="bottom"/>
            <w:gridSpan w:val="3"/>
          </w:tcPr>
          <w:p>
            <w:pPr>
              <w:spacing w:after="0"/>
              <w:rPr>
                <w:sz w:val="20"/>
                <w:szCs w:val="20"/>
                <w:color w:val="auto"/>
              </w:rPr>
            </w:pPr>
            <w:r>
              <w:rPr>
                <w:rFonts w:ascii="Arial" w:cs="Arial" w:eastAsia="Arial" w:hAnsi="Arial"/>
                <w:sz w:val="18"/>
                <w:szCs w:val="18"/>
                <w:color w:val="auto"/>
              </w:rPr>
              <w:t>By: Amir Schlachet</w:t>
            </w:r>
          </w:p>
        </w:tc>
        <w:tc>
          <w:tcPr>
            <w:tcW w:w="4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By: Amy Shapero</w:t>
            </w:r>
          </w:p>
        </w:tc>
      </w:tr>
      <w:tr>
        <w:trPr>
          <w:trHeight w:val="428"/>
        </w:trPr>
        <w:tc>
          <w:tcPr>
            <w:tcW w:w="536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4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55"/>
        </w:trPr>
        <w:tc>
          <w:tcPr>
            <w:tcW w:w="5360" w:type="dxa"/>
            <w:vAlign w:val="bottom"/>
            <w:gridSpan w:val="3"/>
          </w:tcPr>
          <w:p>
            <w:pPr>
              <w:spacing w:after="0"/>
              <w:rPr>
                <w:sz w:val="20"/>
                <w:szCs w:val="20"/>
                <w:color w:val="auto"/>
              </w:rPr>
            </w:pPr>
            <w:r>
              <w:rPr>
                <w:rFonts w:ascii="Arial" w:cs="Arial" w:eastAsia="Arial" w:hAnsi="Arial"/>
                <w:sz w:val="18"/>
                <w:szCs w:val="18"/>
                <w:color w:val="auto"/>
              </w:rPr>
              <w:t>/s/ John Riordan</w:t>
            </w:r>
          </w:p>
        </w:tc>
        <w:tc>
          <w:tcPr>
            <w:tcW w:w="4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2"/>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SHOPIFY INTERNATIONAL LIMITED</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1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John Riordan</w:t>
            </w:r>
          </w:p>
        </w:tc>
        <w:tc>
          <w:tcPr>
            <w:tcW w:w="4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1"/>
        </w:trPr>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ind w:right="151"/>
              <w:spacing w:after="0"/>
              <w:rPr>
                <w:sz w:val="20"/>
                <w:szCs w:val="20"/>
                <w:color w:val="auto"/>
              </w:rPr>
            </w:pPr>
            <w:r>
              <w:rPr>
                <w:rFonts w:ascii="Arial" w:cs="Arial" w:eastAsia="Arial" w:hAnsi="Arial"/>
                <w:sz w:val="18"/>
                <w:szCs w:val="18"/>
                <w:color w:val="auto"/>
                <w:w w:val="89"/>
              </w:rPr>
              <w:t>13</w:t>
            </w:r>
          </w:p>
        </w:tc>
        <w:tc>
          <w:tcPr>
            <w:tcW w:w="512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p>
    <w:p>
      <w:pPr>
        <w:sectPr>
          <w:pgSz w:w="11900" w:h="16838" w:orient="portrait"/>
          <w:cols w:equalWidth="0" w:num="1">
            <w:col w:w="9019"/>
          </w:cols>
          <w:pgMar w:left="1440" w:top="272"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272" w:right="1440" w:bottom="1440" w:gutter="0" w:footer="0" w:header="0"/>
          <w:type w:val="continuous"/>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gridSpan w:val="2"/>
          </w:tcPr>
          <w:p>
            <w:pPr>
              <w:ind w:left="400"/>
              <w:spacing w:after="0"/>
              <w:rPr>
                <w:sz w:val="20"/>
                <w:szCs w:val="20"/>
                <w:color w:val="auto"/>
              </w:rPr>
            </w:pPr>
            <w:r>
              <w:rPr>
                <w:rFonts w:ascii="Arial" w:cs="Arial" w:eastAsia="Arial" w:hAnsi="Arial"/>
                <w:sz w:val="18"/>
                <w:szCs w:val="18"/>
                <w:b w:val="1"/>
                <w:bCs w:val="1"/>
                <w:color w:val="auto"/>
              </w:rPr>
              <w:t>Subsidiaries of Global-E Online Ltd.</w:t>
            </w:r>
          </w:p>
        </w:tc>
      </w:tr>
      <w:tr>
        <w:trPr>
          <w:trHeight w:val="455"/>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Legal Name of Subsidiary</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w w:val="89"/>
              </w:rPr>
              <w:t>Jurisdiction of Organization</w:t>
            </w:r>
          </w:p>
        </w:tc>
      </w:tr>
      <w:tr>
        <w:trPr>
          <w:trHeight w:val="421"/>
        </w:trPr>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Global-e US Inc.</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UK Ltd.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England</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CH AG</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Canada e-commerce Ltd.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Canada</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NL B.V.</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France SAS</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France</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Spain S.L.</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Spain</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Australia Pty. Ltd.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Australia</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HK Limited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Hong Kong</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Japan KK</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Japan</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(Beijing) Technology Co. Ltd.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China</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Olami E-commerce Solutions Ireland Limited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Ireland</w:t>
            </w:r>
          </w:p>
        </w:tc>
      </w:tr>
      <w:tr>
        <w:trPr>
          <w:trHeight w:val="428"/>
        </w:trPr>
        <w:tc>
          <w:tcPr>
            <w:tcW w:w="3680" w:type="dxa"/>
            <w:vAlign w:val="bottom"/>
            <w:gridSpan w:val="2"/>
          </w:tcPr>
          <w:p>
            <w:pPr>
              <w:spacing w:after="0"/>
              <w:rPr>
                <w:sz w:val="20"/>
                <w:szCs w:val="20"/>
                <w:color w:val="auto"/>
              </w:rPr>
            </w:pPr>
            <w:r>
              <w:rPr>
                <w:rFonts w:ascii="Arial" w:cs="Arial" w:eastAsia="Arial" w:hAnsi="Arial"/>
                <w:sz w:val="18"/>
                <w:szCs w:val="18"/>
                <w:color w:val="auto"/>
              </w:rPr>
              <w:t>Global-e Online Pte Ltd.</w:t>
            </w:r>
          </w:p>
        </w:tc>
        <w:tc>
          <w:tcPr>
            <w:tcW w:w="202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0920"/>
          </w:cols>
          <w:pgMar w:left="480" w:top="121" w:right="499" w:bottom="1440" w:gutter="0" w:footer="0" w:header="0"/>
        </w:sectPr>
      </w:pPr>
    </w:p>
    <w:bookmarkStart w:id="493" w:name="page494"/>
    <w:bookmarkEnd w:id="4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February 19, 2021 (except for the effects of the share split as described in Note 5a, the effect of the restatement as described in Note 14 and subsequent event as described in Note 15 as to which the date is April 13, 2021) in the Registration Statement (Form F-1) and the related Prospectus of Global-e Online Ltd. dated September 7, 2021.</w:t>
      </w:r>
    </w:p>
    <w:p>
      <w:pPr>
        <w:sectPr>
          <w:pgSz w:w="11900" w:h="16838" w:orient="portrait"/>
          <w:cols w:equalWidth="0" w:num="1">
            <w:col w:w="10920"/>
          </w:cols>
          <w:pgMar w:left="480" w:top="118" w:right="4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September 7,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Kost Forer Gabbay &amp; Kasierer</w:t>
      </w:r>
    </w:p>
    <w:p>
      <w:pPr>
        <w:spacing w:after="0" w:line="200" w:lineRule="exact"/>
        <w:rPr>
          <w:sz w:val="20"/>
          <w:szCs w:val="20"/>
          <w:color w:val="auto"/>
        </w:rPr>
      </w:pPr>
    </w:p>
    <w:p>
      <w:pPr>
        <w:sectPr>
          <w:pgSz w:w="11900" w:h="16838" w:orient="portrait"/>
          <w:cols w:equalWidth="0" w:num="2">
            <w:col w:w="4980" w:space="720"/>
            <w:col w:w="5220"/>
          </w:cols>
          <w:pgMar w:left="480" w:top="118" w:right="4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 Member of Ernst &amp; Young Global</w:t>
      </w:r>
    </w:p>
    <w:sectPr>
      <w:pgSz w:w="11900" w:h="16838" w:orient="portrait"/>
      <w:cols w:equalWidth="0" w:num="2">
        <w:col w:w="4980" w:space="720"/>
        <w:col w:w="5220"/>
      </w:cols>
      <w:pgMar w:left="480" w:top="11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AADFDA"/>
    <w:multiLevelType w:val="hybridMultilevel"/>
    <w:lvl w:ilvl="0">
      <w:lvlJc w:val="left"/>
      <w:lvlText w:val="(%1)"/>
      <w:numFmt w:val="decimal"/>
      <w:start w:val="1"/>
    </w:lvl>
  </w:abstractNum>
  <w:abstractNum w:abstractNumId="1">
    <w:nsid w:val="30EADA61"/>
    <w:multiLevelType w:val="hybridMultilevel"/>
    <w:lvl w:ilvl="0">
      <w:lvlJc w:val="left"/>
      <w:lvlText w:val="(%1)"/>
      <w:numFmt w:val="decimal"/>
      <w:start w:val="1"/>
    </w:lvl>
  </w:abstractNum>
  <w:abstractNum w:abstractNumId="2">
    <w:nsid w:val="27179C0B"/>
    <w:multiLevelType w:val="hybridMultilevel"/>
    <w:lvl w:ilvl="0">
      <w:lvlJc w:val="left"/>
      <w:lvlText w:val="•"/>
      <w:numFmt w:val="bullet"/>
      <w:start w:val="1"/>
    </w:lvl>
  </w:abstractNum>
  <w:abstractNum w:abstractNumId="3">
    <w:nsid w:val="5E636063"/>
    <w:multiLevelType w:val="hybridMultilevel"/>
    <w:lvl w:ilvl="0">
      <w:lvlJc w:val="left"/>
      <w:lvlText w:val="•"/>
      <w:numFmt w:val="bullet"/>
      <w:start w:val="1"/>
    </w:lvl>
  </w:abstractNum>
  <w:abstractNum w:abstractNumId="4">
    <w:nsid w:val="215641AF"/>
    <w:multiLevelType w:val="hybridMultilevel"/>
    <w:lvl w:ilvl="0">
      <w:lvlJc w:val="left"/>
      <w:lvlText w:val="•"/>
      <w:numFmt w:val="bullet"/>
      <w:start w:val="1"/>
    </w:lvl>
  </w:abstractNum>
  <w:abstractNum w:abstractNumId="5">
    <w:nsid w:val="53280662"/>
    <w:multiLevelType w:val="hybridMultilevel"/>
    <w:lvl w:ilvl="0">
      <w:lvlJc w:val="left"/>
      <w:lvlText w:val="•"/>
      <w:numFmt w:val="bullet"/>
      <w:start w:val="1"/>
    </w:lvl>
  </w:abstractNum>
  <w:abstractNum w:abstractNumId="6">
    <w:nsid w:val="46B24DBC"/>
    <w:multiLevelType w:val="hybridMultilevel"/>
    <w:lvl w:ilvl="0">
      <w:lvlJc w:val="left"/>
      <w:lvlText w:val="•"/>
      <w:numFmt w:val="bullet"/>
      <w:start w:val="1"/>
    </w:lvl>
  </w:abstractNum>
  <w:abstractNum w:abstractNumId="7">
    <w:nsid w:val="75B52783"/>
    <w:multiLevelType w:val="hybridMultilevel"/>
    <w:lvl w:ilvl="0">
      <w:lvlJc w:val="left"/>
      <w:lvlText w:val="•"/>
      <w:numFmt w:val="bullet"/>
      <w:start w:val="1"/>
    </w:lvl>
  </w:abstractNum>
  <w:abstractNum w:abstractNumId="8">
    <w:nsid w:val="57CE66B4"/>
    <w:multiLevelType w:val="hybridMultilevel"/>
    <w:lvl w:ilvl="0">
      <w:lvlJc w:val="left"/>
      <w:lvlText w:val="•"/>
      <w:numFmt w:val="bullet"/>
      <w:start w:val="1"/>
    </w:lvl>
  </w:abstractNum>
  <w:abstractNum w:abstractNumId="9">
    <w:nsid w:val="67A70B69"/>
    <w:multiLevelType w:val="hybridMultilevel"/>
    <w:lvl w:ilvl="0">
      <w:lvlJc w:val="left"/>
      <w:lvlText w:val="•"/>
      <w:numFmt w:val="bullet"/>
      <w:start w:val="1"/>
    </w:lvl>
  </w:abstractNum>
  <w:abstractNum w:abstractNumId="10">
    <w:nsid w:val="5953172F"/>
    <w:multiLevelType w:val="hybridMultilevel"/>
    <w:lvl w:ilvl="0">
      <w:lvlJc w:val="left"/>
      <w:lvlText w:val="•"/>
      <w:numFmt w:val="bullet"/>
      <w:start w:val="1"/>
    </w:lvl>
  </w:abstractNum>
  <w:abstractNum w:abstractNumId="11">
    <w:nsid w:val="27EDFE3A"/>
    <w:multiLevelType w:val="hybridMultilevel"/>
    <w:lvl w:ilvl="0">
      <w:lvlJc w:val="left"/>
      <w:lvlText w:val="•"/>
      <w:numFmt w:val="bullet"/>
      <w:start w:val="1"/>
    </w:lvl>
  </w:abstractNum>
  <w:abstractNum w:abstractNumId="12">
    <w:nsid w:val="52AC7DFF"/>
    <w:multiLevelType w:val="hybridMultilevel"/>
    <w:lvl w:ilvl="0">
      <w:lvlJc w:val="left"/>
      <w:lvlText w:val="•"/>
      <w:numFmt w:val="bullet"/>
      <w:start w:val="1"/>
    </w:lvl>
  </w:abstractNum>
  <w:abstractNum w:abstractNumId="13">
    <w:nsid w:val="C4C3AF"/>
    <w:multiLevelType w:val="hybridMultilevel"/>
    <w:lvl w:ilvl="0">
      <w:lvlJc w:val="left"/>
      <w:lvlText w:val="•"/>
      <w:numFmt w:val="bullet"/>
      <w:start w:val="1"/>
    </w:lvl>
  </w:abstractNum>
  <w:abstractNum w:abstractNumId="14">
    <w:nsid w:val="44380727"/>
    <w:multiLevelType w:val="hybridMultilevel"/>
    <w:lvl w:ilvl="0">
      <w:lvlJc w:val="left"/>
      <w:lvlText w:val="•"/>
      <w:numFmt w:val="bullet"/>
      <w:start w:val="1"/>
    </w:lvl>
  </w:abstractNum>
  <w:abstractNum w:abstractNumId="15">
    <w:nsid w:val="6C053B16"/>
    <w:multiLevelType w:val="hybridMultilevel"/>
    <w:lvl w:ilvl="0">
      <w:lvlJc w:val="left"/>
      <w:lvlText w:val="•"/>
      <w:numFmt w:val="bullet"/>
      <w:start w:val="1"/>
    </w:lvl>
  </w:abstractNum>
  <w:abstractNum w:abstractNumId="16">
    <w:nsid w:val="4F294393"/>
    <w:multiLevelType w:val="hybridMultilevel"/>
    <w:lvl w:ilvl="0">
      <w:lvlJc w:val="left"/>
      <w:lvlText w:val="•"/>
      <w:numFmt w:val="bullet"/>
      <w:start w:val="1"/>
    </w:lvl>
  </w:abstractNum>
  <w:abstractNum w:abstractNumId="17">
    <w:nsid w:val="5243BFAC"/>
    <w:multiLevelType w:val="hybridMultilevel"/>
    <w:lvl w:ilvl="0">
      <w:lvlJc w:val="left"/>
      <w:lvlText w:val="•"/>
      <w:numFmt w:val="bullet"/>
      <w:start w:val="1"/>
    </w:lvl>
  </w:abstractNum>
  <w:abstractNum w:abstractNumId="18">
    <w:nsid w:val="425EB207"/>
    <w:multiLevelType w:val="hybridMultilevel"/>
    <w:lvl w:ilvl="0">
      <w:lvlJc w:val="left"/>
      <w:lvlText w:val="(%1)"/>
      <w:numFmt w:val="decimal"/>
      <w:start w:val="1"/>
    </w:lvl>
  </w:abstractNum>
  <w:abstractNum w:abstractNumId="19">
    <w:nsid w:val="334A6F1F"/>
    <w:multiLevelType w:val="hybridMultilevel"/>
    <w:lvl w:ilvl="0">
      <w:lvlJc w:val="left"/>
      <w:lvlText w:val="(%1)"/>
      <w:numFmt w:val="lowerLetter"/>
      <w:start w:val="1"/>
    </w:lvl>
  </w:abstractNum>
  <w:abstractNum w:abstractNumId="20">
    <w:nsid w:val="2E5B12B8"/>
    <w:multiLevelType w:val="hybridMultilevel"/>
    <w:lvl w:ilvl="0">
      <w:lvlJc w:val="left"/>
      <w:lvlText w:val="•"/>
      <w:numFmt w:val="bullet"/>
      <w:start w:val="1"/>
    </w:lvl>
  </w:abstractNum>
  <w:abstractNum w:abstractNumId="21">
    <w:nsid w:val="5C03D76D"/>
    <w:multiLevelType w:val="hybridMultilevel"/>
    <w:lvl w:ilvl="0">
      <w:lvlJc w:val="left"/>
      <w:lvlText w:val="•"/>
      <w:numFmt w:val="bullet"/>
      <w:start w:val="1"/>
    </w:lvl>
  </w:abstractNum>
  <w:abstractNum w:abstractNumId="22">
    <w:nsid w:val="66A48D11"/>
    <w:multiLevelType w:val="hybridMultilevel"/>
    <w:lvl w:ilvl="0">
      <w:lvlJc w:val="left"/>
      <w:lvlText w:val="•"/>
      <w:numFmt w:val="bullet"/>
      <w:start w:val="1"/>
    </w:lvl>
  </w:abstractNum>
  <w:abstractNum w:abstractNumId="23">
    <w:nsid w:val="56C28E34"/>
    <w:multiLevelType w:val="hybridMultilevel"/>
    <w:lvl w:ilvl="0">
      <w:lvlJc w:val="left"/>
      <w:lvlText w:val="•"/>
      <w:numFmt w:val="bullet"/>
      <w:start w:val="1"/>
    </w:lvl>
  </w:abstractNum>
  <w:abstractNum w:abstractNumId="24">
    <w:nsid w:val="13916F2D"/>
    <w:multiLevelType w:val="hybridMultilevel"/>
    <w:lvl w:ilvl="0">
      <w:lvlJc w:val="left"/>
      <w:lvlText w:val="•"/>
      <w:numFmt w:val="bullet"/>
      <w:start w:val="1"/>
    </w:lvl>
  </w:abstractNum>
  <w:abstractNum w:abstractNumId="25">
    <w:nsid w:val="435D38D"/>
    <w:multiLevelType w:val="hybridMultilevel"/>
    <w:lvl w:ilvl="0">
      <w:lvlJc w:val="left"/>
      <w:lvlText w:val="•"/>
      <w:numFmt w:val="bullet"/>
      <w:start w:val="1"/>
    </w:lvl>
  </w:abstractNum>
  <w:abstractNum w:abstractNumId="26">
    <w:nsid w:val="822C0EF"/>
    <w:multiLevelType w:val="hybridMultilevel"/>
    <w:lvl w:ilvl="0">
      <w:lvlJc w:val="left"/>
      <w:lvlText w:val="•"/>
      <w:numFmt w:val="bullet"/>
      <w:start w:val="1"/>
    </w:lvl>
  </w:abstractNum>
  <w:abstractNum w:abstractNumId="27">
    <w:nsid w:val="57C5BB4F"/>
    <w:multiLevelType w:val="hybridMultilevel"/>
    <w:lvl w:ilvl="0">
      <w:lvlJc w:val="left"/>
      <w:lvlText w:val="•"/>
      <w:numFmt w:val="bullet"/>
      <w:start w:val="1"/>
    </w:lvl>
  </w:abstractNum>
  <w:abstractNum w:abstractNumId="28">
    <w:nsid w:val="1803D089"/>
    <w:multiLevelType w:val="hybridMultilevel"/>
    <w:lvl w:ilvl="0">
      <w:lvlJc w:val="left"/>
      <w:lvlText w:val="•"/>
      <w:numFmt w:val="bullet"/>
      <w:start w:val="1"/>
    </w:lvl>
  </w:abstractNum>
  <w:abstractNum w:abstractNumId="29">
    <w:nsid w:val="4F3A06D4"/>
    <w:multiLevelType w:val="hybridMultilevel"/>
    <w:lvl w:ilvl="0">
      <w:lvlJc w:val="left"/>
      <w:lvlText w:val="•"/>
      <w:numFmt w:val="bullet"/>
      <w:start w:val="1"/>
    </w:lvl>
  </w:abstractNum>
  <w:abstractNum w:abstractNumId="30">
    <w:nsid w:val="59A377B6"/>
    <w:multiLevelType w:val="hybridMultilevel"/>
    <w:lvl w:ilvl="0">
      <w:lvlJc w:val="left"/>
      <w:lvlText w:val="•"/>
      <w:numFmt w:val="bullet"/>
      <w:start w:val="1"/>
    </w:lvl>
  </w:abstractNum>
  <w:abstractNum w:abstractNumId="31">
    <w:nsid w:val="48AEB063"/>
    <w:multiLevelType w:val="hybridMultilevel"/>
    <w:lvl w:ilvl="0">
      <w:lvlJc w:val="left"/>
      <w:lvlText w:val="(%1)"/>
      <w:numFmt w:val="decimal"/>
      <w:start w:val="1"/>
    </w:lvl>
  </w:abstractNum>
  <w:abstractNum w:abstractNumId="32">
    <w:nsid w:val="24E135"/>
    <w:multiLevelType w:val="hybridMultilevel"/>
    <w:lvl w:ilvl="0">
      <w:lvlJc w:val="left"/>
      <w:lvlText w:val="•"/>
      <w:numFmt w:val="bullet"/>
      <w:start w:val="1"/>
    </w:lvl>
  </w:abstractNum>
  <w:abstractNum w:abstractNumId="33">
    <w:nsid w:val="BB13C1"/>
    <w:multiLevelType w:val="hybridMultilevel"/>
    <w:lvl w:ilvl="0">
      <w:lvlJc w:val="left"/>
      <w:lvlText w:val="•"/>
      <w:numFmt w:val="bullet"/>
      <w:start w:val="1"/>
    </w:lvl>
  </w:abstractNum>
  <w:abstractNum w:abstractNumId="34">
    <w:nsid w:val="271210C7"/>
    <w:multiLevelType w:val="hybridMultilevel"/>
    <w:lvl w:ilvl="0">
      <w:lvlJc w:val="left"/>
      <w:lvlText w:val="%1."/>
      <w:numFmt w:val="decimal"/>
      <w:start w:val="1"/>
    </w:lvl>
  </w:abstractNum>
  <w:abstractNum w:abstractNumId="35">
    <w:nsid w:val="217B22E4"/>
    <w:multiLevelType w:val="hybridMultilevel"/>
    <w:lvl w:ilvl="0">
      <w:lvlJc w:val="left"/>
      <w:lvlText w:val="%1."/>
      <w:numFmt w:val="decimal"/>
      <w:start w:val="2"/>
    </w:lvl>
  </w:abstractNum>
  <w:abstractNum w:abstractNumId="36">
    <w:nsid w:val="53E31A24"/>
    <w:multiLevelType w:val="hybridMultilevel"/>
    <w:lvl w:ilvl="0">
      <w:lvlJc w:val="left"/>
      <w:lvlText w:val="%1."/>
      <w:numFmt w:val="decimal"/>
      <w:start w:val="1"/>
    </w:lvl>
  </w:abstractNum>
  <w:abstractNum w:abstractNumId="37">
    <w:nsid w:val="6DC45E83"/>
    <w:multiLevelType w:val="hybridMultilevel"/>
    <w:lvl w:ilvl="0">
      <w:lvlJc w:val="left"/>
      <w:lvlText w:val="%1."/>
      <w:numFmt w:val="decimal"/>
      <w:start w:val="1"/>
    </w:lvl>
  </w:abstractNum>
  <w:abstractNum w:abstractNumId="38">
    <w:nsid w:val="17304A67"/>
    <w:multiLevelType w:val="hybridMultilevel"/>
    <w:lvl w:ilvl="0">
      <w:lvlJc w:val="left"/>
      <w:lvlText w:val="•"/>
      <w:numFmt w:val="bullet"/>
      <w:start w:val="1"/>
    </w:lvl>
  </w:abstractNum>
  <w:abstractNum w:abstractNumId="39">
    <w:nsid w:val="2BB180D8"/>
    <w:multiLevelType w:val="hybridMultilevel"/>
    <w:lvl w:ilvl="0">
      <w:lvlJc w:val="left"/>
      <w:lvlText w:val="•"/>
      <w:numFmt w:val="bullet"/>
      <w:start w:val="1"/>
    </w:lvl>
  </w:abstractNum>
  <w:abstractNum w:abstractNumId="40">
    <w:nsid w:val="556B69ED"/>
    <w:multiLevelType w:val="hybridMultilevel"/>
    <w:lvl w:ilvl="0">
      <w:lvlJc w:val="left"/>
      <w:lvlText w:val="•"/>
      <w:numFmt w:val="bullet"/>
      <w:start w:val="1"/>
    </w:lvl>
  </w:abstractNum>
  <w:abstractNum w:abstractNumId="41">
    <w:nsid w:val="70836196"/>
    <w:multiLevelType w:val="hybridMultilevel"/>
    <w:lvl w:ilvl="0">
      <w:lvlJc w:val="left"/>
      <w:lvlText w:val="•"/>
      <w:numFmt w:val="bullet"/>
      <w:start w:val="1"/>
    </w:lvl>
  </w:abstractNum>
  <w:abstractNum w:abstractNumId="42">
    <w:nsid w:val="539F7F12"/>
    <w:multiLevelType w:val="hybridMultilevel"/>
    <w:lvl w:ilvl="0">
      <w:lvlJc w:val="left"/>
      <w:lvlText w:val="•"/>
      <w:numFmt w:val="bullet"/>
      <w:start w:val="1"/>
    </w:lvl>
  </w:abstractNum>
  <w:abstractNum w:abstractNumId="43">
    <w:nsid w:val="2817E7EC"/>
    <w:multiLevelType w:val="hybridMultilevel"/>
    <w:lvl w:ilvl="0">
      <w:lvlJc w:val="left"/>
      <w:lvlText w:val="•"/>
      <w:numFmt w:val="bullet"/>
      <w:start w:val="1"/>
    </w:lvl>
  </w:abstractNum>
  <w:abstractNum w:abstractNumId="44">
    <w:nsid w:val="71482545"/>
    <w:multiLevelType w:val="hybridMultilevel"/>
    <w:lvl w:ilvl="0">
      <w:lvlJc w:val="left"/>
      <w:lvlText w:val="•"/>
      <w:numFmt w:val="bullet"/>
      <w:start w:val="1"/>
    </w:lvl>
  </w:abstractNum>
  <w:abstractNum w:abstractNumId="45">
    <w:nsid w:val="17D78639"/>
    <w:multiLevelType w:val="hybridMultilevel"/>
    <w:lvl w:ilvl="0">
      <w:lvlJc w:val="left"/>
      <w:lvlText w:val="•"/>
      <w:numFmt w:val="bullet"/>
      <w:start w:val="1"/>
    </w:lvl>
  </w:abstractNum>
  <w:abstractNum w:abstractNumId="46">
    <w:nsid w:val="141D2302"/>
    <w:multiLevelType w:val="hybridMultilevel"/>
    <w:lvl w:ilvl="0">
      <w:lvlJc w:val="left"/>
      <w:lvlText w:val="•"/>
      <w:numFmt w:val="bullet"/>
      <w:start w:val="1"/>
    </w:lvl>
  </w:abstractNum>
  <w:abstractNum w:abstractNumId="47">
    <w:nsid w:val="407168D8"/>
    <w:multiLevelType w:val="hybridMultilevel"/>
    <w:lvl w:ilvl="0">
      <w:lvlJc w:val="left"/>
      <w:lvlText w:val="•"/>
      <w:numFmt w:val="bullet"/>
      <w:start w:val="1"/>
    </w:lvl>
  </w:abstractNum>
  <w:abstractNum w:abstractNumId="48">
    <w:nsid w:val="6A1B45E5"/>
    <w:multiLevelType w:val="hybridMultilevel"/>
    <w:lvl w:ilvl="0">
      <w:lvlJc w:val="left"/>
      <w:lvlText w:val="•"/>
      <w:numFmt w:val="bullet"/>
      <w:start w:val="1"/>
    </w:lvl>
    <w:lvl w:ilvl="1">
      <w:lvlJc w:val="left"/>
      <w:lvlText w:val="¡"/>
      <w:numFmt w:val="bullet"/>
      <w:start w:val="1"/>
    </w:lvl>
  </w:abstractNum>
  <w:abstractNum w:abstractNumId="49">
    <w:nsid w:val="567BD50A"/>
    <w:multiLevelType w:val="hybridMultilevel"/>
    <w:lvl w:ilvl="0">
      <w:lvlJc w:val="left"/>
      <w:lvlText w:val="•"/>
      <w:numFmt w:val="bullet"/>
      <w:start w:val="1"/>
    </w:lvl>
    <w:lvl w:ilvl="1">
      <w:lvlJc w:val="left"/>
      <w:lvlText w:val="¡"/>
      <w:numFmt w:val="bullet"/>
      <w:start w:val="1"/>
    </w:lvl>
  </w:abstractNum>
  <w:abstractNum w:abstractNumId="50">
    <w:nsid w:val="73BBD7F8"/>
    <w:multiLevelType w:val="hybridMultilevel"/>
    <w:lvl w:ilvl="0">
      <w:lvlJc w:val="left"/>
      <w:lvlText w:val="•"/>
      <w:numFmt w:val="bullet"/>
      <w:start w:val="1"/>
    </w:lvl>
    <w:lvl w:ilvl="1">
      <w:lvlJc w:val="left"/>
      <w:lvlText w:val="¡"/>
      <w:numFmt w:val="bullet"/>
      <w:start w:val="1"/>
    </w:lvl>
  </w:abstractNum>
  <w:abstractNum w:abstractNumId="51">
    <w:nsid w:val="1876589D"/>
    <w:multiLevelType w:val="hybridMultilevel"/>
    <w:lvl w:ilvl="0">
      <w:lvlJc w:val="left"/>
      <w:lvlText w:val="•"/>
      <w:numFmt w:val="bullet"/>
      <w:start w:val="1"/>
    </w:lvl>
  </w:abstractNum>
  <w:abstractNum w:abstractNumId="52">
    <w:nsid w:val="327FAC77"/>
    <w:multiLevelType w:val="hybridMultilevel"/>
    <w:lvl w:ilvl="0">
      <w:lvlJc w:val="left"/>
      <w:lvlText w:val="•"/>
      <w:numFmt w:val="bullet"/>
      <w:start w:val="1"/>
    </w:lvl>
  </w:abstractNum>
  <w:abstractNum w:abstractNumId="53">
    <w:nsid w:val="5A606509"/>
    <w:multiLevelType w:val="hybridMultilevel"/>
    <w:lvl w:ilvl="0">
      <w:lvlJc w:val="left"/>
      <w:lvlText w:val="•"/>
      <w:numFmt w:val="bullet"/>
      <w:start w:val="1"/>
    </w:lvl>
  </w:abstractNum>
  <w:abstractNum w:abstractNumId="54">
    <w:nsid w:val="6F38E6D1"/>
    <w:multiLevelType w:val="hybridMultilevel"/>
    <w:lvl w:ilvl="0">
      <w:lvlJc w:val="left"/>
      <w:lvlText w:val="•"/>
      <w:numFmt w:val="bullet"/>
      <w:start w:val="1"/>
    </w:lvl>
  </w:abstractNum>
  <w:abstractNum w:abstractNumId="55">
    <w:nsid w:val="46111BA5"/>
    <w:multiLevelType w:val="hybridMultilevel"/>
    <w:lvl w:ilvl="0">
      <w:lvlJc w:val="left"/>
      <w:lvlText w:val="•"/>
      <w:numFmt w:val="bullet"/>
      <w:start w:val="1"/>
    </w:lvl>
  </w:abstractNum>
  <w:abstractNum w:abstractNumId="56">
    <w:nsid w:val="5E963896"/>
    <w:multiLevelType w:val="hybridMultilevel"/>
    <w:lvl w:ilvl="0">
      <w:lvlJc w:val="left"/>
      <w:lvlText w:val="•"/>
      <w:numFmt w:val="bullet"/>
      <w:start w:val="1"/>
    </w:lvl>
  </w:abstractNum>
  <w:abstractNum w:abstractNumId="57">
    <w:nsid w:val="775BA7C1"/>
    <w:multiLevelType w:val="hybridMultilevel"/>
    <w:lvl w:ilvl="0">
      <w:lvlJc w:val="left"/>
      <w:lvlText w:val="•"/>
      <w:numFmt w:val="bullet"/>
      <w:start w:val="1"/>
    </w:lvl>
  </w:abstractNum>
  <w:abstractNum w:abstractNumId="58">
    <w:nsid w:val="1DD6D6F4"/>
    <w:multiLevelType w:val="hybridMultilevel"/>
    <w:lvl w:ilvl="0">
      <w:lvlJc w:val="left"/>
      <w:lvlText w:val="•"/>
      <w:numFmt w:val="bullet"/>
      <w:start w:val="1"/>
    </w:lvl>
  </w:abstractNum>
  <w:abstractNum w:abstractNumId="59">
    <w:nsid w:val="769A091F"/>
    <w:multiLevelType w:val="hybridMultilevel"/>
    <w:lvl w:ilvl="0">
      <w:lvlJc w:val="left"/>
      <w:lvlText w:val="•"/>
      <w:numFmt w:val="bullet"/>
      <w:start w:val="1"/>
    </w:lvl>
  </w:abstractNum>
  <w:abstractNum w:abstractNumId="60">
    <w:nsid w:val="4695AE95"/>
    <w:multiLevelType w:val="hybridMultilevel"/>
    <w:lvl w:ilvl="0">
      <w:lvlJc w:val="left"/>
      <w:lvlText w:val="•"/>
      <w:numFmt w:val="bullet"/>
      <w:start w:val="1"/>
    </w:lvl>
  </w:abstractNum>
  <w:abstractNum w:abstractNumId="61">
    <w:nsid w:val="777A4EAA"/>
    <w:multiLevelType w:val="hybridMultilevel"/>
    <w:lvl w:ilvl="0">
      <w:lvlJc w:val="left"/>
      <w:lvlText w:val="•"/>
      <w:numFmt w:val="bullet"/>
      <w:start w:val="1"/>
    </w:lvl>
  </w:abstractNum>
  <w:abstractNum w:abstractNumId="62">
    <w:nsid w:val="3F48B982"/>
    <w:multiLevelType w:val="hybridMultilevel"/>
    <w:lvl w:ilvl="0">
      <w:lvlJc w:val="left"/>
      <w:lvlText w:val="•"/>
      <w:numFmt w:val="bullet"/>
      <w:start w:val="1"/>
    </w:lvl>
  </w:abstractNum>
  <w:abstractNum w:abstractNumId="63">
    <w:nsid w:val="46BA8FCA"/>
    <w:multiLevelType w:val="hybridMultilevel"/>
    <w:lvl w:ilvl="0">
      <w:lvlJc w:val="left"/>
      <w:lvlText w:val="•"/>
      <w:numFmt w:val="bullet"/>
      <w:start w:val="1"/>
    </w:lvl>
  </w:abstractNum>
  <w:abstractNum w:abstractNumId="64">
    <w:nsid w:val="7835626C"/>
    <w:multiLevelType w:val="hybridMultilevel"/>
    <w:lvl w:ilvl="0">
      <w:lvlJc w:val="left"/>
      <w:lvlText w:val="•"/>
      <w:numFmt w:val="bullet"/>
      <w:start w:val="1"/>
    </w:lvl>
  </w:abstractNum>
  <w:abstractNum w:abstractNumId="65">
    <w:nsid w:val="665ACA49"/>
    <w:multiLevelType w:val="hybridMultilevel"/>
    <w:lvl w:ilvl="0">
      <w:lvlJc w:val="left"/>
      <w:lvlText w:val="•"/>
      <w:numFmt w:val="bullet"/>
      <w:start w:val="1"/>
    </w:lvl>
  </w:abstractNum>
  <w:abstractNum w:abstractNumId="66">
    <w:nsid w:val="6835B2AE"/>
    <w:multiLevelType w:val="hybridMultilevel"/>
    <w:lvl w:ilvl="0">
      <w:lvlJc w:val="left"/>
      <w:lvlText w:val="•"/>
      <w:numFmt w:val="bullet"/>
      <w:start w:val="1"/>
    </w:lvl>
  </w:abstractNum>
  <w:abstractNum w:abstractNumId="67">
    <w:nsid w:val="4C187C90"/>
    <w:multiLevelType w:val="hybridMultilevel"/>
    <w:lvl w:ilvl="0">
      <w:lvlJc w:val="left"/>
      <w:lvlText w:val="•"/>
      <w:numFmt w:val="bullet"/>
      <w:start w:val="1"/>
    </w:lvl>
  </w:abstractNum>
  <w:abstractNum w:abstractNumId="68">
    <w:nsid w:val="541F28CD"/>
    <w:multiLevelType w:val="hybridMultilevel"/>
    <w:lvl w:ilvl="0">
      <w:lvlJc w:val="left"/>
      <w:lvlText w:val="•"/>
      <w:numFmt w:val="bullet"/>
      <w:start w:val="1"/>
    </w:lvl>
  </w:abstractNum>
  <w:abstractNum w:abstractNumId="69">
    <w:nsid w:val="7F65FD16"/>
    <w:multiLevelType w:val="hybridMultilevel"/>
    <w:lvl w:ilvl="0">
      <w:lvlJc w:val="left"/>
      <w:lvlText w:val="•"/>
      <w:numFmt w:val="bullet"/>
      <w:start w:val="1"/>
    </w:lvl>
  </w:abstractNum>
  <w:abstractNum w:abstractNumId="70">
    <w:nsid w:val="77C9FD68"/>
    <w:multiLevelType w:val="hybridMultilevel"/>
    <w:lvl w:ilvl="0">
      <w:lvlJc w:val="left"/>
      <w:lvlText w:val="•"/>
      <w:numFmt w:val="bullet"/>
      <w:start w:val="1"/>
    </w:lvl>
  </w:abstractNum>
  <w:abstractNum w:abstractNumId="71">
    <w:nsid w:val="298A92BA"/>
    <w:multiLevelType w:val="hybridMultilevel"/>
    <w:lvl w:ilvl="0">
      <w:lvlJc w:val="left"/>
      <w:lvlText w:val="•"/>
      <w:numFmt w:val="bullet"/>
      <w:start w:val="1"/>
    </w:lvl>
  </w:abstractNum>
  <w:abstractNum w:abstractNumId="72">
    <w:nsid w:val="6FE95EAC"/>
    <w:multiLevelType w:val="hybridMultilevel"/>
    <w:lvl w:ilvl="0">
      <w:lvlJc w:val="left"/>
      <w:lvlText w:val="•"/>
      <w:numFmt w:val="bullet"/>
      <w:start w:val="1"/>
    </w:lvl>
  </w:abstractNum>
  <w:abstractNum w:abstractNumId="73">
    <w:nsid w:val="4B697C7A"/>
    <w:multiLevelType w:val="hybridMultilevel"/>
    <w:lvl w:ilvl="0">
      <w:lvlJc w:val="left"/>
      <w:lvlText w:val="•"/>
      <w:numFmt w:val="bullet"/>
      <w:start w:val="1"/>
    </w:lvl>
  </w:abstractNum>
  <w:abstractNum w:abstractNumId="74">
    <w:nsid w:val="51A27AA6"/>
    <w:multiLevelType w:val="hybridMultilevel"/>
    <w:lvl w:ilvl="0">
      <w:lvlJc w:val="left"/>
      <w:lvlText w:val="•"/>
      <w:numFmt w:val="bullet"/>
      <w:start w:val="1"/>
    </w:lvl>
  </w:abstractNum>
  <w:abstractNum w:abstractNumId="75">
    <w:nsid w:val="613183F2"/>
    <w:multiLevelType w:val="hybridMultilevel"/>
    <w:lvl w:ilvl="0">
      <w:lvlJc w:val="left"/>
      <w:lvlText w:val="o"/>
      <w:numFmt w:val="bullet"/>
      <w:start w:val="1"/>
    </w:lvl>
  </w:abstractNum>
  <w:abstractNum w:abstractNumId="76">
    <w:nsid w:val="634102B4"/>
    <w:multiLevelType w:val="hybridMultilevel"/>
    <w:lvl w:ilvl="0">
      <w:lvlJc w:val="left"/>
      <w:lvlText w:val="•"/>
      <w:numFmt w:val="bullet"/>
      <w:start w:val="1"/>
    </w:lvl>
    <w:lvl w:ilvl="1">
      <w:lvlJc w:val="left"/>
      <w:lvlText w:val="o"/>
      <w:numFmt w:val="bullet"/>
      <w:start w:val="1"/>
    </w:lvl>
  </w:abstractNum>
  <w:abstractNum w:abstractNumId="77">
    <w:nsid w:val="65BF9DA8"/>
    <w:multiLevelType w:val="hybridMultilevel"/>
    <w:lvl w:ilvl="0">
      <w:lvlJc w:val="left"/>
      <w:lvlText w:val="•"/>
      <w:numFmt w:val="bullet"/>
      <w:start w:val="1"/>
    </w:lvl>
  </w:abstractNum>
  <w:abstractNum w:abstractNumId="78">
    <w:nsid w:val="21A2ECCA"/>
    <w:multiLevelType w:val="hybridMultilevel"/>
    <w:lvl w:ilvl="0">
      <w:lvlJc w:val="left"/>
      <w:lvlText w:val="•"/>
      <w:numFmt w:val="bullet"/>
      <w:start w:val="1"/>
    </w:lvl>
  </w:abstractNum>
  <w:abstractNum w:abstractNumId="79">
    <w:nsid w:val="4D5C4899"/>
    <w:multiLevelType w:val="hybridMultilevel"/>
    <w:lvl w:ilvl="0">
      <w:lvlJc w:val="left"/>
      <w:lvlText w:val="•"/>
      <w:numFmt w:val="bullet"/>
      <w:start w:val="1"/>
    </w:lvl>
  </w:abstractNum>
  <w:abstractNum w:abstractNumId="80">
    <w:nsid w:val="3C3B72B2"/>
    <w:multiLevelType w:val="hybridMultilevel"/>
    <w:lvl w:ilvl="0">
      <w:lvlJc w:val="left"/>
      <w:lvlText w:val="•"/>
      <w:numFmt w:val="bullet"/>
      <w:start w:val="1"/>
    </w:lvl>
  </w:abstractNum>
  <w:abstractNum w:abstractNumId="81">
    <w:nsid w:val="155EC4C2"/>
    <w:multiLevelType w:val="hybridMultilevel"/>
    <w:lvl w:ilvl="0">
      <w:lvlJc w:val="left"/>
      <w:lvlText w:val="•"/>
      <w:numFmt w:val="bullet"/>
      <w:start w:val="1"/>
    </w:lvl>
  </w:abstractNum>
  <w:abstractNum w:abstractNumId="82">
    <w:nsid w:val="65D2A137"/>
    <w:multiLevelType w:val="hybridMultilevel"/>
    <w:lvl w:ilvl="0">
      <w:lvlJc w:val="left"/>
      <w:lvlText w:val="•"/>
      <w:numFmt w:val="bullet"/>
      <w:start w:val="1"/>
    </w:lvl>
  </w:abstractNum>
  <w:abstractNum w:abstractNumId="83">
    <w:nsid w:val="6EBB1F2A"/>
    <w:multiLevelType w:val="hybridMultilevel"/>
    <w:lvl w:ilvl="0">
      <w:lvlJc w:val="left"/>
      <w:lvlText w:val="•"/>
      <w:numFmt w:val="bullet"/>
      <w:start w:val="1"/>
    </w:lvl>
  </w:abstractNum>
  <w:abstractNum w:abstractNumId="84">
    <w:nsid w:val="6FBF29CB"/>
    <w:multiLevelType w:val="hybridMultilevel"/>
    <w:lvl w:ilvl="0">
      <w:lvlJc w:val="left"/>
      <w:lvlText w:val="•"/>
      <w:numFmt w:val="bullet"/>
      <w:start w:val="1"/>
    </w:lvl>
  </w:abstractNum>
  <w:abstractNum w:abstractNumId="85">
    <w:nsid w:val="550B8808"/>
    <w:multiLevelType w:val="hybridMultilevel"/>
    <w:lvl w:ilvl="0">
      <w:lvlJc w:val="left"/>
      <w:lvlText w:val="•"/>
      <w:numFmt w:val="bullet"/>
      <w:start w:val="1"/>
    </w:lvl>
  </w:abstractNum>
  <w:abstractNum w:abstractNumId="86">
    <w:nsid w:val="34CC3ACF"/>
    <w:multiLevelType w:val="hybridMultilevel"/>
    <w:lvl w:ilvl="0">
      <w:lvlJc w:val="left"/>
      <w:lvlText w:val="•"/>
      <w:numFmt w:val="bullet"/>
      <w:start w:val="1"/>
    </w:lvl>
  </w:abstractNum>
  <w:abstractNum w:abstractNumId="87">
    <w:nsid w:val="4E556261"/>
    <w:multiLevelType w:val="hybridMultilevel"/>
    <w:lvl w:ilvl="0">
      <w:lvlJc w:val="left"/>
      <w:lvlText w:val="(%1)"/>
      <w:numFmt w:val="lowerLetter"/>
      <w:start w:val="1"/>
    </w:lvl>
  </w:abstractNum>
  <w:abstractNum w:abstractNumId="88">
    <w:nsid w:val="4C672FC9"/>
    <w:multiLevelType w:val="hybridMultilevel"/>
    <w:lvl w:ilvl="0">
      <w:lvlJc w:val="left"/>
      <w:lvlText w:val="•"/>
      <w:numFmt w:val="bullet"/>
      <w:start w:val="1"/>
    </w:lvl>
  </w:abstractNum>
  <w:abstractNum w:abstractNumId="89">
    <w:nsid w:val="52A311C3"/>
    <w:multiLevelType w:val="hybridMultilevel"/>
    <w:lvl w:ilvl="0">
      <w:lvlJc w:val="left"/>
      <w:lvlText w:val="*"/>
      <w:numFmt w:val="bullet"/>
      <w:start w:val="1"/>
    </w:lvl>
  </w:abstractNum>
  <w:abstractNum w:abstractNumId="90">
    <w:nsid w:val="44EF6B80"/>
    <w:multiLevelType w:val="hybridMultilevel"/>
    <w:lvl w:ilvl="0">
      <w:lvlJc w:val="left"/>
      <w:lvlText w:val="(%1)"/>
      <w:numFmt w:val="decimal"/>
      <w:start w:val="1"/>
    </w:lvl>
  </w:abstractNum>
  <w:abstractNum w:abstractNumId="91">
    <w:nsid w:val="12FCDE5E"/>
    <w:multiLevelType w:val="hybridMultilevel"/>
    <w:lvl w:ilvl="0">
      <w:lvlJc w:val="left"/>
      <w:lvlText w:val="(%1)"/>
      <w:numFmt w:val="lowerRoman"/>
      <w:start w:val="1"/>
    </w:lvl>
  </w:abstractNum>
  <w:abstractNum w:abstractNumId="92">
    <w:nsid w:val="4A1D606E"/>
    <w:multiLevelType w:val="hybridMultilevel"/>
    <w:lvl w:ilvl="0">
      <w:lvlJc w:val="left"/>
      <w:lvlText w:val="(%1)"/>
      <w:numFmt w:val="lowerRoman"/>
      <w:start w:val="3"/>
    </w:lvl>
  </w:abstractNum>
  <w:abstractNum w:abstractNumId="93">
    <w:nsid w:val="4382503"/>
    <w:multiLevelType w:val="hybridMultilevel"/>
    <w:lvl w:ilvl="0">
      <w:lvlJc w:val="left"/>
      <w:lvlText w:val="•"/>
      <w:numFmt w:val="bullet"/>
      <w:start w:val="1"/>
    </w:lvl>
  </w:abstractNum>
  <w:abstractNum w:abstractNumId="94">
    <w:nsid w:val="59B76E28"/>
    <w:multiLevelType w:val="hybridMultilevel"/>
    <w:lvl w:ilvl="0">
      <w:lvlJc w:val="left"/>
      <w:lvlText w:val="%1)"/>
      <w:numFmt w:val="lowerLetter"/>
      <w:start w:val="1"/>
    </w:lvl>
  </w:abstractNum>
  <w:abstractNum w:abstractNumId="95">
    <w:nsid w:val="4252C2DA"/>
    <w:multiLevelType w:val="hybridMultilevel"/>
    <w:lvl w:ilvl="0">
      <w:lvlJc w:val="left"/>
      <w:lvlText w:val="%1)"/>
      <w:numFmt w:val="lowerLetter"/>
      <w:start w:val="5"/>
    </w:lvl>
  </w:abstractNum>
  <w:abstractNum w:abstractNumId="96">
    <w:nsid w:val="6A92EF4C"/>
    <w:multiLevelType w:val="hybridMultilevel"/>
    <w:lvl w:ilvl="0">
      <w:lvlJc w:val="left"/>
      <w:lvlText w:val="•"/>
      <w:numFmt w:val="bullet"/>
      <w:start w:val="1"/>
    </w:lvl>
  </w:abstractNum>
  <w:abstractNum w:abstractNumId="97">
    <w:nsid w:val="41ED20D7"/>
    <w:multiLevelType w:val="hybridMultilevel"/>
    <w:lvl w:ilvl="0">
      <w:lvlJc w:val="left"/>
      <w:lvlText w:val="(%1)"/>
      <w:numFmt w:val="lowerRoman"/>
      <w:start w:val="3"/>
    </w:lvl>
  </w:abstractNum>
  <w:abstractNum w:abstractNumId="98">
    <w:nsid w:val="E6B3F6A"/>
    <w:multiLevelType w:val="hybridMultilevel"/>
    <w:lvl w:ilvl="0">
      <w:lvlJc w:val="left"/>
      <w:lvlText w:val="•"/>
      <w:numFmt w:val="bullet"/>
      <w:start w:val="1"/>
    </w:lvl>
  </w:abstractNum>
  <w:abstractNum w:abstractNumId="99">
    <w:nsid w:val="3EB21819"/>
    <w:multiLevelType w:val="hybridMultilevel"/>
    <w:lvl w:ilvl="0">
      <w:lvlJc w:val="left"/>
      <w:lvlText w:val="(%1)"/>
      <w:numFmt w:val="lowerRoman"/>
      <w:start w:val="2"/>
    </w:lvl>
  </w:abstractNum>
  <w:abstractNum w:abstractNumId="100">
    <w:nsid w:val="41531DED"/>
    <w:multiLevelType w:val="hybridMultilevel"/>
    <w:lvl w:ilvl="0">
      <w:lvlJc w:val="left"/>
      <w:lvlText w:val="%1)"/>
      <w:numFmt w:val="lowerLetter"/>
      <w:start w:val="1"/>
    </w:lvl>
  </w:abstractNum>
  <w:abstractNum w:abstractNumId="101">
    <w:nsid w:val="6353CD2"/>
    <w:multiLevelType w:val="hybridMultilevel"/>
    <w:lvl w:ilvl="0">
      <w:lvlJc w:val="left"/>
      <w:lvlText w:val="%1)"/>
      <w:numFmt w:val="lowerLetter"/>
      <w:start w:val="1"/>
    </w:lvl>
  </w:abstractNum>
  <w:abstractNum w:abstractNumId="102">
    <w:nsid w:val="683CAAD3"/>
    <w:multiLevelType w:val="hybridMultilevel"/>
    <w:lvl w:ilvl="0">
      <w:lvlJc w:val="left"/>
      <w:lvlText w:val="•"/>
      <w:numFmt w:val="bullet"/>
      <w:start w:val="1"/>
    </w:lvl>
  </w:abstractNum>
  <w:abstractNum w:abstractNumId="103">
    <w:nsid w:val="313C7C99"/>
    <w:multiLevelType w:val="hybridMultilevel"/>
    <w:lvl w:ilvl="0">
      <w:lvlJc w:val="left"/>
      <w:lvlText w:val="•"/>
      <w:numFmt w:val="bullet"/>
      <w:start w:val="1"/>
    </w:lvl>
  </w:abstractNum>
  <w:abstractNum w:abstractNumId="104">
    <w:nsid w:val="519EB94C"/>
    <w:multiLevelType w:val="hybridMultilevel"/>
    <w:lvl w:ilvl="0">
      <w:lvlJc w:val="left"/>
      <w:lvlText w:val="•"/>
      <w:numFmt w:val="bullet"/>
      <w:start w:val="1"/>
    </w:lvl>
  </w:abstractNum>
  <w:abstractNum w:abstractNumId="105">
    <w:nsid w:val="39DF2579"/>
    <w:multiLevelType w:val="hybridMultilevel"/>
    <w:lvl w:ilvl="0">
      <w:lvlJc w:val="left"/>
      <w:lvlText w:val="(%1)"/>
      <w:numFmt w:val="decimal"/>
      <w:start w:val="1"/>
    </w:lvl>
  </w:abstractNum>
  <w:abstractNum w:abstractNumId="106">
    <w:nsid w:val="126E008B"/>
    <w:multiLevelType w:val="hybridMultilevel"/>
    <w:lvl w:ilvl="0">
      <w:lvlJc w:val="left"/>
      <w:lvlText w:val="%1."/>
      <w:numFmt w:val="decimal"/>
      <w:start w:val="2"/>
    </w:lvl>
  </w:abstractNum>
  <w:abstractNum w:abstractNumId="107">
    <w:nsid w:val="34DFBC00"/>
    <w:multiLevelType w:val="hybridMultilevel"/>
    <w:lvl w:ilvl="0">
      <w:lvlJc w:val="left"/>
      <w:lvlText w:val="%1."/>
      <w:numFmt w:val="decimal"/>
      <w:start w:val="1"/>
    </w:lvl>
  </w:abstractNum>
  <w:abstractNum w:abstractNumId="108">
    <w:nsid w:val="1F9EC322"/>
    <w:multiLevelType w:val="hybridMultilevel"/>
    <w:lvl w:ilvl="0">
      <w:lvlJc w:val="left"/>
      <w:lvlText w:val="%1."/>
      <w:numFmt w:val="decimal"/>
      <w:start w:val="2"/>
    </w:lvl>
  </w:abstractNum>
  <w:abstractNum w:abstractNumId="109">
    <w:nsid w:val="3410ED56"/>
    <w:multiLevelType w:val="hybridMultilevel"/>
    <w:lvl w:ilvl="0">
      <w:lvlJc w:val="left"/>
      <w:lvlText w:val="%1."/>
      <w:numFmt w:val="lowerLetter"/>
      <w:start w:val="1"/>
    </w:lvl>
  </w:abstractNum>
  <w:abstractNum w:abstractNumId="110">
    <w:nsid w:val="23C049A"/>
    <w:multiLevelType w:val="hybridMultilevel"/>
    <w:lvl w:ilvl="0">
      <w:lvlJc w:val="left"/>
      <w:lvlText w:val="%1."/>
      <w:numFmt w:val="lowerLetter"/>
      <w:start w:val="1"/>
    </w:lvl>
  </w:abstractNum>
  <w:abstractNum w:abstractNumId="111">
    <w:nsid w:val="5BDA35D4"/>
    <w:multiLevelType w:val="hybridMultilevel"/>
    <w:lvl w:ilvl="0">
      <w:lvlJc w:val="left"/>
      <w:lvlText w:val="%1."/>
      <w:numFmt w:val="lowerLetter"/>
      <w:start w:val="2"/>
    </w:lvl>
  </w:abstractNum>
  <w:abstractNum w:abstractNumId="112">
    <w:nsid w:val="496FB218"/>
    <w:multiLevelType w:val="hybridMultilevel"/>
    <w:lvl w:ilvl="0">
      <w:lvlJc w:val="left"/>
      <w:lvlText w:val="•"/>
      <w:numFmt w:val="bullet"/>
      <w:start w:val="1"/>
    </w:lvl>
  </w:abstractNum>
  <w:abstractNum w:abstractNumId="113">
    <w:nsid w:val="680EA5D1"/>
    <w:multiLevelType w:val="hybridMultilevel"/>
    <w:lvl w:ilvl="0">
      <w:lvlJc w:val="left"/>
      <w:lvlText w:val="(%1)"/>
      <w:numFmt w:val="upperLetter"/>
      <w:start w:val="1"/>
    </w:lvl>
  </w:abstractNum>
  <w:abstractNum w:abstractNumId="114">
    <w:nsid w:val="4A9554FE"/>
    <w:multiLevelType w:val="hybridMultilevel"/>
    <w:lvl w:ilvl="0">
      <w:lvlJc w:val="left"/>
      <w:lvlText w:val="%1."/>
      <w:numFmt w:val="decimal"/>
      <w:start w:val="2"/>
    </w:lvl>
  </w:abstractNum>
  <w:abstractNum w:abstractNumId="115">
    <w:nsid w:val="392EDBE4"/>
    <w:multiLevelType w:val="hybridMultilevel"/>
    <w:lvl w:ilvl="0">
      <w:lvlJc w:val="left"/>
      <w:lvlText w:val="%1."/>
      <w:numFmt w:val="decimal"/>
      <w:start w:val="3"/>
    </w:lvl>
  </w:abstractNum>
  <w:abstractNum w:abstractNumId="116">
    <w:nsid w:val="3D1A2DD9"/>
    <w:multiLevelType w:val="hybridMultilevel"/>
    <w:lvl w:ilvl="0">
      <w:lvlJc w:val="left"/>
      <w:lvlText w:val="%1."/>
      <w:numFmt w:val="decimal"/>
      <w:start w:val="4"/>
    </w:lvl>
  </w:abstractNum>
  <w:abstractNum w:abstractNumId="117">
    <w:nsid w:val="7F618FCD"/>
    <w:multiLevelType w:val="hybridMultilevel"/>
    <w:lvl w:ilvl="0">
      <w:lvlJc w:val="left"/>
      <w:lvlText w:val="%1."/>
      <w:numFmt w:val="decimal"/>
      <w:start w:val="5"/>
    </w:lvl>
    <w:lvl w:ilvl="1">
      <w:lvlJc w:val="left"/>
      <w:lvlText w:val="%2"/>
      <w:numFmt w:val="lowerLetter"/>
      <w:start w:val="1"/>
    </w:lvl>
  </w:abstractNum>
  <w:abstractNum w:abstractNumId="118">
    <w:nsid w:val="7843E45"/>
    <w:multiLevelType w:val="hybridMultilevel"/>
    <w:lvl w:ilvl="0">
      <w:lvlJc w:val="left"/>
      <w:lvlText w:val="%1."/>
      <w:numFmt w:val="decimal"/>
      <w:start w:val="600"/>
    </w:lvl>
  </w:abstractNum>
  <w:abstractNum w:abstractNumId="119">
    <w:nsid w:val="9815DA3"/>
    <w:multiLevelType w:val="hybridMultilevel"/>
    <w:lvl w:ilvl="0">
      <w:lvlJc w:val="left"/>
      <w:lvlText w:val="%1."/>
      <w:numFmt w:val="lowerLetter"/>
      <w:start w:val="2"/>
    </w:lvl>
  </w:abstractNum>
  <w:abstractNum w:abstractNumId="120">
    <w:nsid w:val="5204A191"/>
    <w:multiLevelType w:val="hybridMultilevel"/>
    <w:lvl w:ilvl="0">
      <w:lvlJc w:val="left"/>
      <w:lvlText w:val="(%1)"/>
      <w:numFmt w:val="lowerRoman"/>
      <w:start w:val="2"/>
    </w:lvl>
  </w:abstractNum>
  <w:abstractNum w:abstractNumId="121">
    <w:nsid w:val="4C73A9C6"/>
    <w:multiLevelType w:val="hybridMultilevel"/>
    <w:lvl w:ilvl="0">
      <w:lvlJc w:val="left"/>
      <w:lvlText w:val="(%1)"/>
      <w:numFmt w:val="decimal"/>
      <w:start w:val="12"/>
    </w:lvl>
  </w:abstractNum>
  <w:abstractNum w:abstractNumId="122">
    <w:nsid w:val="1C7E3C01"/>
    <w:multiLevelType w:val="hybridMultilevel"/>
    <w:lvl w:ilvl="0">
      <w:lvlJc w:val="left"/>
      <w:lvlText w:val="•"/>
      <w:numFmt w:val="bullet"/>
      <w:start w:val="1"/>
    </w:lvl>
  </w:abstractNum>
  <w:abstractNum w:abstractNumId="123">
    <w:nsid w:val="1C2201FF"/>
    <w:multiLevelType w:val="hybridMultilevel"/>
    <w:lvl w:ilvl="0">
      <w:lvlJc w:val="left"/>
      <w:lvlText w:val="•"/>
      <w:numFmt w:val="bullet"/>
      <w:start w:val="1"/>
    </w:lvl>
  </w:abstractNum>
  <w:abstractNum w:abstractNumId="124">
    <w:nsid w:val="50ABCEC9"/>
    <w:multiLevelType w:val="hybridMultilevel"/>
    <w:lvl w:ilvl="0">
      <w:lvlJc w:val="left"/>
      <w:lvlText w:val="•"/>
      <w:numFmt w:val="bullet"/>
      <w:start w:val="1"/>
    </w:lvl>
  </w:abstractNum>
  <w:abstractNum w:abstractNumId="125">
    <w:nsid w:val="7635AA2A"/>
    <w:multiLevelType w:val="hybridMultilevel"/>
    <w:lvl w:ilvl="0">
      <w:lvlJc w:val="left"/>
      <w:lvlText w:val="•"/>
      <w:numFmt w:val="bullet"/>
      <w:start w:val="1"/>
    </w:lvl>
  </w:abstractNum>
  <w:abstractNum w:abstractNumId="126">
    <w:nsid w:val="5E74C4D9"/>
    <w:multiLevelType w:val="hybridMultilevel"/>
    <w:lvl w:ilvl="0">
      <w:lvlJc w:val="left"/>
      <w:lvlText w:val="(%1)"/>
      <w:numFmt w:val="lowerLetter"/>
      <w:start w:val="1"/>
    </w:lvl>
  </w:abstractNum>
  <w:abstractNum w:abstractNumId="127">
    <w:nsid w:val="3B3EBE15"/>
    <w:multiLevelType w:val="hybridMultilevel"/>
    <w:lvl w:ilvl="0">
      <w:lvlJc w:val="left"/>
      <w:lvlText w:val="(%1)"/>
      <w:numFmt w:val="lowerLetter"/>
      <w:start w:val="1"/>
    </w:lvl>
  </w:abstractNum>
  <w:abstractNum w:abstractNumId="128">
    <w:nsid w:val="3822CB01"/>
    <w:multiLevelType w:val="hybridMultilevel"/>
    <w:lvl w:ilvl="0">
      <w:lvlJc w:val="left"/>
      <w:lvlText w:val="(%1)"/>
      <w:numFmt w:val="lowerLetter"/>
      <w:start w:val="3"/>
    </w:lvl>
    <w:lvl w:ilvl="1">
      <w:lvlJc w:val="left"/>
      <w:lvlText w:val="(%2)"/>
      <w:numFmt w:val="decimal"/>
      <w:start w:val="1"/>
    </w:lvl>
  </w:abstractNum>
  <w:abstractNum w:abstractNumId="129">
    <w:nsid w:val="6CE00443"/>
    <w:multiLevelType w:val="hybridMultilevel"/>
    <w:lvl w:ilvl="0">
      <w:lvlJc w:val="left"/>
      <w:lvlText w:val="#"/>
      <w:numFmt w:val="bullet"/>
      <w:start w:val="1"/>
    </w:lvl>
  </w:abstractNum>
  <w:abstractNum w:abstractNumId="130">
    <w:nsid w:val="79F0D62F"/>
    <w:multiLevelType w:val="hybridMultilevel"/>
    <w:lvl w:ilvl="0">
      <w:lvlJc w:val="left"/>
      <w:lvlText w:val="†"/>
      <w:numFmt w:val="bullet"/>
      <w:start w:val="1"/>
    </w:lvl>
  </w:abstractNum>
  <w:abstractNum w:abstractNumId="131">
    <w:nsid w:val="7975E8EE"/>
    <w:multiLevelType w:val="hybridMultilevel"/>
    <w:lvl w:ilvl="0">
      <w:lvlJc w:val="left"/>
      <w:lvlText w:val="(%1)"/>
      <w:numFmt w:val="lowerLetter"/>
      <w:start w:val="1"/>
    </w:lvl>
  </w:abstractNum>
  <w:abstractNum w:abstractNumId="132">
    <w:nsid w:val="73154115"/>
    <w:multiLevelType w:val="hybridMultilevel"/>
    <w:lvl w:ilvl="0">
      <w:lvlJc w:val="left"/>
      <w:lvlText w:val="(%1)"/>
      <w:numFmt w:val="lowerLetter"/>
      <w:start w:val="2"/>
    </w:lvl>
  </w:abstractNum>
  <w:abstractNum w:abstractNumId="133">
    <w:nsid w:val="622D8102"/>
    <w:multiLevelType w:val="hybridMultilevel"/>
    <w:lvl w:ilvl="0">
      <w:lvlJc w:val="left"/>
      <w:lvlText w:val="%1"/>
      <w:numFmt w:val="lowerLetter"/>
      <w:start w:val="1"/>
    </w:lvl>
    <w:lvl w:ilvl="1">
      <w:lvlJc w:val="left"/>
      <w:lvlText w:val="(%2)"/>
      <w:numFmt w:val="lowerLetter"/>
      <w:start w:val="4"/>
    </w:lvl>
  </w:abstractNum>
  <w:abstractNum w:abstractNumId="134">
    <w:nsid w:val="2AB26587"/>
    <w:multiLevelType w:val="hybridMultilevel"/>
    <w:lvl w:ilvl="0">
      <w:lvlJc w:val="left"/>
      <w:lvlText w:val="(%1)"/>
      <w:numFmt w:val="lowerLetter"/>
      <w:start w:val="24"/>
    </w:lvl>
    <w:lvl w:ilvl="1">
      <w:lvlJc w:val="left"/>
      <w:lvlText w:val="(%2)"/>
      <w:numFmt w:val="lowerLetter"/>
      <w:start w:val="6"/>
    </w:lvl>
  </w:abstractNum>
  <w:abstractNum w:abstractNumId="135">
    <w:nsid w:val="44B3FA61"/>
    <w:multiLevelType w:val="hybridMultilevel"/>
    <w:lvl w:ilvl="0">
      <w:lvlJc w:val="left"/>
      <w:lvlText w:val="(%1)"/>
      <w:numFmt w:val="lowerLetter"/>
      <w:start w:val="7"/>
    </w:lvl>
  </w:abstractNum>
  <w:abstractNum w:abstractNumId="136">
    <w:nsid w:val="1C0CA67C"/>
    <w:multiLevelType w:val="hybridMultilevel"/>
    <w:lvl w:ilvl="0">
      <w:lvlJc w:val="left"/>
      <w:lvlText w:val="%1"/>
      <w:numFmt w:val="upperLetter"/>
      <w:start w:val="1"/>
    </w:lvl>
    <w:lvl w:ilvl="1">
      <w:lvlJc w:val="left"/>
      <w:lvlText w:val="(%2)"/>
      <w:numFmt w:val="lowerLetter"/>
      <w:start w:val="10"/>
    </w:lvl>
  </w:abstractNum>
  <w:abstractNum w:abstractNumId="137">
    <w:nsid w:val="3D206613"/>
    <w:multiLevelType w:val="hybridMultilevel"/>
    <w:lvl w:ilvl="0">
      <w:lvlJc w:val="left"/>
      <w:lvlText w:val="(%1)"/>
      <w:numFmt w:val="upperLetter"/>
      <w:start w:val="2"/>
    </w:lvl>
    <w:lvl w:ilvl="1">
      <w:lvlJc w:val="left"/>
      <w:lvlText w:val="(%2)"/>
      <w:numFmt w:val="lowerLetter"/>
      <w:start w:val="12"/>
    </w:lvl>
  </w:abstractNum>
  <w:abstractNum w:abstractNumId="138">
    <w:nsid w:val="7993B662"/>
    <w:multiLevelType w:val="hybridMultilevel"/>
    <w:lvl w:ilvl="0">
      <w:lvlJc w:val="left"/>
      <w:lvlText w:val="%1"/>
      <w:numFmt w:val="lowerLetter"/>
      <w:start w:val="1"/>
    </w:lvl>
    <w:lvl w:ilvl="1">
      <w:lvlJc w:val="left"/>
      <w:lvlText w:val="(%2)"/>
      <w:numFmt w:val="lowerLetter"/>
      <w:start w:val="14"/>
    </w:lvl>
  </w:abstractNum>
  <w:abstractNum w:abstractNumId="139">
    <w:nsid w:val="3BAB699E"/>
    <w:multiLevelType w:val="hybridMultilevel"/>
    <w:lvl w:ilvl="0">
      <w:lvlJc w:val="left"/>
      <w:lvlText w:val="(%1)"/>
      <w:numFmt w:val="lowerLetter"/>
      <w:start w:val="61"/>
    </w:lvl>
    <w:lvl w:ilvl="1">
      <w:lvlJc w:val="left"/>
      <w:lvlText w:val="%2"/>
      <w:numFmt w:val="lowerLetter"/>
      <w:start w:val="1"/>
    </w:lvl>
  </w:abstractNum>
  <w:abstractNum w:abstractNumId="140">
    <w:nsid w:val="71315369"/>
    <w:multiLevelType w:val="hybridMultilevel"/>
    <w:lvl w:ilvl="0">
      <w:lvlJc w:val="left"/>
      <w:lvlText w:val="%1"/>
      <w:numFmt w:val="lowerLetter"/>
      <w:start w:val="1"/>
    </w:lvl>
    <w:lvl w:ilvl="1">
      <w:lvlJc w:val="left"/>
      <w:lvlText w:val="(%2)"/>
      <w:numFmt w:val="lowerLetter"/>
      <w:start w:val="20"/>
    </w:lvl>
  </w:abstractNum>
  <w:abstractNum w:abstractNumId="141">
    <w:nsid w:val="7BCFBAFC"/>
    <w:multiLevelType w:val="hybridMultilevel"/>
    <w:lvl w:ilvl="0">
      <w:lvlJc w:val="left"/>
      <w:lvlText w:val="(%1)"/>
      <w:numFmt w:val="lowerLetter"/>
      <w:start w:val="61"/>
    </w:lvl>
    <w:lvl w:ilvl="1">
      <w:lvlJc w:val="left"/>
      <w:lvlText w:val="(%2)"/>
      <w:numFmt w:val="lowerLetter"/>
      <w:start w:val="26"/>
    </w:lvl>
  </w:abstractNum>
  <w:abstractNum w:abstractNumId="142">
    <w:nsid w:val="17859F72"/>
    <w:multiLevelType w:val="hybridMultilevel"/>
    <w:lvl w:ilvl="0">
      <w:lvlJc w:val="left"/>
      <w:lvlText w:val="(%1)"/>
      <w:numFmt w:val="lowerLetter"/>
      <w:start w:val="27"/>
    </w:lvl>
  </w:abstractNum>
  <w:abstractNum w:abstractNumId="143">
    <w:nsid w:val="3AA10581"/>
    <w:multiLevelType w:val="hybridMultilevel"/>
    <w:lvl w:ilvl="0">
      <w:lvlJc w:val="left"/>
      <w:lvlText w:val="(%1)"/>
      <w:numFmt w:val="lowerLetter"/>
      <w:start w:val="31"/>
    </w:lvl>
  </w:abstractNum>
  <w:abstractNum w:abstractNumId="144">
    <w:nsid w:val="63DE60CD"/>
    <w:multiLevelType w:val="hybridMultilevel"/>
    <w:lvl w:ilvl="0">
      <w:lvlJc w:val="left"/>
      <w:lvlText w:val="(%1)"/>
      <w:numFmt w:val="lowerLetter"/>
      <w:start w:val="35"/>
    </w:lvl>
  </w:abstractNum>
  <w:abstractNum w:abstractNumId="145">
    <w:nsid w:val="621AF471"/>
    <w:multiLevelType w:val="hybridMultilevel"/>
    <w:lvl w:ilvl="0">
      <w:lvlJc w:val="left"/>
      <w:lvlText w:val="(%1)"/>
      <w:numFmt w:val="lowerLetter"/>
      <w:start w:val="42"/>
    </w:lvl>
  </w:abstractNum>
  <w:abstractNum w:abstractNumId="146">
    <w:nsid w:val="73CFE165"/>
    <w:multiLevelType w:val="hybridMultilevel"/>
    <w:lvl w:ilvl="0">
      <w:lvlJc w:val="left"/>
      <w:lvlText w:val="(%1)"/>
      <w:numFmt w:val="lowerLetter"/>
      <w:start w:val="47"/>
    </w:lvl>
  </w:abstractNum>
  <w:abstractNum w:abstractNumId="147">
    <w:nsid w:val="20F88EA6"/>
    <w:multiLevelType w:val="hybridMultilevel"/>
    <w:lvl w:ilvl="0">
      <w:lvlJc w:val="left"/>
      <w:lvlText w:val="(%1)"/>
      <w:numFmt w:val="lowerLetter"/>
      <w:start w:val="51"/>
    </w:lvl>
  </w:abstractNum>
  <w:abstractNum w:abstractNumId="148">
    <w:nsid w:val="617C843E"/>
    <w:multiLevelType w:val="hybridMultilevel"/>
    <w:lvl w:ilvl="0">
      <w:lvlJc w:val="left"/>
      <w:lvlText w:val="(%1)"/>
      <w:numFmt w:val="lowerLetter"/>
      <w:start w:val="53"/>
    </w:lvl>
  </w:abstractNum>
  <w:abstractNum w:abstractNumId="149">
    <w:nsid w:val="7B541FAB"/>
    <w:multiLevelType w:val="hybridMultilevel"/>
    <w:lvl w:ilvl="0">
      <w:lvlJc w:val="left"/>
      <w:lvlText w:val="(%1)"/>
      <w:numFmt w:val="lowerLetter"/>
      <w:start w:val="54"/>
    </w:lvl>
  </w:abstractNum>
  <w:abstractNum w:abstractNumId="150">
    <w:nsid w:val="2A79EC49"/>
    <w:multiLevelType w:val="hybridMultilevel"/>
    <w:lvl w:ilvl="0">
      <w:lvlJc w:val="left"/>
      <w:lvlText w:val="%1."/>
      <w:numFmt w:val="decimal"/>
      <w:start w:val="2"/>
    </w:lvl>
  </w:abstractNum>
  <w:abstractNum w:abstractNumId="151">
    <w:nsid w:val="338125CF"/>
    <w:multiLevelType w:val="hybridMultilevel"/>
    <w:lvl w:ilvl="0">
      <w:lvlJc w:val="left"/>
      <w:lvlText w:val="%1"/>
      <w:numFmt w:val="lowerLetter"/>
      <w:start w:val="1"/>
    </w:lvl>
    <w:lvl w:ilvl="1">
      <w:lvlJc w:val="left"/>
      <w:lvlText w:val="(%2)"/>
      <w:numFmt w:val="lowerLetter"/>
      <w:start w:val="1"/>
    </w:lvl>
  </w:abstractNum>
  <w:abstractNum w:abstractNumId="152">
    <w:nsid w:val="47C7C971"/>
    <w:multiLevelType w:val="hybridMultilevel"/>
    <w:lvl w:ilvl="0">
      <w:lvlJc w:val="left"/>
      <w:lvlText w:val="(%1)"/>
      <w:numFmt w:val="lowerLetter"/>
      <w:start w:val="9"/>
    </w:lvl>
    <w:lvl w:ilvl="1">
      <w:lvlJc w:val="left"/>
      <w:lvlText w:val="%2"/>
      <w:numFmt w:val="lowerLetter"/>
      <w:start w:val="1"/>
    </w:lvl>
  </w:abstractNum>
  <w:abstractNum w:abstractNumId="153">
    <w:nsid w:val="46F8284B"/>
    <w:multiLevelType w:val="hybridMultilevel"/>
    <w:lvl w:ilvl="0">
      <w:lvlJc w:val="left"/>
      <w:lvlText w:val="(%1)"/>
      <w:numFmt w:val="lowerLetter"/>
      <w:start w:val="3"/>
    </w:lvl>
  </w:abstractNum>
  <w:abstractNum w:abstractNumId="154">
    <w:nsid w:val="4FA327CE"/>
    <w:multiLevelType w:val="hybridMultilevel"/>
    <w:lvl w:ilvl="0">
      <w:lvlJc w:val="left"/>
      <w:lvlText w:val="(%1)"/>
      <w:numFmt w:val="lowerLetter"/>
      <w:start w:val="8"/>
    </w:lvl>
  </w:abstractNum>
  <w:abstractNum w:abstractNumId="155">
    <w:nsid w:val="1873983A"/>
    <w:multiLevelType w:val="hybridMultilevel"/>
    <w:lvl w:ilvl="0">
      <w:lvlJc w:val="left"/>
      <w:lvlText w:val="(%1)"/>
      <w:numFmt w:val="lowerLetter"/>
      <w:start w:val="13"/>
    </w:lvl>
  </w:abstractNum>
  <w:abstractNum w:abstractNumId="156">
    <w:nsid w:val="3D2DD275"/>
    <w:multiLevelType w:val="hybridMultilevel"/>
    <w:lvl w:ilvl="0">
      <w:lvlJc w:val="left"/>
      <w:lvlText w:val="%1."/>
      <w:numFmt w:val="decimal"/>
      <w:start w:val="3"/>
    </w:lvl>
  </w:abstractNum>
  <w:abstractNum w:abstractNumId="157">
    <w:nsid w:val="2E17ECA7"/>
    <w:multiLevelType w:val="hybridMultilevel"/>
    <w:lvl w:ilvl="0">
      <w:lvlJc w:val="left"/>
      <w:lvlText w:val="%1."/>
      <w:numFmt w:val="decimal"/>
      <w:start w:val="4"/>
    </w:lvl>
  </w:abstractNum>
  <w:abstractNum w:abstractNumId="158">
    <w:nsid w:val="53B2564F"/>
    <w:multiLevelType w:val="hybridMultilevel"/>
    <w:lvl w:ilvl="0">
      <w:lvlJc w:val="left"/>
      <w:lvlText w:val="(%1)"/>
      <w:numFmt w:val="lowerLetter"/>
      <w:start w:val="2"/>
    </w:lvl>
  </w:abstractNum>
  <w:abstractNum w:abstractNumId="159">
    <w:nsid w:val="75509D76"/>
    <w:multiLevelType w:val="hybridMultilevel"/>
    <w:lvl w:ilvl="0">
      <w:lvlJc w:val="left"/>
      <w:lvlText w:val="(%1)"/>
      <w:numFmt w:val="lowerLetter"/>
      <w:start w:val="1"/>
    </w:lvl>
  </w:abstractNum>
  <w:abstractNum w:abstractNumId="160">
    <w:nsid w:val="1AF7F0EA"/>
    <w:multiLevelType w:val="hybridMultilevel"/>
    <w:lvl w:ilvl="0">
      <w:lvlJc w:val="left"/>
      <w:lvlText w:val="(%1)"/>
      <w:numFmt w:val="lowerLetter"/>
      <w:start w:val="2"/>
    </w:lvl>
  </w:abstractNum>
  <w:abstractNum w:abstractNumId="161">
    <w:nsid w:val="4DA32C7E"/>
    <w:multiLevelType w:val="hybridMultilevel"/>
    <w:lvl w:ilvl="0">
      <w:lvlJc w:val="left"/>
      <w:lvlText w:val="%1"/>
      <w:numFmt w:val="lowerLetter"/>
      <w:start w:val="1"/>
    </w:lvl>
    <w:lvl w:ilvl="1">
      <w:lvlJc w:val="left"/>
      <w:lvlText w:val="(%2)"/>
      <w:numFmt w:val="lowerLetter"/>
      <w:start w:val="5"/>
    </w:lvl>
  </w:abstractNum>
  <w:abstractNum w:abstractNumId="162">
    <w:nsid w:val="6EC68664"/>
    <w:multiLevelType w:val="hybridMultilevel"/>
    <w:lvl w:ilvl="0">
      <w:lvlJc w:val="left"/>
      <w:lvlText w:val="(%1)"/>
      <w:numFmt w:val="lowerLetter"/>
      <w:start w:val="9"/>
    </w:lvl>
    <w:lvl w:ilvl="1">
      <w:lvlJc w:val="left"/>
      <w:lvlText w:val="%2"/>
      <w:numFmt w:val="lowerLetter"/>
      <w:start w:val="1"/>
    </w:lvl>
  </w:abstractNum>
  <w:abstractNum w:abstractNumId="163">
    <w:nsid w:val="E0D31FF"/>
    <w:multiLevelType w:val="hybridMultilevel"/>
    <w:lvl w:ilvl="0">
      <w:lvlJc w:val="left"/>
      <w:lvlText w:val="%1."/>
      <w:numFmt w:val="decimal"/>
      <w:start w:val="7"/>
    </w:lvl>
  </w:abstractNum>
  <w:abstractNum w:abstractNumId="164">
    <w:nsid w:val="2FD0AD81"/>
    <w:multiLevelType w:val="hybridMultilevel"/>
    <w:lvl w:ilvl="0">
      <w:lvlJc w:val="left"/>
      <w:lvlText w:val="(%1)"/>
      <w:numFmt w:val="lowerLetter"/>
      <w:start w:val="2"/>
    </w:lvl>
  </w:abstractNum>
  <w:abstractNum w:abstractNumId="165">
    <w:nsid w:val="1978EBEB"/>
    <w:multiLevelType w:val="hybridMultilevel"/>
    <w:lvl w:ilvl="0">
      <w:lvlJc w:val="left"/>
      <w:lvlText w:val="%1"/>
      <w:numFmt w:val="lowerRoman"/>
      <w:start w:val="1"/>
    </w:lvl>
    <w:lvl w:ilvl="1">
      <w:lvlJc w:val="left"/>
      <w:lvlText w:val="%2."/>
      <w:numFmt w:val="decimal"/>
      <w:start w:val="8"/>
    </w:lvl>
  </w:abstractNum>
  <w:abstractNum w:abstractNumId="166">
    <w:nsid w:val="52C12C61"/>
    <w:multiLevelType w:val="hybridMultilevel"/>
    <w:lvl w:ilvl="0">
      <w:lvlJc w:val="left"/>
      <w:lvlText w:val="(%1)"/>
      <w:numFmt w:val="lowerRoman"/>
      <w:start w:val="2"/>
    </w:lvl>
    <w:lvl w:ilvl="1">
      <w:lvlJc w:val="left"/>
      <w:lvlText w:val="%2."/>
      <w:numFmt w:val="decimal"/>
      <w:start w:val="9"/>
    </w:lvl>
  </w:abstractNum>
  <w:abstractNum w:abstractNumId="167">
    <w:nsid w:val="4BDD53FD"/>
    <w:multiLevelType w:val="hybridMultilevel"/>
    <w:lvl w:ilvl="0">
      <w:lvlJc w:val="left"/>
      <w:lvlText w:val="(%1)"/>
      <w:numFmt w:val="lowerLetter"/>
      <w:start w:val="1"/>
    </w:lvl>
  </w:abstractNum>
  <w:abstractNum w:abstractNumId="168">
    <w:nsid w:val="569951FE"/>
    <w:multiLevelType w:val="hybridMultilevel"/>
    <w:lvl w:ilvl="0">
      <w:lvlJc w:val="left"/>
      <w:lvlText w:val="(%1)"/>
      <w:numFmt w:val="lowerLetter"/>
      <w:start w:val="9"/>
    </w:lvl>
  </w:abstractNum>
  <w:abstractNum w:abstractNumId="169">
    <w:nsid w:val="4C54E2C3"/>
    <w:multiLevelType w:val="hybridMultilevel"/>
    <w:lvl w:ilvl="0">
      <w:lvlJc w:val="left"/>
      <w:lvlText w:val="(%1)"/>
      <w:numFmt w:val="lowerLetter"/>
      <w:start w:val="13"/>
    </w:lvl>
  </w:abstractNum>
  <w:abstractNum w:abstractNumId="170">
    <w:nsid w:val="788BD9B"/>
    <w:multiLevelType w:val="hybridMultilevel"/>
    <w:lvl w:ilvl="0">
      <w:lvlJc w:val="left"/>
      <w:lvlText w:val="%1."/>
      <w:numFmt w:val="decimal"/>
      <w:start w:val="10"/>
    </w:lvl>
  </w:abstractNum>
  <w:abstractNum w:abstractNumId="171">
    <w:nsid w:val="47CAA567"/>
    <w:multiLevelType w:val="hybridMultilevel"/>
    <w:lvl w:ilvl="0">
      <w:lvlJc w:val="left"/>
      <w:lvlText w:val="(%1)"/>
      <w:numFmt w:val="lowerLetter"/>
      <w:start w:val="2"/>
    </w:lvl>
  </w:abstractNum>
  <w:abstractNum w:abstractNumId="172">
    <w:nsid w:val="48249DBF"/>
    <w:multiLevelType w:val="hybridMultilevel"/>
    <w:lvl w:ilvl="0">
      <w:lvlJc w:val="left"/>
      <w:lvlText w:val="(%1)"/>
      <w:numFmt w:val="lowerLetter"/>
      <w:start w:val="4"/>
    </w:lvl>
  </w:abstractNum>
  <w:abstractNum w:abstractNumId="173">
    <w:nsid w:val="1F0E5D0D"/>
    <w:multiLevelType w:val="hybridMultilevel"/>
    <w:lvl w:ilvl="0">
      <w:lvlJc w:val="left"/>
      <w:lvlText w:val="(%1)"/>
      <w:numFmt w:val="lowerLetter"/>
      <w:start w:val="6"/>
    </w:lvl>
  </w:abstractNum>
  <w:abstractNum w:abstractNumId="174">
    <w:nsid w:val="26BAAE9"/>
    <w:multiLevelType w:val="hybridMultilevel"/>
    <w:lvl w:ilvl="0">
      <w:lvlJc w:val="left"/>
      <w:lvlText w:val="%1."/>
      <w:numFmt w:val="decimal"/>
      <w:start w:val="11"/>
    </w:lvl>
  </w:abstractNum>
  <w:abstractNum w:abstractNumId="175">
    <w:nsid w:val="2C02FE8C"/>
    <w:multiLevelType w:val="hybridMultilevel"/>
    <w:lvl w:ilvl="0">
      <w:lvlJc w:val="left"/>
      <w:lvlText w:val="(%1)"/>
      <w:numFmt w:val="lowerLetter"/>
      <w:start w:val="2"/>
    </w:lvl>
  </w:abstractNum>
  <w:abstractNum w:abstractNumId="176">
    <w:nsid w:val="129517E"/>
    <w:multiLevelType w:val="hybridMultilevel"/>
    <w:lvl w:ilvl="0">
      <w:lvlJc w:val="left"/>
      <w:lvlText w:val="%1."/>
      <w:numFmt w:val="decimal"/>
      <w:start w:val="12"/>
    </w:lvl>
  </w:abstractNum>
  <w:abstractNum w:abstractNumId="177">
    <w:nsid w:val="763B8C4E"/>
    <w:multiLevelType w:val="hybridMultilevel"/>
    <w:lvl w:ilvl="0">
      <w:lvlJc w:val="left"/>
      <w:lvlText w:val="%1."/>
      <w:numFmt w:val="decimal"/>
      <w:start w:val="15"/>
    </w:lvl>
  </w:abstractNum>
  <w:abstractNum w:abstractNumId="178">
    <w:nsid w:val="4CFB8D32"/>
    <w:multiLevelType w:val="hybridMultilevel"/>
    <w:lvl w:ilvl="0">
      <w:lvlJc w:val="left"/>
      <w:lvlText w:val="%1."/>
      <w:numFmt w:val="decimal"/>
      <w:start w:val="19"/>
    </w:lvl>
  </w:abstractNum>
  <w:abstractNum w:abstractNumId="179">
    <w:nsid w:val="62A5D5BD"/>
    <w:multiLevelType w:val="hybridMultilevel"/>
    <w:lvl w:ilvl="0">
      <w:lvlJc w:val="left"/>
      <w:lvlText w:val="%1."/>
      <w:numFmt w:val="decimal"/>
      <w:start w:val="22"/>
    </w:lvl>
  </w:abstractNum>
  <w:abstractNum w:abstractNumId="180">
    <w:nsid w:val="718FABF9"/>
    <w:multiLevelType w:val="hybridMultilevel"/>
    <w:lvl w:ilvl="0">
      <w:lvlJc w:val="left"/>
      <w:lvlText w:val="%1."/>
      <w:numFmt w:val="decimal"/>
      <w:start w:val="26"/>
    </w:lvl>
  </w:abstractNum>
  <w:abstractNum w:abstractNumId="181">
    <w:nsid w:val="7775797C"/>
    <w:multiLevelType w:val="hybridMultilevel"/>
    <w:lvl w:ilvl="0">
      <w:lvlJc w:val="left"/>
      <w:lvlText w:val="(%1)"/>
      <w:numFmt w:val="lowerLetter"/>
      <w:start w:val="1"/>
    </w:lvl>
  </w:abstractNum>
  <w:abstractNum w:abstractNumId="182">
    <w:nsid w:val="1626FB8C"/>
    <w:multiLevelType w:val="hybridMultilevel"/>
    <w:lvl w:ilvl="0">
      <w:lvlJc w:val="left"/>
      <w:lvlText w:val="%1."/>
      <w:numFmt w:val="decimal"/>
      <w:start w:val="1"/>
    </w:lvl>
  </w:abstractNum>
  <w:abstractNum w:abstractNumId="183">
    <w:nsid w:val="3957756A"/>
    <w:multiLevelType w:val="hybridMultilevel"/>
    <w:lvl w:ilvl="0">
      <w:lvlJc w:val="left"/>
      <w:lvlText w:val="(%1)"/>
      <w:numFmt w:val="lowerLetter"/>
      <w:start w:val="2"/>
    </w:lvl>
  </w:abstractNum>
  <w:abstractNum w:abstractNumId="184">
    <w:nsid w:val="3E6DA1C7"/>
    <w:multiLevelType w:val="hybridMultilevel"/>
    <w:lvl w:ilvl="0">
      <w:lvlJc w:val="left"/>
      <w:lvlText w:val="%1."/>
      <w:numFmt w:val="decimal"/>
      <w:start w:val="2"/>
    </w:lvl>
  </w:abstractNum>
  <w:abstractNum w:abstractNumId="185">
    <w:nsid w:val="65CA235B"/>
    <w:multiLevelType w:val="hybridMultilevel"/>
    <w:lvl w:ilvl="0">
      <w:lvlJc w:val="left"/>
      <w:lvlText w:val="%1."/>
      <w:numFmt w:val="decimal"/>
      <w:start w:val="3"/>
    </w:lvl>
  </w:abstractNum>
  <w:abstractNum w:abstractNumId="186">
    <w:nsid w:val="51CB0DA4"/>
    <w:multiLevelType w:val="hybridMultilevel"/>
    <w:lvl w:ilvl="0">
      <w:lvlJc w:val="left"/>
      <w:lvlText w:val="%1."/>
      <w:numFmt w:val="decimal"/>
      <w:start w:val="4"/>
    </w:lvl>
  </w:abstractNum>
  <w:abstractNum w:abstractNumId="187">
    <w:nsid w:val="7B9B743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88">
    <w:nsid w:val="13E2100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9">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90">
    <w:nsid w:val="70EC11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91">
    <w:nsid w:val="2EDA00E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2">
    <w:nsid w:val="73209072"/>
    <w:multiLevelType w:val="hybridMultilevel"/>
    <w:lvl w:ilvl="0">
      <w:lvlJc w:val="left"/>
      <w:lvlText w:val="%1."/>
      <w:numFmt w:val="decimal"/>
      <w:start w:val="10"/>
    </w:lvl>
  </w:abstractNum>
  <w:abstractNum w:abstractNumId="193">
    <w:nsid w:val="5FB29816"/>
    <w:multiLevelType w:val="hybridMultilevel"/>
    <w:lvl w:ilvl="0">
      <w:lvlJc w:val="left"/>
      <w:lvlText w:val="%1."/>
      <w:numFmt w:val="decimal"/>
      <w:start w:val="11"/>
    </w:lvl>
    <w:lvl w:ilvl="1">
      <w:lvlJc w:val="left"/>
      <w:lvlText w:val="(%2)"/>
      <w:numFmt w:val="lowerLetter"/>
      <w:start w:val="1"/>
    </w:lvl>
  </w:abstractNum>
  <w:abstractNum w:abstractNumId="194">
    <w:nsid w:val="3CE732EC"/>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95">
    <w:nsid w:val="22F13DF3"/>
    <w:multiLevelType w:val="hybridMultilevel"/>
    <w:lvl w:ilvl="0">
      <w:lvlJc w:val="left"/>
      <w:lvlText w:val="(%1)"/>
      <w:numFmt w:val="lowerLetter"/>
      <w:start w:val="3"/>
    </w:lvl>
  </w:abstractNum>
  <w:abstractNum w:abstractNumId="196">
    <w:nsid w:val="792B8401"/>
    <w:multiLevelType w:val="hybridMultilevel"/>
    <w:lvl w:ilvl="0">
      <w:lvlJc w:val="left"/>
      <w:lvlText w:val="(%1)"/>
      <w:numFmt w:val="lowerLetter"/>
      <w:start w:val="2"/>
    </w:lvl>
  </w:abstractNum>
  <w:abstractNum w:abstractNumId="197">
    <w:nsid w:val="FA85F4D"/>
    <w:multiLevelType w:val="hybridMultilevel"/>
    <w:lvl w:ilvl="0">
      <w:lvlJc w:val="left"/>
      <w:lvlText w:val="(%1)"/>
      <w:numFmt w:val="lowerLetter"/>
      <w:start w:val="4"/>
    </w:lvl>
  </w:abstractNum>
  <w:abstractNum w:abstractNumId="198">
    <w:nsid w:val="6ECE91F0"/>
    <w:multiLevelType w:val="hybridMultilevel"/>
    <w:lvl w:ilvl="0">
      <w:lvlJc w:val="left"/>
      <w:lvlText w:val="%1."/>
      <w:numFmt w:val="decimal"/>
      <w:start w:val="14"/>
    </w:lvl>
  </w:abstractNum>
  <w:abstractNum w:abstractNumId="199">
    <w:nsid w:val="4FC4D600"/>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00">
    <w:nsid w:val="5BFD4210"/>
    <w:multiLevelType w:val="hybridMultilevel"/>
    <w:lvl w:ilvl="0">
      <w:lvlJc w:val="left"/>
      <w:lvlText w:val="%1"/>
      <w:numFmt w:val="decimal"/>
      <w:start w:val="1"/>
    </w:lvl>
    <w:lvl w:ilvl="1">
      <w:lvlJc w:val="left"/>
      <w:lvlText w:val="(%2)"/>
      <w:numFmt w:val="lowerLetter"/>
      <w:start w:val="6"/>
    </w:lvl>
  </w:abstractNum>
  <w:abstractNum w:abstractNumId="201">
    <w:nsid w:val="76574F8B"/>
    <w:multiLevelType w:val="hybridMultilevel"/>
    <w:lvl w:ilvl="0">
      <w:lvlJc w:val="left"/>
      <w:lvlText w:val="%1."/>
      <w:numFmt w:val="decimal"/>
      <w:start w:val="16"/>
    </w:lvl>
    <w:lvl w:ilvl="1">
      <w:lvlJc w:val="left"/>
      <w:lvlText w:val="(%2)"/>
      <w:numFmt w:val="lowerLetter"/>
      <w:start w:val="1"/>
    </w:lvl>
  </w:abstractNum>
  <w:abstractNum w:abstractNumId="202">
    <w:nsid w:val="178F7B67"/>
    <w:multiLevelType w:val="hybridMultilevel"/>
    <w:lvl w:ilvl="0">
      <w:lvlJc w:val="left"/>
      <w:lvlText w:val="%1."/>
      <w:numFmt w:val="decimal"/>
      <w:start w:val="18"/>
    </w:lvl>
  </w:abstractNum>
  <w:abstractNum w:abstractNumId="203">
    <w:nsid w:val="2421DFCF"/>
    <w:multiLevelType w:val="hybridMultilevel"/>
    <w:lvl w:ilvl="0">
      <w:lvlJc w:val="left"/>
      <w:lvlText w:val="%1."/>
      <w:numFmt w:val="decimal"/>
      <w:start w:val="19"/>
    </w:lvl>
  </w:abstractNum>
  <w:abstractNum w:abstractNumId="204">
    <w:nsid w:val="1565AC99"/>
    <w:multiLevelType w:val="hybridMultilevel"/>
    <w:lvl w:ilvl="0">
      <w:lvlJc w:val="left"/>
      <w:lvlText w:val="%1."/>
      <w:numFmt w:val="decimal"/>
      <w:start w:val="20"/>
    </w:lvl>
  </w:abstractNum>
  <w:abstractNum w:abstractNumId="205">
    <w:nsid w:val="19FB2650"/>
    <w:multiLevelType w:val="hybridMultilevel"/>
    <w:lvl w:ilvl="0">
      <w:lvlJc w:val="left"/>
      <w:lvlText w:val="%1."/>
      <w:numFmt w:val="decimal"/>
      <w:start w:val="21"/>
    </w:lvl>
  </w:abstractNum>
  <w:abstractNum w:abstractNumId="206">
    <w:nsid w:val="5024DE5B"/>
    <w:multiLevelType w:val="hybridMultilevel"/>
    <w:lvl w:ilvl="0">
      <w:lvlJc w:val="left"/>
      <w:lvlText w:val="%1."/>
      <w:numFmt w:val="decimal"/>
      <w:start w:val="22"/>
    </w:lvl>
    <w:lvl w:ilvl="1">
      <w:lvlJc w:val="left"/>
      <w:lvlText w:val="(%2)"/>
      <w:numFmt w:val="lowerLetter"/>
      <w:start w:val="1"/>
    </w:lvl>
  </w:abstractNum>
  <w:abstractNum w:abstractNumId="207">
    <w:nsid w:val="168EFE17"/>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208">
    <w:nsid w:val="1036B29F"/>
    <w:multiLevelType w:val="hybridMultilevel"/>
    <w:lvl w:ilvl="0">
      <w:lvlJc w:val="left"/>
      <w:lvlText w:val="%1"/>
      <w:numFmt w:val="decimal"/>
      <w:start w:val="1"/>
    </w:lvl>
    <w:lvl w:ilvl="1">
      <w:lvlJc w:val="left"/>
      <w:lvlText w:val="(%2)"/>
      <w:numFmt w:val="lowerLetter"/>
      <w:start w:val="2"/>
    </w:lvl>
  </w:abstractNum>
  <w:abstractNum w:abstractNumId="209">
    <w:nsid w:val="1D206B8E"/>
    <w:multiLevelType w:val="hybridMultilevel"/>
    <w:lvl w:ilvl="0">
      <w:lvlJc w:val="left"/>
      <w:lvlText w:val="%1."/>
      <w:numFmt w:val="decimal"/>
      <w:start w:val="24"/>
    </w:lvl>
    <w:lvl w:ilvl="1">
      <w:lvlJc w:val="left"/>
      <w:lvlText w:val="%2"/>
      <w:numFmt w:val="lowerLetter"/>
      <w:start w:val="1"/>
    </w:lvl>
  </w:abstractNum>
  <w:abstractNum w:abstractNumId="210">
    <w:nsid w:val="7934D3D4"/>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211">
    <w:nsid w:val="1C65E9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12">
    <w:nsid w:val="1495E50A"/>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213">
    <w:nsid w:val="F5BCF61"/>
    <w:multiLevelType w:val="hybridMultilevel"/>
    <w:lvl w:ilvl="0">
      <w:lvlJc w:val="left"/>
      <w:lvlText w:val="(%1)"/>
      <w:numFmt w:val="lowerLetter"/>
      <w:start w:val="4"/>
    </w:lvl>
  </w:abstractNum>
  <w:abstractNum w:abstractNumId="214">
    <w:nsid w:val="3B1DD403"/>
    <w:multiLevelType w:val="hybridMultilevel"/>
    <w:lvl w:ilvl="0">
      <w:lvlJc w:val="left"/>
      <w:lvlText w:val="%1."/>
      <w:numFmt w:val="decimal"/>
      <w:start w:val="27"/>
    </w:lvl>
    <w:lvl w:ilvl="1">
      <w:lvlJc w:val="left"/>
      <w:lvlText w:val="(%2)"/>
      <w:numFmt w:val="lowerLetter"/>
      <w:start w:val="1"/>
    </w:lvl>
  </w:abstractNum>
  <w:abstractNum w:abstractNumId="215">
    <w:nsid w:val="530386D1"/>
    <w:multiLevelType w:val="hybridMultilevel"/>
    <w:lvl w:ilvl="0">
      <w:lvlJc w:val="left"/>
      <w:lvlText w:val="%1."/>
      <w:numFmt w:val="decimal"/>
      <w:start w:val="29"/>
    </w:lvl>
    <w:lvl w:ilvl="1">
      <w:lvlJc w:val="left"/>
      <w:lvlText w:val="(%2)"/>
      <w:numFmt w:val="lowerLetter"/>
      <w:start w:val="1"/>
    </w:lvl>
  </w:abstractNum>
  <w:abstractNum w:abstractNumId="216">
    <w:nsid w:val="7525F2BC"/>
    <w:multiLevelType w:val="hybridMultilevel"/>
    <w:lvl w:ilvl="0">
      <w:lvlJc w:val="left"/>
      <w:lvlText w:val="%1."/>
      <w:numFmt w:val="decimal"/>
      <w:start w:val="31"/>
    </w:lvl>
  </w:abstractNum>
  <w:abstractNum w:abstractNumId="217">
    <w:nsid w:val="CE8E1A7"/>
    <w:multiLevelType w:val="hybridMultilevel"/>
    <w:lvl w:ilvl="0">
      <w:lvlJc w:val="left"/>
      <w:lvlText w:val="%1."/>
      <w:numFmt w:val="decimal"/>
      <w:start w:val="32"/>
    </w:lvl>
    <w:lvl w:ilvl="1">
      <w:lvlJc w:val="left"/>
      <w:lvlText w:val="(%2)"/>
      <w:numFmt w:val="lowerLetter"/>
      <w:start w:val="1"/>
    </w:lvl>
    <w:lvl w:ilvl="2">
      <w:lvlJc w:val="left"/>
      <w:lvlText w:val="-"/>
      <w:numFmt w:val="bullet"/>
      <w:start w:val="1"/>
    </w:lvl>
  </w:abstractNum>
  <w:abstractNum w:abstractNumId="218">
    <w:nsid w:val="4E9EFB0D"/>
    <w:multiLevelType w:val="hybridMultilevel"/>
    <w:lvl w:ilvl="0">
      <w:lvlJc w:val="left"/>
      <w:lvlText w:val="(%1)"/>
      <w:numFmt w:val="lowerLetter"/>
      <w:start w:val="3"/>
    </w:lvl>
  </w:abstractNum>
  <w:abstractNum w:abstractNumId="219">
    <w:nsid w:val="90802BE"/>
    <w:multiLevelType w:val="hybridMultilevel"/>
    <w:lvl w:ilvl="0">
      <w:lvlJc w:val="left"/>
      <w:lvlText w:val="%1."/>
      <w:numFmt w:val="decimal"/>
      <w:start w:val="33"/>
    </w:lvl>
  </w:abstractNum>
  <w:abstractNum w:abstractNumId="220">
    <w:nsid w:val="3266459B"/>
    <w:multiLevelType w:val="hybridMultilevel"/>
    <w:lvl w:ilvl="0">
      <w:lvlJc w:val="left"/>
      <w:lvlText w:val="(%1)"/>
      <w:numFmt w:val="lowerLetter"/>
      <w:start w:val="2"/>
    </w:lvl>
    <w:lvl w:ilvl="1">
      <w:lvlJc w:val="left"/>
      <w:lvlText w:val="-"/>
      <w:numFmt w:val="bullet"/>
      <w:start w:val="1"/>
    </w:lvl>
  </w:abstractNum>
  <w:abstractNum w:abstractNumId="221">
    <w:nsid w:val="3F8B0CBF"/>
    <w:multiLevelType w:val="hybridMultilevel"/>
    <w:lvl w:ilvl="0">
      <w:lvlJc w:val="left"/>
      <w:lvlText w:val="%1."/>
      <w:numFmt w:val="decimal"/>
      <w:start w:val="34"/>
    </w:lvl>
    <w:lvl w:ilvl="1">
      <w:lvlJc w:val="left"/>
      <w:lvlText w:val="(%2)"/>
      <w:numFmt w:val="lowerLetter"/>
      <w:start w:val="1"/>
    </w:lvl>
  </w:abstractNum>
  <w:abstractNum w:abstractNumId="222">
    <w:nsid w:val="37E203AB"/>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223">
    <w:nsid w:val="2586D60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224">
    <w:nsid w:val="1F3DA4D5"/>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5">
    <w:nsid w:val="74C93698"/>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26">
    <w:nsid w:val="48781401"/>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27">
    <w:nsid w:val="186928D6"/>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228">
    <w:nsid w:val="47195E5"/>
    <w:multiLevelType w:val="hybridMultilevel"/>
    <w:lvl w:ilvl="0">
      <w:lvlJc w:val="left"/>
      <w:lvlText w:val="(%1)"/>
      <w:numFmt w:val="lowerLetter"/>
      <w:start w:val="6"/>
    </w:lvl>
  </w:abstractNum>
  <w:abstractNum w:abstractNumId="229">
    <w:nsid w:val="3746A5F2"/>
    <w:multiLevelType w:val="hybridMultilevel"/>
    <w:lvl w:ilvl="0">
      <w:lvlJc w:val="left"/>
      <w:lvlText w:val="%1."/>
      <w:numFmt w:val="decimal"/>
      <w:start w:val="40"/>
    </w:lvl>
  </w:abstractNum>
  <w:abstractNum w:abstractNumId="230">
    <w:nsid w:val="682DFED6"/>
    <w:multiLevelType w:val="hybridMultilevel"/>
    <w:lvl w:ilvl="0">
      <w:lvlJc w:val="left"/>
      <w:lvlText w:val="%1."/>
      <w:numFmt w:val="decimal"/>
      <w:start w:val="41"/>
    </w:lvl>
  </w:abstractNum>
  <w:abstractNum w:abstractNumId="231">
    <w:nsid w:val="606ED7F6"/>
    <w:multiLevelType w:val="hybridMultilevel"/>
    <w:lvl w:ilvl="0">
      <w:lvlJc w:val="left"/>
      <w:lvlText w:val="%1."/>
      <w:numFmt w:val="decimal"/>
      <w:start w:val="42"/>
    </w:lvl>
  </w:abstractNum>
  <w:abstractNum w:abstractNumId="232">
    <w:nsid w:val="2D9DF57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3">
    <w:nsid w:val="7FBD7A3E"/>
    <w:multiLevelType w:val="hybridMultilevel"/>
    <w:lvl w:ilvl="0">
      <w:lvlJc w:val="left"/>
      <w:lvlText w:val="%1."/>
      <w:numFmt w:val="decimal"/>
      <w:start w:val="43"/>
    </w:lvl>
    <w:lvl w:ilvl="1">
      <w:lvlJc w:val="left"/>
      <w:lvlText w:val="(%2)"/>
      <w:numFmt w:val="lowerLetter"/>
      <w:start w:val="1"/>
    </w:lvl>
    <w:lvl w:ilvl="2">
      <w:lvlJc w:val="left"/>
      <w:lvlText w:val="-"/>
      <w:numFmt w:val="bullet"/>
      <w:start w:val="1"/>
    </w:lvl>
  </w:abstractNum>
  <w:abstractNum w:abstractNumId="234">
    <w:nsid w:val="490B7C5"/>
    <w:multiLevelType w:val="hybridMultilevel"/>
    <w:lvl w:ilvl="0">
      <w:lvlJc w:val="left"/>
      <w:lvlText w:val="(%1)"/>
      <w:numFmt w:val="lowerLetter"/>
      <w:start w:val="3"/>
    </w:lvl>
  </w:abstractNum>
  <w:abstractNum w:abstractNumId="235">
    <w:nsid w:val="4303A216"/>
    <w:multiLevelType w:val="hybridMultilevel"/>
    <w:lvl w:ilvl="0">
      <w:lvlJc w:val="left"/>
      <w:lvlText w:val="%1."/>
      <w:numFmt w:val="decimal"/>
      <w:start w:val="44"/>
    </w:lvl>
    <w:lvl w:ilvl="1">
      <w:lvlJc w:val="left"/>
      <w:lvlText w:val="(%2)"/>
      <w:numFmt w:val="lowerLetter"/>
      <w:start w:val="1"/>
    </w:lvl>
  </w:abstractNum>
  <w:abstractNum w:abstractNumId="236">
    <w:nsid w:val="19B8A08E"/>
    <w:multiLevelType w:val="hybridMultilevel"/>
    <w:lvl w:ilvl="0">
      <w:lvlJc w:val="left"/>
      <w:lvlText w:val="%1."/>
      <w:numFmt w:val="decimal"/>
      <w:start w:val="46"/>
    </w:lvl>
  </w:abstractNum>
  <w:abstractNum w:abstractNumId="237">
    <w:nsid w:val="54B59621"/>
    <w:multiLevelType w:val="hybridMultilevel"/>
    <w:lvl w:ilvl="0">
      <w:lvlJc w:val="left"/>
      <w:lvlText w:val="%1."/>
      <w:numFmt w:val="decimal"/>
      <w:start w:val="47"/>
    </w:lvl>
  </w:abstractNum>
  <w:abstractNum w:abstractNumId="238">
    <w:nsid w:val="5992A02E"/>
    <w:multiLevelType w:val="hybridMultilevel"/>
    <w:lvl w:ilvl="0">
      <w:lvlJc w:val="left"/>
      <w:lvlText w:val="%1."/>
      <w:numFmt w:val="decimal"/>
      <w:start w:val="48"/>
    </w:lvl>
  </w:abstractNum>
  <w:abstractNum w:abstractNumId="239">
    <w:nsid w:val="29EF532D"/>
    <w:multiLevelType w:val="hybridMultilevel"/>
    <w:lvl w:ilvl="0">
      <w:lvlJc w:val="left"/>
      <w:lvlText w:val="%1."/>
      <w:numFmt w:val="decimal"/>
      <w:start w:val="49"/>
    </w:lvl>
  </w:abstractNum>
  <w:abstractNum w:abstractNumId="240">
    <w:nsid w:val="71D601AF"/>
    <w:multiLevelType w:val="hybridMultilevel"/>
    <w:lvl w:ilvl="0">
      <w:lvlJc w:val="left"/>
      <w:lvlText w:val="%1."/>
      <w:numFmt w:val="decimal"/>
      <w:start w:val="50"/>
    </w:lvl>
  </w:abstractNum>
  <w:abstractNum w:abstractNumId="241">
    <w:nsid w:val="52C77402"/>
    <w:multiLevelType w:val="hybridMultilevel"/>
    <w:lvl w:ilvl="0">
      <w:lvlJc w:val="left"/>
      <w:lvlText w:val="%1."/>
      <w:numFmt w:val="decimal"/>
      <w:start w:val="51"/>
    </w:lvl>
  </w:abstractNum>
  <w:abstractNum w:abstractNumId="242">
    <w:nsid w:val="2BB5B1C6"/>
    <w:multiLevelType w:val="hybridMultilevel"/>
    <w:lvl w:ilvl="0">
      <w:lvlJc w:val="left"/>
      <w:lvlText w:val="%1."/>
      <w:numFmt w:val="decimal"/>
      <w:start w:val="52"/>
    </w:lvl>
  </w:abstractNum>
  <w:abstractNum w:abstractNumId="243">
    <w:nsid w:val="66BE6B9"/>
    <w:multiLevelType w:val="hybridMultilevel"/>
    <w:lvl w:ilvl="0">
      <w:lvlJc w:val="left"/>
      <w:lvlText w:val="%1."/>
      <w:numFmt w:val="decimal"/>
      <w:start w:val="53"/>
    </w:lvl>
  </w:abstractNum>
  <w:abstractNum w:abstractNumId="244">
    <w:nsid w:val="62234363"/>
    <w:multiLevelType w:val="hybridMultilevel"/>
    <w:lvl w:ilvl="0">
      <w:lvlJc w:val="left"/>
      <w:lvlText w:val="%1."/>
      <w:numFmt w:val="decimal"/>
      <w:start w:val="54"/>
    </w:lvl>
  </w:abstractNum>
  <w:abstractNum w:abstractNumId="245">
    <w:nsid w:val="66D385C9"/>
    <w:multiLevelType w:val="hybridMultilevel"/>
    <w:lvl w:ilvl="0">
      <w:lvlJc w:val="left"/>
      <w:lvlText w:val="%1."/>
      <w:numFmt w:val="decimal"/>
      <w:start w:val="55"/>
    </w:lvl>
  </w:abstractNum>
  <w:abstractNum w:abstractNumId="246">
    <w:nsid w:val="596F6D8A"/>
    <w:multiLevelType w:val="hybridMultilevel"/>
    <w:lvl w:ilvl="0">
      <w:lvlJc w:val="left"/>
      <w:lvlText w:val="%1."/>
      <w:numFmt w:val="decimal"/>
      <w:start w:val="56"/>
    </w:lvl>
    <w:lvl w:ilvl="1">
      <w:lvlJc w:val="left"/>
      <w:lvlText w:val="(%2)"/>
      <w:numFmt w:val="lowerLetter"/>
      <w:start w:val="1"/>
    </w:lvl>
    <w:lvl w:ilvl="2">
      <w:lvlJc w:val="left"/>
      <w:lvlText w:val="-"/>
      <w:numFmt w:val="bullet"/>
      <w:start w:val="1"/>
    </w:lvl>
  </w:abstractNum>
  <w:abstractNum w:abstractNumId="247">
    <w:nsid w:val="5749361F"/>
    <w:multiLevelType w:val="hybridMultilevel"/>
    <w:lvl w:ilvl="0">
      <w:lvlJc w:val="left"/>
      <w:lvlText w:val="%1."/>
      <w:numFmt w:val="decimal"/>
      <w:start w:val="57"/>
    </w:lvl>
  </w:abstractNum>
  <w:abstractNum w:abstractNumId="248">
    <w:nsid w:val="73BC6770"/>
    <w:multiLevelType w:val="hybridMultilevel"/>
    <w:lvl w:ilvl="0">
      <w:lvlJc w:val="left"/>
      <w:lvlText w:val="%1."/>
      <w:numFmt w:val="decimal"/>
      <w:start w:val="58"/>
    </w:lvl>
  </w:abstractNum>
  <w:abstractNum w:abstractNumId="249">
    <w:nsid w:val="280E6897"/>
    <w:multiLevelType w:val="hybridMultilevel"/>
    <w:lvl w:ilvl="0">
      <w:lvlJc w:val="left"/>
      <w:lvlText w:val="%1."/>
      <w:numFmt w:val="decimal"/>
      <w:start w:val="59"/>
    </w:lvl>
  </w:abstractNum>
  <w:abstractNum w:abstractNumId="250">
    <w:nsid w:val="605138DE"/>
    <w:multiLevelType w:val="hybridMultilevel"/>
    <w:lvl w:ilvl="0">
      <w:lvlJc w:val="left"/>
      <w:lvlText w:val="%1."/>
      <w:numFmt w:val="decimal"/>
      <w:start w:val="60"/>
    </w:lvl>
  </w:abstractNum>
  <w:abstractNum w:abstractNumId="251">
    <w:nsid w:val="2622AD0C"/>
    <w:multiLevelType w:val="hybridMultilevel"/>
    <w:lvl w:ilvl="0">
      <w:lvlJc w:val="left"/>
      <w:lvlText w:val="%1."/>
      <w:numFmt w:val="decimal"/>
      <w:start w:val="61"/>
    </w:lvl>
  </w:abstractNum>
  <w:abstractNum w:abstractNumId="252">
    <w:nsid w:val="67997556"/>
    <w:multiLevelType w:val="hybridMultilevel"/>
    <w:lvl w:ilvl="0">
      <w:lvlJc w:val="left"/>
      <w:lvlText w:val="%1."/>
      <w:numFmt w:val="decimal"/>
      <w:start w:val="62"/>
    </w:lvl>
  </w:abstractNum>
  <w:abstractNum w:abstractNumId="253">
    <w:nsid w:val="18333C89"/>
    <w:multiLevelType w:val="hybridMultilevel"/>
    <w:lvl w:ilvl="0">
      <w:lvlJc w:val="left"/>
      <w:lvlText w:val="%1."/>
      <w:numFmt w:val="decimal"/>
      <w:start w:val="63"/>
    </w:lvl>
  </w:abstractNum>
  <w:abstractNum w:abstractNumId="254">
    <w:nsid w:val="4BA983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5">
    <w:nsid w:val="6D71A2B"/>
    <w:multiLevelType w:val="hybridMultilevel"/>
    <w:lvl w:ilvl="0">
      <w:lvlJc w:val="left"/>
      <w:lvlText w:val="%1."/>
      <w:numFmt w:val="decimal"/>
      <w:start w:val="6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6">
    <w:nsid w:val="CFC7321"/>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57">
    <w:nsid w:val="1421971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58">
    <w:nsid w:val="1F404301"/>
    <w:multiLevelType w:val="hybridMultilevel"/>
    <w:lvl w:ilvl="0">
      <w:lvlJc w:val="left"/>
      <w:lvlText w:val="%1."/>
      <w:numFmt w:val="decimal"/>
      <w:start w:val="65"/>
    </w:lvl>
  </w:abstractNum>
  <w:abstractNum w:abstractNumId="259">
    <w:nsid w:val="116E0907"/>
    <w:multiLevelType w:val="hybridMultilevel"/>
    <w:lvl w:ilvl="0">
      <w:lvlJc w:val="left"/>
      <w:lvlText w:val="%1."/>
      <w:numFmt w:val="decimal"/>
      <w:start w:val="66"/>
    </w:lvl>
    <w:lvl w:ilvl="1">
      <w:lvlJc w:val="left"/>
      <w:lvlText w:val="(%2)"/>
      <w:numFmt w:val="lowerLetter"/>
      <w:start w:val="1"/>
    </w:lvl>
  </w:abstractNum>
  <w:abstractNum w:abstractNumId="260">
    <w:nsid w:val="4B683D0D"/>
    <w:multiLevelType w:val="hybridMultilevel"/>
    <w:lvl w:ilvl="0">
      <w:lvlJc w:val="left"/>
      <w:lvlText w:val="%1."/>
      <w:numFmt w:val="decimal"/>
      <w:start w:val="67"/>
    </w:lvl>
  </w:abstractNum>
  <w:abstractNum w:abstractNumId="261">
    <w:nsid w:val="76E41D8"/>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abstractNum>
  <w:abstractNum w:abstractNumId="262">
    <w:nsid w:val="71DCE0FD"/>
    <w:multiLevelType w:val="hybridMultilevel"/>
    <w:lvl w:ilvl="0">
      <w:lvlJc w:val="left"/>
      <w:lvlText w:val="%1"/>
      <w:numFmt w:val="lowerLetter"/>
      <w:start w:val="1"/>
    </w:lvl>
    <w:lvl w:ilvl="1">
      <w:lvlJc w:val="left"/>
      <w:lvlText w:val="(%2)"/>
      <w:numFmt w:val="lowerLetter"/>
      <w:start w:val="35"/>
    </w:lvl>
  </w:abstractNum>
  <w:abstractNum w:abstractNumId="263">
    <w:nsid w:val="7906328B"/>
    <w:multiLevelType w:val="hybridMultilevel"/>
    <w:lvl w:ilvl="0">
      <w:lvlJc w:val="left"/>
      <w:lvlText w:val="(%1)"/>
      <w:numFmt w:val="lowerLetter"/>
      <w:start w:val="8"/>
    </w:lvl>
    <w:lvl w:ilvl="1">
      <w:lvlJc w:val="left"/>
      <w:lvlText w:val="%2"/>
      <w:numFmt w:val="lowerLetter"/>
      <w:start w:val="1"/>
    </w:lvl>
  </w:abstractNum>
  <w:abstractNum w:abstractNumId="264">
    <w:nsid w:val="72BBC16"/>
    <w:multiLevelType w:val="hybridMultilevel"/>
    <w:lvl w:ilvl="0">
      <w:lvlJc w:val="left"/>
      <w:lvlText w:val="%1."/>
      <w:numFmt w:val="decimal"/>
      <w:start w:val="69"/>
    </w:lvl>
  </w:abstractNum>
  <w:abstractNum w:abstractNumId="265">
    <w:nsid w:val="766D98C2"/>
    <w:multiLevelType w:val="hybridMultilevel"/>
    <w:lvl w:ilvl="0">
      <w:lvlJc w:val="left"/>
      <w:lvlText w:val="%1."/>
      <w:numFmt w:val="decimal"/>
      <w:start w:val="70"/>
    </w:lvl>
    <w:lvl w:ilvl="1">
      <w:lvlJc w:val="left"/>
      <w:lvlText w:val="(%2)"/>
      <w:numFmt w:val="lowerLetter"/>
      <w:start w:val="1"/>
    </w:lvl>
  </w:abstractNum>
  <w:abstractNum w:abstractNumId="266">
    <w:nsid w:val="3C09D4A1"/>
    <w:multiLevelType w:val="hybridMultilevel"/>
    <w:lvl w:ilvl="0">
      <w:lvlJc w:val="left"/>
      <w:lvlText w:val="%1"/>
      <w:numFmt w:val="decimal"/>
      <w:start w:val="1"/>
    </w:lvl>
    <w:lvl w:ilvl="1">
      <w:lvlJc w:val="left"/>
      <w:lvlText w:val="(%2)"/>
      <w:numFmt w:val="lowerLetter"/>
      <w:start w:val="9"/>
    </w:lvl>
  </w:abstractNum>
  <w:abstractNum w:abstractNumId="267">
    <w:nsid w:val="20E45CA4"/>
    <w:multiLevelType w:val="hybridMultilevel"/>
    <w:lvl w:ilvl="0">
      <w:lvlJc w:val="left"/>
      <w:lvlText w:val="%1."/>
      <w:numFmt w:val="decimal"/>
      <w:start w:val="1"/>
    </w:lvl>
  </w:abstractNum>
  <w:abstractNum w:abstractNumId="268">
    <w:nsid w:val="4B232EE3"/>
    <w:multiLevelType w:val="hybridMultilevel"/>
    <w:lvl w:ilvl="0">
      <w:lvlJc w:val="left"/>
      <w:lvlText w:val="(%1)"/>
      <w:numFmt w:val="decimal"/>
      <w:start w:val="6"/>
    </w:lvl>
  </w:abstractNum>
  <w:abstractNum w:abstractNumId="269">
    <w:nsid w:val="159C74CF"/>
    <w:multiLevelType w:val="hybridMultilevel"/>
    <w:lvl w:ilvl="0">
      <w:lvlJc w:val="left"/>
      <w:lvlText w:val="(%1)"/>
      <w:numFmt w:val="lowerLetter"/>
      <w:start w:val="1"/>
    </w:lvl>
  </w:abstractNum>
  <w:abstractNum w:abstractNumId="270">
    <w:nsid w:val="4AD3AFD2"/>
    <w:multiLevelType w:val="hybridMultilevel"/>
    <w:lvl w:ilvl="0">
      <w:lvlJc w:val="left"/>
      <w:lvlText w:val="(%1)"/>
      <w:numFmt w:val="decimal"/>
      <w:start w:val="2"/>
    </w:lvl>
  </w:abstractNum>
  <w:abstractNum w:abstractNumId="271">
    <w:nsid w:val="3CF93092"/>
    <w:multiLevelType w:val="hybridMultilevel"/>
    <w:lvl w:ilvl="0">
      <w:lvlJc w:val="left"/>
      <w:lvlText w:val="(%1)"/>
      <w:numFmt w:val="decimal"/>
      <w:start w:val="90"/>
    </w:lvl>
  </w:abstractNum>
  <w:abstractNum w:abstractNumId="272">
    <w:nsid w:val="6863E8D2"/>
    <w:multiLevelType w:val="hybridMultilevel"/>
    <w:lvl w:ilvl="0">
      <w:lvlJc w:val="left"/>
      <w:lvlText w:val="%1."/>
      <w:numFmt w:val="decimal"/>
      <w:start w:val="2"/>
    </w:lvl>
  </w:abstractNum>
  <w:abstractNum w:abstractNumId="273">
    <w:nsid w:val="76896198"/>
    <w:multiLevelType w:val="hybridMultilevel"/>
    <w:lvl w:ilvl="0">
      <w:lvlJc w:val="left"/>
      <w:lvlText w:val="(%1)"/>
      <w:numFmt w:val="lowerLetter"/>
      <w:start w:val="2"/>
    </w:lvl>
  </w:abstractNum>
  <w:abstractNum w:abstractNumId="274">
    <w:nsid w:val="4365174B"/>
    <w:multiLevelType w:val="hybridMultilevel"/>
    <w:lvl w:ilvl="0">
      <w:lvlJc w:val="left"/>
      <w:lvlText w:val="(%1)"/>
      <w:numFmt w:val="upperLetter"/>
      <w:start w:val="2"/>
    </w:lvl>
  </w:abstractNum>
  <w:abstractNum w:abstractNumId="275">
    <w:nsid w:val="4A872C35"/>
    <w:multiLevelType w:val="hybridMultilevel"/>
    <w:lvl w:ilvl="0">
      <w:lvlJc w:val="left"/>
      <w:lvlText w:val="(%1)"/>
      <w:numFmt w:val="upperLetter"/>
      <w:start w:val="9"/>
    </w:lvl>
  </w:abstractNum>
  <w:abstractNum w:abstractNumId="276">
    <w:nsid w:val="5D5CE761"/>
    <w:multiLevelType w:val="hybridMultilevel"/>
    <w:lvl w:ilvl="0">
      <w:lvlJc w:val="left"/>
      <w:lvlText w:val="%1."/>
      <w:numFmt w:val="decimal"/>
      <w:start w:val="3"/>
    </w:lvl>
  </w:abstractNum>
  <w:abstractNum w:abstractNumId="277">
    <w:nsid w:val="1CD484D5"/>
    <w:multiLevelType w:val="hybridMultilevel"/>
    <w:lvl w:ilvl="0">
      <w:lvlJc w:val="left"/>
      <w:lvlText w:val="%1."/>
      <w:numFmt w:val="decimal"/>
      <w:start w:val="1"/>
    </w:lvl>
  </w:abstractNum>
  <w:abstractNum w:abstractNumId="278">
    <w:nsid w:val="21D06255"/>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279">
    <w:nsid w:val="51194ED1"/>
    <w:multiLevelType w:val="hybridMultilevel"/>
    <w:lvl w:ilvl="0">
      <w:lvlJc w:val="left"/>
      <w:lvlText w:val="%1."/>
      <w:numFmt w:val="decimal"/>
      <w:start w:val="8"/>
    </w:lvl>
    <w:lvl w:ilvl="1">
      <w:lvlJc w:val="left"/>
      <w:lvlText w:val="-"/>
      <w:numFmt w:val="bullet"/>
      <w:start w:val="1"/>
    </w:lvl>
  </w:abstractNum>
  <w:abstractNum w:abstractNumId="280">
    <w:nsid w:val="44E2ED6C"/>
    <w:multiLevelType w:val="hybridMultilevel"/>
    <w:lvl w:ilvl="0">
      <w:lvlJc w:val="left"/>
      <w:lvlText w:val="%1."/>
      <w:numFmt w:val="decimal"/>
      <w:start w:val="9"/>
    </w:lvl>
    <w:lvl w:ilvl="1">
      <w:lvlJc w:val="left"/>
      <w:lvlText w:val="-"/>
      <w:numFmt w:val="bullet"/>
      <w:start w:val="1"/>
    </w:lvl>
  </w:abstractNum>
  <w:abstractNum w:abstractNumId="281">
    <w:nsid w:val="2219B33"/>
    <w:multiLevelType w:val="hybridMultilevel"/>
    <w:lvl w:ilvl="0">
      <w:lvlJc w:val="left"/>
      <w:lvlText w:val="%1."/>
      <w:numFmt w:val="decimal"/>
      <w:start w:val="13"/>
    </w:lvl>
    <w:lvl w:ilvl="1">
      <w:lvlJc w:val="left"/>
      <w:lvlText w:val="-"/>
      <w:numFmt w:val="bullet"/>
      <w:start w:val="1"/>
    </w:lvl>
  </w:abstractNum>
  <w:abstractNum w:abstractNumId="282">
    <w:nsid w:val="773BFBDD"/>
    <w:multiLevelType w:val="hybridMultilevel"/>
    <w:lvl w:ilvl="0">
      <w:lvlJc w:val="left"/>
      <w:lvlText w:val="%1."/>
      <w:numFmt w:val="decimal"/>
      <w:start w:val="19"/>
    </w:lvl>
  </w:abstractNum>
  <w:abstractNum w:abstractNumId="283">
    <w:nsid w:val="2C7C62C2"/>
    <w:multiLevelType w:val="hybridMultilevel"/>
    <w:lvl w:ilvl="0">
      <w:lvlJc w:val="left"/>
      <w:lvlText w:val="%1."/>
      <w:numFmt w:val="decimal"/>
      <w:start w:val="1"/>
    </w:lvl>
    <w:lvl w:ilvl="1">
      <w:lvlJc w:val="left"/>
      <w:lvlText w:val="-"/>
      <w:numFmt w:val="bullet"/>
      <w:start w:val="1"/>
    </w:lvl>
  </w:abstractNum>
  <w:abstractNum w:abstractNumId="284">
    <w:nsid w:val="1A54D7BC"/>
    <w:multiLevelType w:val="hybridMultilevel"/>
    <w:lvl w:ilvl="0">
      <w:lvlJc w:val="left"/>
      <w:lvlText w:val="%1."/>
      <w:numFmt w:val="decimal"/>
      <w:start w:val="7"/>
    </w:lvl>
    <w:lvl w:ilvl="1">
      <w:lvlJc w:val="left"/>
      <w:lvlText w:val="-"/>
      <w:numFmt w:val="bullet"/>
      <w:start w:val="1"/>
    </w:lvl>
  </w:abstractNum>
  <w:abstractNum w:abstractNumId="285">
    <w:nsid w:val="42E57EF7"/>
    <w:multiLevelType w:val="hybridMultilevel"/>
    <w:lvl w:ilvl="0">
      <w:lvlJc w:val="left"/>
      <w:lvlText w:val="%1."/>
      <w:numFmt w:val="decimal"/>
      <w:start w:val="14"/>
    </w:lvl>
    <w:lvl w:ilvl="1">
      <w:lvlJc w:val="left"/>
      <w:lvlText w:val="-"/>
      <w:numFmt w:val="bullet"/>
      <w:start w:val="1"/>
    </w:lvl>
  </w:abstractNum>
  <w:abstractNum w:abstractNumId="286">
    <w:nsid w:val="33537CED"/>
    <w:multiLevelType w:val="hybridMultilevel"/>
    <w:lvl w:ilvl="0">
      <w:lvlJc w:val="left"/>
      <w:lvlText w:val="(%1)"/>
      <w:numFmt w:val="lowerLetter"/>
      <w:start w:val="1"/>
    </w:lvl>
  </w:abstractNum>
  <w:abstractNum w:abstractNumId="287">
    <w:nsid w:val="27514ADE"/>
    <w:multiLevelType w:val="hybridMultilevel"/>
    <w:lvl w:ilvl="0">
      <w:lvlJc w:val="left"/>
      <w:lvlText w:val="(%1)"/>
      <w:numFmt w:val="lowerLetter"/>
      <w:start w:val="5"/>
    </w:lvl>
  </w:abstractNum>
  <w:abstractNum w:abstractNumId="288">
    <w:nsid w:val="57071613"/>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289">
    <w:nsid w:val="5293BFEF"/>
    <w:multiLevelType w:val="hybridMultilevel"/>
    <w:lvl w:ilvl="0">
      <w:lvlJc w:val="left"/>
      <w:lvlText w:val="%1."/>
      <w:numFmt w:val="decimal"/>
      <w:start w:val="1"/>
    </w:lvl>
    <w:lvl w:ilvl="1">
      <w:lvlJc w:val="left"/>
      <w:lvlText w:val="(%2)"/>
      <w:numFmt w:val="lowerRoman"/>
      <w:start w:val="1"/>
    </w:lvl>
  </w:abstractNum>
  <w:abstractNum w:abstractNumId="290">
    <w:nsid w:val="38BF53E5"/>
    <w:multiLevelType w:val="hybridMultilevel"/>
    <w:lvl w:ilvl="0">
      <w:lvlJc w:val="left"/>
      <w:lvlText w:val="%1."/>
      <w:numFmt w:val="decimal"/>
      <w:start w:val="2"/>
    </w:lvl>
  </w:abstractNum>
  <w:abstractNum w:abstractNumId="291">
    <w:nsid w:val="226F5320"/>
    <w:multiLevelType w:val="hybridMultilevel"/>
    <w:lvl w:ilvl="0">
      <w:lvlJc w:val="left"/>
      <w:lvlText w:val="%1."/>
      <w:numFmt w:val="decimal"/>
      <w:start w:val="4"/>
    </w:lvl>
  </w:abstractNum>
  <w:abstractNum w:abstractNumId="292">
    <w:nsid w:val="5A0201C7"/>
    <w:multiLevelType w:val="hybridMultilevel"/>
    <w:lvl w:ilvl="0">
      <w:lvlJc w:val="left"/>
      <w:lvlText w:val="%1."/>
      <w:numFmt w:val="decimal"/>
      <w:start w:val="5"/>
    </w:lvl>
    <w:lvl w:ilvl="1">
      <w:lvlJc w:val="left"/>
      <w:lvlText w:val="(%2)"/>
      <w:numFmt w:val="lowerRoman"/>
      <w:start w:val="1"/>
    </w:lvl>
  </w:abstractNum>
  <w:abstractNum w:abstractNumId="293">
    <w:nsid w:val="2A9C34E2"/>
    <w:multiLevelType w:val="hybridMultilevel"/>
    <w:lvl w:ilvl="0">
      <w:lvlJc w:val="left"/>
      <w:lvlText w:val="(%1)"/>
      <w:numFmt w:val="lowerRoman"/>
      <w:start w:val="6"/>
    </w:lvl>
  </w:abstractNum>
  <w:abstractNum w:abstractNumId="294">
    <w:nsid w:val="1B7585AB"/>
    <w:multiLevelType w:val="hybridMultilevel"/>
    <w:lvl w:ilvl="0">
      <w:lvlJc w:val="left"/>
      <w:lvlText w:val="%1."/>
      <w:numFmt w:val="decimal"/>
      <w:start w:val="6"/>
    </w:lvl>
  </w:abstractNum>
  <w:abstractNum w:abstractNumId="295">
    <w:nsid w:val="612DBDDD"/>
    <w:multiLevelType w:val="hybridMultilevel"/>
    <w:lvl w:ilvl="0">
      <w:lvlJc w:val="left"/>
      <w:lvlText w:val="%1."/>
      <w:numFmt w:val="decimal"/>
      <w:start w:val="7"/>
    </w:lvl>
  </w:abstractNum>
  <w:abstractNum w:abstractNumId="296">
    <w:nsid w:val="2109CDA4"/>
    <w:multiLevelType w:val="hybridMultilevel"/>
    <w:lvl w:ilvl="0">
      <w:lvlJc w:val="left"/>
      <w:lvlText w:val="%1."/>
      <w:numFmt w:val="decimal"/>
      <w:start w:val="9"/>
    </w:lvl>
  </w:abstractNum>
  <w:abstractNum w:abstractNumId="297">
    <w:nsid w:val="577F5A4D"/>
    <w:multiLevelType w:val="hybridMultilevel"/>
    <w:lvl w:ilvl="0">
      <w:lvlJc w:val="left"/>
      <w:lvlText w:val="(%1)"/>
      <w:numFmt w:val="decimal"/>
      <w:start w:val="90"/>
    </w:lvl>
  </w:abstractNum>
  <w:abstractNum w:abstractNumId="298">
    <w:nsid w:val="2121A81"/>
    <w:multiLevelType w:val="hybridMultilevel"/>
    <w:lvl w:ilvl="0">
      <w:lvlJc w:val="left"/>
      <w:lvlText w:val="%1."/>
      <w:numFmt w:val="decimal"/>
      <w:start w:val="11"/>
    </w:lvl>
  </w:abstractNum>
  <w:abstractNum w:abstractNumId="299">
    <w:nsid w:val="6C2CFC88"/>
    <w:multiLevelType w:val="hybridMultilevel"/>
    <w:lvl w:ilvl="0">
      <w:lvlJc w:val="left"/>
      <w:lvlText w:val="%1."/>
      <w:numFmt w:val="decimal"/>
      <w:start w:val="13"/>
    </w:lvl>
  </w:abstractNum>
  <w:abstractNum w:abstractNumId="300">
    <w:nsid w:val="6D1BCF1C"/>
    <w:multiLevelType w:val="hybridMultilevel"/>
    <w:lvl w:ilvl="0">
      <w:lvlJc w:val="left"/>
      <w:lvlText w:val="%1."/>
      <w:numFmt w:val="decimal"/>
      <w:start w:val="15"/>
    </w:lvl>
    <w:lvl w:ilvl="1">
      <w:lvlJc w:val="left"/>
      <w:lvlText w:val="(%2)"/>
      <w:numFmt w:val="lowerLetter"/>
      <w:start w:val="1"/>
    </w:lvl>
  </w:abstractNum>
  <w:abstractNum w:abstractNumId="301">
    <w:nsid w:val="4CE5CA53"/>
    <w:multiLevelType w:val="hybridMultilevel"/>
    <w:lvl w:ilvl="0">
      <w:lvlJc w:val="left"/>
      <w:lvlText w:val="(%1)"/>
      <w:numFmt w:val="lowerRoman"/>
      <w:start w:val="2"/>
    </w:lvl>
  </w:abstractNum>
  <w:abstractNum w:abstractNumId="302">
    <w:nsid w:val="29262D1A"/>
    <w:multiLevelType w:val="hybridMultilevel"/>
    <w:lvl w:ilvl="0">
      <w:lvlJc w:val="left"/>
      <w:lvlText w:val="%1."/>
      <w:numFmt w:val="decimal"/>
      <w:start w:val="16"/>
    </w:lvl>
  </w:abstractNum>
  <w:abstractNum w:abstractNumId="303">
    <w:nsid w:val="557FB7EE"/>
    <w:multiLevelType w:val="hybridMultilevel"/>
    <w:lvl w:ilvl="0">
      <w:lvlJc w:val="left"/>
      <w:lvlText w:val="%1."/>
      <w:numFmt w:val="decimal"/>
      <w:start w:val="17"/>
    </w:lvl>
  </w:abstractNum>
  <w:abstractNum w:abstractNumId="304">
    <w:nsid w:val="436F2BEB"/>
    <w:multiLevelType w:val="hybridMultilevel"/>
    <w:lvl w:ilvl="0">
      <w:lvlJc w:val="left"/>
      <w:lvlText w:val="%1."/>
      <w:numFmt w:val="decimal"/>
      <w:start w:val="19"/>
    </w:lvl>
  </w:abstractNum>
  <w:abstractNum w:abstractNumId="305">
    <w:nsid w:val="6C8B4466"/>
    <w:multiLevelType w:val="hybridMultilevel"/>
    <w:lvl w:ilvl="0">
      <w:lvlJc w:val="left"/>
      <w:lvlText w:val="%1."/>
      <w:numFmt w:val="decimal"/>
      <w:start w:val="20"/>
    </w:lvl>
  </w:abstractNum>
  <w:abstractNum w:abstractNumId="306">
    <w:nsid w:val="2006E424"/>
    <w:multiLevelType w:val="hybridMultilevel"/>
    <w:lvl w:ilvl="0">
      <w:lvlJc w:val="left"/>
      <w:lvlText w:val="%1."/>
      <w:numFmt w:val="decimal"/>
      <w:start w:val="22"/>
    </w:lvl>
  </w:abstractNum>
  <w:abstractNum w:abstractNumId="307">
    <w:nsid w:val="20CC134C"/>
    <w:multiLevelType w:val="hybridMultilevel"/>
    <w:lvl w:ilvl="0">
      <w:lvlJc w:val="left"/>
      <w:lvlText w:val="(%1)"/>
      <w:numFmt w:val="lowerRoman"/>
      <w:start w:val="2"/>
    </w:lvl>
  </w:abstractNum>
  <w:abstractNum w:abstractNumId="308">
    <w:nsid w:val="95FC93B"/>
    <w:multiLevelType w:val="hybridMultilevel"/>
    <w:lvl w:ilvl="0">
      <w:lvlJc w:val="left"/>
      <w:lvlText w:val="%1."/>
      <w:numFmt w:val="decimal"/>
      <w:start w:val="23"/>
    </w:lvl>
  </w:abstractNum>
  <w:abstractNum w:abstractNumId="309">
    <w:nsid w:val="41D74679"/>
    <w:multiLevelType w:val="hybridMultilevel"/>
    <w:lvl w:ilvl="0">
      <w:lvlJc w:val="left"/>
      <w:lvlText w:val="%1."/>
      <w:numFmt w:val="decimal"/>
      <w:start w:val="24"/>
    </w:lvl>
  </w:abstractNum>
  <w:abstractNum w:abstractNumId="310">
    <w:nsid w:val="71E5621E"/>
    <w:multiLevelType w:val="hybridMultilevel"/>
    <w:lvl w:ilvl="0">
      <w:lvlJc w:val="left"/>
      <w:lvlText w:val="%1."/>
      <w:numFmt w:val="decimal"/>
      <w:start w:val="26"/>
    </w:lvl>
  </w:abstractNum>
  <w:abstractNum w:abstractNumId="311">
    <w:nsid w:val="4E42B6A8"/>
    <w:multiLevelType w:val="hybridMultilevel"/>
    <w:lvl w:ilvl="0">
      <w:lvlJc w:val="left"/>
      <w:lvlText w:val="(%1)"/>
      <w:numFmt w:val="lowerRoman"/>
      <w:start w:val="1"/>
    </w:lvl>
  </w:abstractNum>
  <w:abstractNum w:abstractNumId="312">
    <w:nsid w:val="43F8E1AC"/>
    <w:multiLevelType w:val="hybridMultilevel"/>
    <w:lvl w:ilvl="0">
      <w:lvlJc w:val="left"/>
      <w:lvlText w:val="(%1)"/>
      <w:numFmt w:val="lowerRoman"/>
      <w:start w:val="4"/>
    </w:lvl>
  </w:abstractNum>
  <w:abstractNum w:abstractNumId="313">
    <w:nsid w:val="69215DFB"/>
    <w:multiLevelType w:val="hybridMultilevel"/>
    <w:lvl w:ilvl="0">
      <w:lvlJc w:val="left"/>
      <w:lvlText w:val="%1."/>
      <w:numFmt w:val="decimal"/>
      <w:start w:val="27"/>
    </w:lvl>
    <w:lvl w:ilvl="1">
      <w:lvlJc w:val="left"/>
      <w:lvlText w:val="27.%2."/>
      <w:numFmt w:val="decimal"/>
      <w:start w:val="1"/>
    </w:lvl>
  </w:abstractNum>
  <w:abstractNum w:abstractNumId="314">
    <w:nsid w:val="7ABF196A"/>
    <w:multiLevelType w:val="hybridMultilevel"/>
    <w:lvl w:ilvl="0">
      <w:lvlJc w:val="left"/>
      <w:lvlText w:val="%1"/>
      <w:numFmt w:val="decimal"/>
      <w:start w:val="1"/>
    </w:lvl>
    <w:lvl w:ilvl="1">
      <w:lvlJc w:val="left"/>
      <w:lvlText w:val="%2."/>
      <w:numFmt w:val="decimal"/>
      <w:start w:val="29"/>
    </w:lvl>
  </w:abstractNum>
  <w:abstractNum w:abstractNumId="315">
    <w:nsid w:val="5E4DB968"/>
    <w:multiLevelType w:val="hybridMultilevel"/>
    <w:lvl w:ilvl="0">
      <w:lvlJc w:val="left"/>
      <w:lvlText w:val="%1."/>
      <w:numFmt w:val="decimal"/>
      <w:start w:val="30"/>
    </w:lvl>
  </w:abstractNum>
  <w:abstractNum w:abstractNumId="316">
    <w:nsid w:val="2C06DCF3"/>
    <w:multiLevelType w:val="hybridMultilevel"/>
    <w:lvl w:ilvl="0">
      <w:lvlJc w:val="left"/>
      <w:lvlText w:val="%1."/>
      <w:numFmt w:val="decimal"/>
      <w:start w:val="32"/>
    </w:lvl>
  </w:abstractNum>
  <w:abstractNum w:abstractNumId="317">
    <w:nsid w:val="2E129658"/>
    <w:multiLevelType w:val="hybridMultilevel"/>
    <w:lvl w:ilvl="0">
      <w:lvlJc w:val="left"/>
      <w:lvlText w:val="%1."/>
      <w:numFmt w:val="decimal"/>
      <w:start w:val="34"/>
    </w:lvl>
  </w:abstractNum>
  <w:abstractNum w:abstractNumId="318">
    <w:nsid w:val="59F0446"/>
    <w:multiLevelType w:val="hybridMultilevel"/>
    <w:lvl w:ilvl="0">
      <w:lvlJc w:val="left"/>
      <w:lvlText w:val="%1."/>
      <w:numFmt w:val="decimal"/>
      <w:start w:val="36"/>
    </w:lvl>
  </w:abstractNum>
  <w:abstractNum w:abstractNumId="319">
    <w:nsid w:val="30DF306"/>
    <w:multiLevelType w:val="hybridMultilevel"/>
    <w:lvl w:ilvl="0">
      <w:lvlJc w:val="left"/>
      <w:lvlText w:val="%1."/>
      <w:numFmt w:val="decimal"/>
      <w:start w:val="38"/>
    </w:lvl>
  </w:abstractNum>
  <w:abstractNum w:abstractNumId="320">
    <w:nsid w:val="A65647"/>
    <w:multiLevelType w:val="hybridMultilevel"/>
    <w:lvl w:ilvl="0">
      <w:lvlJc w:val="left"/>
      <w:lvlText w:val="%1."/>
      <w:numFmt w:val="decimal"/>
      <w:start w:val="40"/>
    </w:lvl>
  </w:abstractNum>
  <w:abstractNum w:abstractNumId="321">
    <w:nsid w:val="3E5E582B"/>
    <w:multiLevelType w:val="hybridMultilevel"/>
    <w:lvl w:ilvl="0">
      <w:lvlJc w:val="left"/>
      <w:lvlText w:val="%1."/>
      <w:numFmt w:val="decimal"/>
      <w:start w:val="42"/>
    </w:lvl>
  </w:abstractNum>
  <w:abstractNum w:abstractNumId="322">
    <w:nsid w:val="257D4626"/>
    <w:multiLevelType w:val="hybridMultilevel"/>
    <w:lvl w:ilvl="0">
      <w:lvlJc w:val="left"/>
      <w:lvlText w:val="%1."/>
      <w:numFmt w:val="decimal"/>
      <w:start w:val="44"/>
    </w:lvl>
  </w:abstractNum>
  <w:abstractNum w:abstractNumId="323">
    <w:nsid w:val="5AA8580E"/>
    <w:multiLevelType w:val="hybridMultilevel"/>
    <w:lvl w:ilvl="0">
      <w:lvlJc w:val="left"/>
      <w:lvlText w:val="%1."/>
      <w:numFmt w:val="decimal"/>
      <w:start w:val="1"/>
    </w:lvl>
  </w:abstractNum>
  <w:abstractNum w:abstractNumId="324">
    <w:nsid w:val="68FA8D0D"/>
    <w:multiLevelType w:val="hybridMultilevel"/>
    <w:lvl w:ilvl="0">
      <w:lvlJc w:val="left"/>
      <w:lvlText w:val="(%1)"/>
      <w:numFmt w:val="lowerRoman"/>
      <w:start w:val="1"/>
    </w:lvl>
  </w:abstractNum>
  <w:abstractNum w:abstractNumId="325">
    <w:nsid w:val="40F2CBD2"/>
    <w:multiLevelType w:val="hybridMultilevel"/>
    <w:lvl w:ilvl="0">
      <w:lvlJc w:val="left"/>
      <w:lvlText w:val="%1."/>
      <w:numFmt w:val="decimal"/>
      <w:start w:val="2"/>
    </w:lvl>
  </w:abstractNum>
  <w:abstractNum w:abstractNumId="326">
    <w:nsid w:val="3BD615EB"/>
    <w:multiLevelType w:val="hybridMultilevel"/>
    <w:lvl w:ilvl="0">
      <w:lvlJc w:val="left"/>
      <w:lvlText w:val="(%1)"/>
      <w:numFmt w:val="lowerRoman"/>
      <w:start w:val="1"/>
    </w:lvl>
  </w:abstractNum>
  <w:abstractNum w:abstractNumId="327">
    <w:nsid w:val="A045AB2"/>
    <w:multiLevelType w:val="hybridMultilevel"/>
    <w:lvl w:ilvl="0">
      <w:lvlJc w:val="left"/>
      <w:lvlText w:val="%1."/>
      <w:numFmt w:val="decimal"/>
      <w:start w:val="3"/>
    </w:lvl>
  </w:abstractNum>
  <w:abstractNum w:abstractNumId="328">
    <w:nsid w:val="1872261F"/>
    <w:multiLevelType w:val="hybridMultilevel"/>
    <w:lvl w:ilvl="0">
      <w:lvlJc w:val="left"/>
      <w:lvlText w:val="(%1)"/>
      <w:numFmt w:val="lowerRoman"/>
      <w:start w:val="1"/>
    </w:lvl>
  </w:abstractNum>
  <w:abstractNum w:abstractNumId="329">
    <w:nsid w:val="3DE8306C"/>
    <w:multiLevelType w:val="hybridMultilevel"/>
    <w:lvl w:ilvl="0">
      <w:lvlJc w:val="left"/>
      <w:lvlText w:val="(%1)"/>
      <w:numFmt w:val="lowerRoman"/>
      <w:start w:val="7"/>
    </w:lvl>
  </w:abstractNum>
  <w:abstractNum w:abstractNumId="330">
    <w:nsid w:val="7631573A"/>
    <w:multiLevelType w:val="hybridMultilevel"/>
    <w:lvl w:ilvl="0">
      <w:lvlJc w:val="left"/>
      <w:lvlText w:val="%1."/>
      <w:numFmt w:val="decimal"/>
      <w:start w:val="4"/>
    </w:lvl>
  </w:abstractNum>
  <w:abstractNum w:abstractNumId="331">
    <w:nsid w:val="58DF53B"/>
    <w:multiLevelType w:val="hybridMultilevel"/>
    <w:lvl w:ilvl="0">
      <w:lvlJc w:val="left"/>
      <w:lvlText w:val="%1."/>
      <w:numFmt w:val="decimal"/>
      <w:start w:val="5"/>
    </w:lvl>
  </w:abstractNum>
  <w:abstractNum w:abstractNumId="332">
    <w:nsid w:val="ACDFAC0"/>
    <w:multiLevelType w:val="hybridMultilevel"/>
    <w:lvl w:ilvl="0">
      <w:lvlJc w:val="left"/>
      <w:lvlText w:val="%1."/>
      <w:numFmt w:val="decimal"/>
      <w:start w:val="6"/>
    </w:lvl>
  </w:abstractNum>
  <w:abstractNum w:abstractNumId="333">
    <w:nsid w:val="1F578454"/>
    <w:multiLevelType w:val="hybridMultilevel"/>
    <w:lvl w:ilvl="0">
      <w:lvlJc w:val="left"/>
      <w:lvlText w:val="(%1)"/>
      <w:numFmt w:val="lowerRoman"/>
      <w:start w:val="2"/>
    </w:lvl>
  </w:abstractNum>
  <w:abstractNum w:abstractNumId="334">
    <w:nsid w:val="5B0DAD2A"/>
    <w:multiLevelType w:val="hybridMultilevel"/>
    <w:lvl w:ilvl="0">
      <w:lvlJc w:val="left"/>
      <w:lvlText w:val="(%1)"/>
      <w:numFmt w:val="lowerRoman"/>
      <w:start w:val="1"/>
    </w:lvl>
  </w:abstractNum>
  <w:abstractNum w:abstractNumId="335">
    <w:nsid w:val="4E3D26AB"/>
    <w:multiLevelType w:val="hybridMultilevel"/>
    <w:lvl w:ilvl="0">
      <w:lvlJc w:val="left"/>
      <w:lvlText w:val="(%1)"/>
      <w:numFmt w:val="lowerRoman"/>
      <w:start w:val="1"/>
    </w:lvl>
  </w:abstractNum>
  <w:abstractNum w:abstractNumId="336">
    <w:nsid w:val="BE2C8BA"/>
    <w:multiLevelType w:val="hybridMultilevel"/>
    <w:lvl w:ilvl="0">
      <w:lvlJc w:val="left"/>
      <w:lvlText w:val="(%1)"/>
      <w:numFmt w:val="lowerRoman"/>
      <w:start w:val="4"/>
    </w:lvl>
  </w:abstractNum>
  <w:abstractNum w:abstractNumId="337">
    <w:nsid w:val="7B14914E"/>
    <w:multiLevelType w:val="hybridMultilevel"/>
    <w:lvl w:ilvl="0">
      <w:lvlJc w:val="left"/>
      <w:lvlText w:val="%1."/>
      <w:numFmt w:val="decimal"/>
      <w:start w:val="7"/>
    </w:lvl>
  </w:abstractNum>
  <w:abstractNum w:abstractNumId="338">
    <w:nsid w:val="6F0939F8"/>
    <w:multiLevelType w:val="hybridMultilevel"/>
    <w:lvl w:ilvl="0">
      <w:lvlJc w:val="left"/>
      <w:lvlText w:val="%1."/>
      <w:numFmt w:val="decimal"/>
      <w:start w:val="8"/>
    </w:lvl>
  </w:abstractNum>
  <w:abstractNum w:abstractNumId="339">
    <w:nsid w:val="154291F6"/>
    <w:multiLevelType w:val="hybridMultilevel"/>
    <w:lvl w:ilvl="0">
      <w:lvlJc w:val="left"/>
      <w:lvlText w:val="%1."/>
      <w:numFmt w:val="decimal"/>
      <w:start w:val="9"/>
    </w:lvl>
  </w:abstractNum>
  <w:abstractNum w:abstractNumId="340">
    <w:nsid w:val="3CEBD7C7"/>
    <w:multiLevelType w:val="hybridMultilevel"/>
    <w:lvl w:ilvl="0">
      <w:lvlJc w:val="left"/>
      <w:lvlText w:val="(%1)"/>
      <w:numFmt w:val="lowerRoman"/>
      <w:start w:val="1"/>
    </w:lvl>
  </w:abstractNum>
  <w:abstractNum w:abstractNumId="341">
    <w:nsid w:val="60EE9C16"/>
    <w:multiLevelType w:val="hybridMultilevel"/>
    <w:lvl w:ilvl="0">
      <w:lvlJc w:val="left"/>
      <w:lvlText w:val="%1."/>
      <w:numFmt w:val="decimal"/>
      <w:start w:val="10"/>
    </w:lvl>
  </w:abstractNum>
  <w:abstractNum w:abstractNumId="342">
    <w:nsid w:val="6385489E"/>
    <w:multiLevelType w:val="hybridMultilevel"/>
    <w:lvl w:ilvl="0">
      <w:lvlJc w:val="left"/>
      <w:lvlText w:val="%1."/>
      <w:numFmt w:val="decimal"/>
      <w:start w:val="11"/>
    </w:lvl>
  </w:abstractNum>
  <w:abstractNum w:abstractNumId="343">
    <w:nsid w:val="E4B973"/>
    <w:multiLevelType w:val="hybridMultilevel"/>
    <w:lvl w:ilvl="0">
      <w:lvlJc w:val="left"/>
      <w:lvlText w:val="%1."/>
      <w:numFmt w:val="decimal"/>
      <w:start w:val="12"/>
    </w:lvl>
  </w:abstractNum>
  <w:abstractNum w:abstractNumId="344">
    <w:nsid w:val="4A0FFA11"/>
    <w:multiLevelType w:val="hybridMultilevel"/>
    <w:lvl w:ilvl="0">
      <w:lvlJc w:val="left"/>
      <w:lvlText w:val="%1."/>
      <w:numFmt w:val="decimal"/>
      <w:start w:val="13"/>
    </w:lvl>
  </w:abstractNum>
  <w:abstractNum w:abstractNumId="345">
    <w:nsid w:val="5E446208"/>
    <w:multiLevelType w:val="hybridMultilevel"/>
    <w:lvl w:ilvl="0">
      <w:lvlJc w:val="left"/>
      <w:lvlText w:val="%1."/>
      <w:numFmt w:val="decimal"/>
      <w:start w:val="14"/>
    </w:lvl>
  </w:abstractNum>
  <w:abstractNum w:abstractNumId="346">
    <w:nsid w:val="5F3272DB"/>
    <w:multiLevelType w:val="hybridMultilevel"/>
    <w:lvl w:ilvl="0">
      <w:lvlJc w:val="left"/>
      <w:lvlText w:val="(%1)"/>
      <w:numFmt w:val="lowerRoman"/>
      <w:start w:val="2"/>
    </w:lvl>
  </w:abstractNum>
  <w:abstractNum w:abstractNumId="347">
    <w:nsid w:val="7616D704"/>
    <w:multiLevelType w:val="hybridMultilevel"/>
    <w:lvl w:ilvl="0">
      <w:lvlJc w:val="left"/>
      <w:lvlText w:val="%1."/>
      <w:numFmt w:val="decimal"/>
      <w:start w:val="15"/>
    </w:lvl>
  </w:abstractNum>
  <w:abstractNum w:abstractNumId="348">
    <w:nsid w:val="C56F860"/>
    <w:multiLevelType w:val="hybridMultilevel"/>
    <w:lvl w:ilvl="0">
      <w:lvlJc w:val="left"/>
      <w:lvlText w:val="%1."/>
      <w:numFmt w:val="decimal"/>
      <w:start w:val="16"/>
    </w:lvl>
  </w:abstractNum>
  <w:abstractNum w:abstractNumId="349">
    <w:nsid w:val="64D17722"/>
    <w:multiLevelType w:val="hybridMultilevel"/>
    <w:lvl w:ilvl="0">
      <w:lvlJc w:val="left"/>
      <w:lvlText w:val="%1."/>
      <w:numFmt w:val="decimal"/>
      <w:start w:val="17"/>
    </w:lvl>
  </w:abstractNum>
  <w:abstractNum w:abstractNumId="350">
    <w:nsid w:val="7924CA0A"/>
    <w:multiLevelType w:val="hybridMultilevel"/>
    <w:lvl w:ilvl="0">
      <w:lvlJc w:val="left"/>
      <w:lvlText w:val="%1."/>
      <w:numFmt w:val="decimal"/>
      <w:start w:val="19"/>
    </w:lvl>
  </w:abstractNum>
  <w:abstractNum w:abstractNumId="351">
    <w:nsid w:val="CFD4EA7"/>
    <w:multiLevelType w:val="hybridMultilevel"/>
    <w:lvl w:ilvl="0">
      <w:lvlJc w:val="left"/>
      <w:lvlText w:val="%1."/>
      <w:numFmt w:val="decimal"/>
      <w:start w:val="20"/>
    </w:lvl>
  </w:abstractNum>
  <w:abstractNum w:abstractNumId="352">
    <w:nsid w:val="232FCF4D"/>
    <w:multiLevelType w:val="hybridMultilevel"/>
    <w:lvl w:ilvl="0">
      <w:lvlJc w:val="left"/>
      <w:lvlText w:val="%1."/>
      <w:numFmt w:val="decimal"/>
      <w:start w:val="21"/>
    </w:lvl>
  </w:abstractNum>
  <w:abstractNum w:abstractNumId="353">
    <w:nsid w:val="1EA21031"/>
    <w:multiLevelType w:val="hybridMultilevel"/>
    <w:lvl w:ilvl="0">
      <w:lvlJc w:val="left"/>
      <w:lvlText w:val="%1."/>
      <w:numFmt w:val="decimal"/>
      <w:start w:val="22"/>
    </w:lvl>
  </w:abstractNum>
  <w:abstractNum w:abstractNumId="354">
    <w:nsid w:val="67A5A6B5"/>
    <w:multiLevelType w:val="hybridMultilevel"/>
    <w:lvl w:ilvl="0">
      <w:lvlJc w:val="left"/>
      <w:lvlText w:val="%1."/>
      <w:numFmt w:val="decimal"/>
      <w:start w:val="23"/>
    </w:lvl>
  </w:abstractNum>
  <w:abstractNum w:abstractNumId="355">
    <w:nsid w:val="C2A5C5B"/>
    <w:multiLevelType w:val="hybridMultilevel"/>
    <w:lvl w:ilvl="0">
      <w:lvlJc w:val="left"/>
      <w:lvlText w:val="%1."/>
      <w:numFmt w:val="decimal"/>
      <w:start w:val="24"/>
    </w:lvl>
  </w:abstractNum>
  <w:abstractNum w:abstractNumId="356">
    <w:nsid w:val="5F94DC03"/>
    <w:multiLevelType w:val="hybridMultilevel"/>
    <w:lvl w:ilvl="0">
      <w:lvlJc w:val="left"/>
      <w:lvlText w:val="%1."/>
      <w:numFmt w:val="decimal"/>
      <w:start w:val="25"/>
    </w:lvl>
  </w:abstractNum>
  <w:abstractNum w:abstractNumId="357">
    <w:nsid w:val="237BBCA0"/>
    <w:multiLevelType w:val="hybridMultilevel"/>
    <w:lvl w:ilvl="0">
      <w:lvlJc w:val="left"/>
      <w:lvlText w:val="%1."/>
      <w:numFmt w:val="decimal"/>
      <w:start w:val="26"/>
    </w:lvl>
  </w:abstractNum>
  <w:abstractNum w:abstractNumId="358">
    <w:nsid w:val="162EB70D"/>
    <w:multiLevelType w:val="hybridMultilevel"/>
    <w:lvl w:ilvl="0">
      <w:lvlJc w:val="left"/>
      <w:lvlText w:val="%1."/>
      <w:numFmt w:val="decimal"/>
      <w:start w:val="27"/>
    </w:lvl>
  </w:abstractNum>
  <w:abstractNum w:abstractNumId="359">
    <w:nsid w:val="78070222"/>
    <w:multiLevelType w:val="hybridMultilevel"/>
    <w:lvl w:ilvl="0">
      <w:lvlJc w:val="left"/>
      <w:lvlText w:val="%1."/>
      <w:numFmt w:val="decimal"/>
      <w:start w:val="28"/>
    </w:lvl>
  </w:abstractNum>
  <w:abstractNum w:abstractNumId="360">
    <w:nsid w:val="6163ED0D"/>
    <w:multiLevelType w:val="hybridMultilevel"/>
    <w:lvl w:ilvl="0">
      <w:lvlJc w:val="left"/>
      <w:lvlText w:val="[***]"/>
      <w:numFmt w:val="bullet"/>
      <w:start w:val="1"/>
    </w:lvl>
  </w:abstractNum>
  <w:abstractNum w:abstractNumId="361">
    <w:nsid w:val="C600E47"/>
    <w:multiLevelType w:val="hybridMultilevel"/>
    <w:lvl w:ilvl="0">
      <w:lvlJc w:val="left"/>
      <w:lvlText w:val="(%1)"/>
      <w:numFmt w:val="upperLetter"/>
      <w:start w:val="1"/>
    </w:lvl>
  </w:abstractNum>
  <w:abstractNum w:abstractNumId="362">
    <w:nsid w:val="7D94F75D"/>
    <w:multiLevelType w:val="hybridMultilevel"/>
    <w:lvl w:ilvl="0">
      <w:lvlJc w:val="left"/>
      <w:lvlText w:val="%1."/>
      <w:numFmt w:val="decimal"/>
      <w:start w:val="1"/>
    </w:lvl>
  </w:abstractNum>
  <w:abstractNum w:abstractNumId="363">
    <w:nsid w:val="6C31E7CD"/>
    <w:multiLevelType w:val="hybridMultilevel"/>
    <w:lvl w:ilvl="0">
      <w:lvlJc w:val="left"/>
      <w:lvlText w:val="%1."/>
      <w:numFmt w:val="decimal"/>
      <w:start w:val="2"/>
    </w:lvl>
  </w:abstractNum>
  <w:abstractNum w:abstractNumId="364">
    <w:nsid w:val="2BB7929B"/>
    <w:multiLevelType w:val="hybridMultilevel"/>
    <w:lvl w:ilvl="0">
      <w:lvlJc w:val="left"/>
      <w:lvlText w:val="%1."/>
      <w:numFmt w:val="decimal"/>
      <w:start w:val="3"/>
    </w:lvl>
  </w:abstractNum>
  <w:abstractNum w:abstractNumId="365">
    <w:nsid w:val="58A2A487"/>
    <w:multiLevelType w:val="hybridMultilevel"/>
    <w:lvl w:ilvl="0">
      <w:lvlJc w:val="left"/>
      <w:lvlText w:val="%1."/>
      <w:numFmt w:val="decimal"/>
      <w:start w:val="4"/>
    </w:lvl>
  </w:abstractNum>
  <w:abstractNum w:abstractNumId="366">
    <w:nsid w:val="3A6F0E78"/>
    <w:multiLevelType w:val="hybridMultilevel"/>
    <w:lvl w:ilvl="0">
      <w:lvlJc w:val="left"/>
      <w:lvlText w:val="%1."/>
      <w:numFmt w:val="decimal"/>
      <w:start w:val="5"/>
    </w:lvl>
  </w:abstractNum>
  <w:abstractNum w:abstractNumId="367">
    <w:nsid w:val="379A5B56"/>
    <w:multiLevelType w:val="hybridMultilevel"/>
    <w:lvl w:ilvl="0">
      <w:lvlJc w:val="left"/>
      <w:lvlText w:val="%1."/>
      <w:numFmt w:val="decimal"/>
      <w:start w:val="6"/>
    </w:lvl>
  </w:abstractNum>
  <w:abstractNum w:abstractNumId="368">
    <w:nsid w:val="53B735D5"/>
    <w:multiLevelType w:val="hybridMultilevel"/>
    <w:lvl w:ilvl="0">
      <w:lvlJc w:val="left"/>
      <w:lvlText w:val="(%1)"/>
      <w:numFmt w:val="lowerRoman"/>
      <w:start w:val="2"/>
    </w:lvl>
  </w:abstractNum>
  <w:abstractNum w:abstractNumId="369">
    <w:nsid w:val="29784870"/>
    <w:multiLevelType w:val="hybridMultilevel"/>
    <w:lvl w:ilvl="0">
      <w:lvlJc w:val="left"/>
      <w:lvlText w:val="%1."/>
      <w:numFmt w:val="decimal"/>
      <w:start w:val="7"/>
    </w:lvl>
  </w:abstractNum>
  <w:abstractNum w:abstractNumId="370">
    <w:nsid w:val="4CDCED4C"/>
    <w:multiLevelType w:val="hybridMultilevel"/>
    <w:lvl w:ilvl="0">
      <w:lvlJc w:val="left"/>
      <w:lvlText w:val="%1."/>
      <w:numFmt w:val="decimal"/>
      <w:start w:val="8"/>
    </w:lvl>
  </w:abstractNum>
  <w:abstractNum w:abstractNumId="371">
    <w:nsid w:val="10A30D9C"/>
    <w:multiLevelType w:val="hybridMultilevel"/>
    <w:lvl w:ilvl="0">
      <w:lvlJc w:val="left"/>
      <w:lvlText w:val="%1."/>
      <w:numFmt w:val="decimal"/>
      <w:start w:val="9"/>
    </w:lvl>
  </w:abstractNum>
  <w:abstractNum w:abstractNumId="372">
    <w:nsid w:val="A66E486"/>
    <w:multiLevelType w:val="hybridMultilevel"/>
    <w:lvl w:ilvl="0">
      <w:lvlJc w:val="left"/>
      <w:lvlText w:val="%1."/>
      <w:numFmt w:val="decimal"/>
      <w:start w:val="10"/>
    </w:lvl>
  </w:abstractNum>
  <w:abstractNum w:abstractNumId="373">
    <w:nsid w:val="306235EA"/>
    <w:multiLevelType w:val="hybridMultilevel"/>
    <w:lvl w:ilvl="0">
      <w:lvlJc w:val="left"/>
      <w:lvlText w:val="%1."/>
      <w:numFmt w:val="decimal"/>
      <w:start w:val="11"/>
    </w:lvl>
  </w:abstractNum>
  <w:abstractNum w:abstractNumId="374">
    <w:nsid w:val="1187C70F"/>
    <w:multiLevelType w:val="hybridMultilevel"/>
    <w:lvl w:ilvl="0">
      <w:lvlJc w:val="left"/>
      <w:lvlText w:val="%1."/>
      <w:numFmt w:val="decimal"/>
      <w:start w:val="12"/>
    </w:lvl>
  </w:abstractNum>
  <w:abstractNum w:abstractNumId="375">
    <w:nsid w:val="5476DE98"/>
    <w:multiLevelType w:val="hybridMultilevel"/>
    <w:lvl w:ilvl="0">
      <w:lvlJc w:val="left"/>
      <w:lvlText w:val="%1."/>
      <w:numFmt w:val="decimal"/>
      <w:start w:val="13"/>
    </w:lvl>
  </w:abstractNum>
  <w:abstractNum w:abstractNumId="376">
    <w:nsid w:val="EA697F2"/>
    <w:multiLevelType w:val="hybridMultilevel"/>
    <w:lvl w:ilvl="0">
      <w:lvlJc w:val="left"/>
      <w:lvlText w:val="%1."/>
      <w:numFmt w:val="decimal"/>
      <w:start w:val="14"/>
    </w:lvl>
  </w:abstractNum>
  <w:abstractNum w:abstractNumId="377">
    <w:nsid w:val="70BA39EB"/>
    <w:multiLevelType w:val="hybridMultilevel"/>
    <w:lvl w:ilvl="0">
      <w:lvlJc w:val="left"/>
      <w:lvlText w:val="%1."/>
      <w:numFmt w:val="decimal"/>
      <w:start w:val="15"/>
    </w:lvl>
  </w:abstractNum>
  <w:abstractNum w:abstractNumId="378">
    <w:nsid w:val="4A8DB59C"/>
    <w:multiLevelType w:val="hybridMultilevel"/>
    <w:lvl w:ilvl="0">
      <w:lvlJc w:val="left"/>
      <w:lvlText w:val="%1."/>
      <w:numFmt w:val="decimal"/>
      <w:start w:val="16"/>
    </w:lvl>
  </w:abstractNum>
  <w:abstractNum w:abstractNumId="379">
    <w:nsid w:val="1AFD9053"/>
    <w:multiLevelType w:val="hybridMultilevel"/>
    <w:lvl w:ilvl="0">
      <w:lvlJc w:val="left"/>
      <w:lvlText w:val="%1."/>
      <w:numFmt w:val="decimal"/>
      <w:start w:val="17"/>
    </w:lvl>
  </w:abstractNum>
  <w:abstractNum w:abstractNumId="380">
    <w:nsid w:val="558BB10D"/>
    <w:multiLevelType w:val="hybridMultilevel"/>
    <w:lvl w:ilvl="0">
      <w:lvlJc w:val="left"/>
      <w:lvlText w:val="%1."/>
      <w:numFmt w:val="decimal"/>
      <w:start w:val="18"/>
    </w:lvl>
  </w:abstractNum>
  <w:abstractNum w:abstractNumId="381">
    <w:nsid w:val="43B27FA7"/>
    <w:multiLevelType w:val="hybridMultilevel"/>
    <w:lvl w:ilvl="0">
      <w:lvlJc w:val="left"/>
      <w:lvlText w:val="[***]"/>
      <w:numFmt w:val="bullet"/>
      <w:start w:val="1"/>
    </w:lvl>
  </w:abstractNum>
  <w:abstractNum w:abstractNumId="382">
    <w:nsid w:val="27FADEFA"/>
    <w:multiLevelType w:val="hybridMultilevel"/>
    <w:lvl w:ilvl="0">
      <w:lvlJc w:val="left"/>
      <w:lvlText w:val="(%1)"/>
      <w:numFmt w:val="lowerLetter"/>
      <w:start w:val="1"/>
    </w:lvl>
  </w:abstractNum>
  <w:abstractNum w:abstractNumId="383">
    <w:nsid w:val="78BB805A"/>
    <w:multiLevelType w:val="hybridMultilevel"/>
    <w:lvl w:ilvl="0">
      <w:lvlJc w:val="left"/>
      <w:lvlText w:val="(%1)"/>
      <w:numFmt w:val="lowerRoman"/>
      <w:start w:val="1"/>
    </w:lvl>
  </w:abstractNum>
  <w:abstractNum w:abstractNumId="384">
    <w:nsid w:val="62548FD8"/>
    <w:multiLevelType w:val="hybridMultilevel"/>
    <w:lvl w:ilvl="0">
      <w:lvlJc w:val="left"/>
      <w:lvlText w:val="(%1)"/>
      <w:numFmt w:val="decimal"/>
      <w:start w:val="3"/>
    </w:lvl>
  </w:abstractNum>
  <w:abstractNum w:abstractNumId="385">
    <w:nsid w:val="FA085B0"/>
    <w:multiLevelType w:val="hybridMultilevel"/>
    <w:lvl w:ilvl="0">
      <w:lvlJc w:val="left"/>
      <w:lvlText w:val="%1."/>
      <w:numFmt w:val="decimal"/>
      <w:start w:val="1"/>
    </w:lvl>
  </w:abstractNum>
  <w:abstractNum w:abstractNumId="386">
    <w:nsid w:val="4E5DCB5"/>
    <w:multiLevelType w:val="hybridMultilevel"/>
    <w:lvl w:ilvl="0">
      <w:lvlJc w:val="left"/>
      <w:lvlText w:val="%1."/>
      <w:numFmt w:val="decimal"/>
      <w:start w:val="1"/>
    </w:lvl>
  </w:abstractNum>
  <w:abstractNum w:abstractNumId="387">
    <w:nsid w:val="41E96BDB"/>
    <w:multiLevelType w:val="hybridMultilevel"/>
    <w:lvl w:ilvl="0">
      <w:lvlJc w:val="left"/>
      <w:lvlText w:val="%1."/>
      <w:numFmt w:val="decimal"/>
      <w:start w:val="1"/>
    </w:lvl>
  </w:abstractNum>
  <w:abstractNum w:abstractNumId="388">
    <w:nsid w:val="331C4250"/>
    <w:multiLevelType w:val="hybridMultilevel"/>
    <w:lvl w:ilvl="0">
      <w:lvlJc w:val="left"/>
      <w:lvlText w:val="%1."/>
      <w:numFmt w:val="decimal"/>
      <w:start w:val="3"/>
    </w:lvl>
  </w:abstractNum>
  <w:abstractNum w:abstractNumId="389">
    <w:nsid w:val="1B1493C2"/>
    <w:multiLevelType w:val="hybridMultilevel"/>
    <w:lvl w:ilvl="0">
      <w:lvlJc w:val="left"/>
      <w:lvlText w:val="%1."/>
      <w:numFmt w:val="decimal"/>
      <w:start w:val="6"/>
    </w:lvl>
  </w:abstractNum>
  <w:abstractNum w:abstractNumId="390">
    <w:nsid w:val="39F06DFD"/>
    <w:multiLevelType w:val="hybridMultilevel"/>
    <w:lvl w:ilvl="0">
      <w:lvlJc w:val="left"/>
      <w:lvlText w:val="%1."/>
      <w:numFmt w:val="decimal"/>
      <w:start w:val="7"/>
    </w:lvl>
  </w:abstractNum>
  <w:abstractNum w:abstractNumId="391">
    <w:nsid w:val="14802F5D"/>
    <w:multiLevelType w:val="hybridMultilevel"/>
    <w:lvl w:ilvl="0">
      <w:lvlJc w:val="left"/>
      <w:lvlText w:val="%1."/>
      <w:numFmt w:val="decimal"/>
      <w:start w:val="8"/>
    </w:lvl>
  </w:abstractNum>
  <w:abstractNum w:abstractNumId="392">
    <w:nsid w:val="2774A209"/>
    <w:multiLevelType w:val="hybridMultilevel"/>
    <w:lvl w:ilvl="0">
      <w:lvlJc w:val="left"/>
      <w:lvlText w:val="%1."/>
      <w:numFmt w:val="decimal"/>
      <w:start w:val="10"/>
    </w:lvl>
  </w:abstractNum>
  <w:abstractNum w:abstractNumId="393">
    <w:nsid w:val="3785655A"/>
    <w:multiLevelType w:val="hybridMultilevel"/>
    <w:lvl w:ilvl="0">
      <w:lvlJc w:val="left"/>
      <w:lvlText w:val="%1."/>
      <w:numFmt w:val="decimal"/>
      <w:start w:val="12"/>
    </w:lvl>
  </w:abstractNum>
  <w:abstractNum w:abstractNumId="394">
    <w:nsid w:val="B2172A"/>
    <w:multiLevelType w:val="hybridMultilevel"/>
    <w:lvl w:ilvl="0">
      <w:lvlJc w:val="left"/>
      <w:lvlText w:val="%1."/>
      <w:numFmt w:val="decimal"/>
      <w:start w:val="14"/>
    </w:lvl>
  </w:abstractNum>
  <w:abstractNum w:abstractNumId="395">
    <w:nsid w:val="532C34A5"/>
    <w:multiLevelType w:val="hybridMultilevel"/>
    <w:lvl w:ilvl="0">
      <w:lvlJc w:val="left"/>
      <w:lvlText w:val="%1."/>
      <w:numFmt w:val="decimal"/>
      <w:start w:val="19"/>
    </w:lvl>
  </w:abstractNum>
  <w:abstractNum w:abstractNumId="396">
    <w:nsid w:val="102809E2"/>
    <w:multiLevelType w:val="hybridMultilevel"/>
    <w:lvl w:ilvl="0">
      <w:lvlJc w:val="left"/>
      <w:lvlText w:val="%1."/>
      <w:numFmt w:val="decimal"/>
      <w:start w:val="21"/>
    </w:lvl>
  </w:abstractNum>
  <w:abstractNum w:abstractNumId="397">
    <w:nsid w:val="3B2125A3"/>
    <w:multiLevelType w:val="hybridMultilevel"/>
    <w:lvl w:ilvl="0">
      <w:lvlJc w:val="left"/>
      <w:lvlText w:val="%1."/>
      <w:numFmt w:val="decimal"/>
      <w:start w:val="22"/>
    </w:lvl>
  </w:abstractNum>
  <w:abstractNum w:abstractNumId="398">
    <w:nsid w:val="AC68FFB"/>
    <w:multiLevelType w:val="hybridMultilevel"/>
    <w:lvl w:ilvl="0">
      <w:lvlJc w:val="left"/>
      <w:lvlText w:val="%1."/>
      <w:numFmt w:val="upperLetter"/>
      <w:start w:val="9"/>
    </w:lvl>
  </w:abstractNum>
  <w:abstractNum w:abstractNumId="399">
    <w:nsid w:val="63DF3FB7"/>
    <w:multiLevelType w:val="hybridMultilevel"/>
    <w:lvl w:ilvl="0">
      <w:lvlJc w:val="left"/>
      <w:lvlText w:val="%1."/>
      <w:numFmt w:val="decimal"/>
      <w:start w:val="28"/>
    </w:lvl>
  </w:abstractNum>
  <w:abstractNum w:abstractNumId="400">
    <w:nsid w:val="64996E13"/>
    <w:multiLevelType w:val="hybridMultilevel"/>
    <w:lvl w:ilvl="0">
      <w:lvlJc w:val="left"/>
      <w:lvlText w:val="%1"/>
      <w:numFmt w:val="upperLetter"/>
      <w:start w:val="1"/>
    </w:lvl>
    <w:lvl w:ilvl="1">
      <w:lvlJc w:val="left"/>
      <w:lvlText w:val="(%2)"/>
      <w:numFmt w:val="lowerLetter"/>
      <w:start w:val="1"/>
    </w:lvl>
  </w:abstractNum>
  <w:abstractNum w:abstractNumId="401">
    <w:nsid w:val="57A37D47"/>
    <w:multiLevelType w:val="hybridMultilevel"/>
    <w:lvl w:ilvl="0">
      <w:lvlJc w:val="left"/>
      <w:lvlText w:val="(%1)"/>
      <w:numFmt w:val="upperLetter"/>
      <w:start w:val="1"/>
    </w:lvl>
    <w:lvl w:ilvl="1">
      <w:lvlJc w:val="left"/>
      <w:lvlText w:val="%2"/>
      <w:numFmt w:val="lowerLetter"/>
      <w:start w:val="1"/>
    </w:lvl>
  </w:abstractNum>
  <w:abstractNum w:abstractNumId="402">
    <w:nsid w:val="74824D54"/>
    <w:multiLevelType w:val="hybridMultilevel"/>
    <w:lvl w:ilvl="0">
      <w:lvlJc w:val="left"/>
      <w:lvlText w:val="%1"/>
      <w:numFmt w:val="lowerLetter"/>
      <w:start w:val="1"/>
    </w:lvl>
    <w:lvl w:ilvl="1">
      <w:lvlJc w:val="left"/>
      <w:lvlText w:val="(%2)"/>
      <w:numFmt w:val="lowerLetter"/>
      <w:start w:val="3"/>
    </w:lvl>
  </w:abstractNum>
  <w:abstractNum w:abstractNumId="403">
    <w:nsid w:val="6F00529A"/>
    <w:multiLevelType w:val="hybridMultilevel"/>
    <w:lvl w:ilvl="0">
      <w:lvlJc w:val="left"/>
      <w:lvlText w:val="(%1)"/>
      <w:numFmt w:val="lowerLetter"/>
      <w:start w:val="9"/>
    </w:lvl>
    <w:lvl w:ilvl="1">
      <w:lvlJc w:val="left"/>
      <w:lvlText w:val="%2"/>
      <w:numFmt w:val="lowerLetter"/>
      <w:start w:val="1"/>
    </w:lvl>
  </w:abstractNum>
  <w:abstractNum w:abstractNumId="404">
    <w:nsid w:val="805B331"/>
    <w:multiLevelType w:val="hybridMultilevel"/>
    <w:lvl w:ilvl="0">
      <w:lvlJc w:val="left"/>
      <w:lvlText w:val="(%1)"/>
      <w:numFmt w:val="lowerLetter"/>
      <w:start w:val="2"/>
    </w:lvl>
  </w:abstractNum>
  <w:abstractNum w:abstractNumId="405">
    <w:nsid w:val="60A1463"/>
    <w:multiLevelType w:val="hybridMultilevel"/>
    <w:lvl w:ilvl="0">
      <w:lvlJc w:val="left"/>
      <w:lvlText w:val="(%1)"/>
      <w:numFmt w:val="lowerLetter"/>
      <w:start w:val="1"/>
    </w:lvl>
  </w:abstractNum>
  <w:abstractNum w:abstractNumId="406">
    <w:nsid w:val="43773132"/>
    <w:multiLevelType w:val="hybridMultilevel"/>
    <w:lvl w:ilvl="0">
      <w:lvlJc w:val="left"/>
      <w:lvlText w:val="(%1)"/>
      <w:numFmt w:val="lowerLetter"/>
      <w:start w:val="1"/>
    </w:lvl>
  </w:abstractNum>
  <w:abstractNum w:abstractNumId="407">
    <w:nsid w:val="16AC4B23"/>
    <w:multiLevelType w:val="hybridMultilevel"/>
    <w:lvl w:ilvl="0">
      <w:lvlJc w:val="left"/>
      <w:lvlText w:val="(%1)"/>
      <w:numFmt w:val="lowerLetter"/>
      <w:start w:val="1"/>
    </w:lvl>
  </w:abstractNum>
  <w:abstractNum w:abstractNumId="408">
    <w:nsid w:val="76C44E4E"/>
    <w:multiLevelType w:val="hybridMultilevel"/>
    <w:lvl w:ilvl="0">
      <w:lvlJc w:val="left"/>
      <w:lvlText w:val="(%1)"/>
      <w:numFmt w:val="lowerRoman"/>
      <w:start w:val="2"/>
    </w:lvl>
  </w:abstractNum>
  <w:abstractNum w:abstractNumId="409">
    <w:nsid w:val="E04E6CE"/>
    <w:multiLevelType w:val="hybridMultilevel"/>
    <w:lvl w:ilvl="0">
      <w:lvlJc w:val="left"/>
      <w:lvlText w:val="(%1)"/>
      <w:numFmt w:val="lowerRoman"/>
      <w:start w:val="2"/>
    </w:lvl>
  </w:abstractNum>
  <w:abstractNum w:abstractNumId="410">
    <w:nsid w:val="31A9DB76"/>
    <w:multiLevelType w:val="hybridMultilevel"/>
    <w:lvl w:ilvl="0">
      <w:lvlJc w:val="left"/>
      <w:lvlText w:val="(%1)"/>
      <w:numFmt w:val="lowerLetter"/>
      <w:start w:val="1"/>
    </w:lvl>
  </w:abstractNum>
  <w:abstractNum w:abstractNumId="411">
    <w:nsid w:val="4C4FFF5B"/>
    <w:multiLevelType w:val="hybridMultilevel"/>
    <w:lvl w:ilvl="0">
      <w:lvlJc w:val="left"/>
      <w:lvlText w:val="(%1)"/>
      <w:numFmt w:val="lowerLetter"/>
      <w:start w:val="1"/>
    </w:lvl>
  </w:abstractNum>
  <w:abstractNum w:abstractNumId="412">
    <w:nsid w:val="51B76675"/>
    <w:multiLevelType w:val="hybridMultilevel"/>
    <w:lvl w:ilvl="0">
      <w:lvlJc w:val="left"/>
      <w:lvlText w:val="(%1)"/>
      <w:numFmt w:val="lowerLetter"/>
      <w:start w:val="1"/>
    </w:lvl>
  </w:abstractNum>
  <w:abstractNum w:abstractNumId="413">
    <w:nsid w:val="59A4BA71"/>
    <w:multiLevelType w:val="hybridMultilevel"/>
    <w:lvl w:ilvl="0">
      <w:lvlJc w:val="left"/>
      <w:lvlText w:val="(%1)"/>
      <w:numFmt w:val="lowerLetter"/>
      <w:start w:val="6"/>
    </w:lvl>
  </w:abstractNum>
  <w:abstractNum w:abstractNumId="414">
    <w:nsid w:val="450B7FB6"/>
    <w:multiLevelType w:val="hybridMultilevel"/>
    <w:lvl w:ilvl="0">
      <w:lvlJc w:val="left"/>
      <w:lvlText w:val="(%1)"/>
      <w:numFmt w:val="lowerLetter"/>
      <w:start w:val="1"/>
    </w:lvl>
  </w:abstractNum>
  <w:abstractNum w:abstractNumId="415">
    <w:nsid w:val="340BF64D"/>
    <w:multiLevelType w:val="hybridMultilevel"/>
    <w:lvl w:ilvl="0">
      <w:lvlJc w:val="left"/>
      <w:lvlText w:val="(%1)"/>
      <w:numFmt w:val="lowerLetter"/>
      <w:start w:val="2"/>
    </w:lvl>
  </w:abstractNum>
  <w:abstractNum w:abstractNumId="416">
    <w:nsid w:val="69454021"/>
    <w:multiLevelType w:val="hybridMultilevel"/>
    <w:lvl w:ilvl="0">
      <w:lvlJc w:val="left"/>
      <w:lvlText w:val="%1."/>
      <w:numFmt w:val="decimal"/>
      <w:start w:val="1"/>
    </w:lvl>
  </w:abstractNum>
  <w:abstractNum w:abstractNumId="417">
    <w:nsid w:val="49F15C6B"/>
    <w:multiLevelType w:val="hybridMultilevel"/>
    <w:lvl w:ilvl="0">
      <w:lvlJc w:val="left"/>
      <w:lvlText w:val="%1."/>
      <w:numFmt w:val="decimal"/>
      <w:start w:val="2"/>
    </w:lvl>
  </w:abstractNum>
  <w:abstractNum w:abstractNumId="418">
    <w:nsid w:val="75F56228"/>
    <w:multiLevelType w:val="hybridMultilevel"/>
    <w:lvl w:ilvl="0">
      <w:lvlJc w:val="left"/>
      <w:lvlText w:val="%1."/>
      <w:numFmt w:val="decimal"/>
      <w:start w:val="3"/>
    </w:lvl>
  </w:abstractNum>
  <w:abstractNum w:abstractNumId="419">
    <w:nsid w:val="1C618271"/>
    <w:multiLevelType w:val="hybridMultilevel"/>
    <w:lvl w:ilvl="0">
      <w:lvlJc w:val="left"/>
      <w:lvlText w:val="%1."/>
      <w:numFmt w:val="decimal"/>
      <w:start w:val="4"/>
    </w:lvl>
  </w:abstractNum>
  <w:abstractNum w:abstractNumId="420">
    <w:nsid w:val="6505F02E"/>
    <w:multiLevelType w:val="hybridMultilevel"/>
    <w:lvl w:ilvl="0">
      <w:lvlJc w:val="left"/>
      <w:lvlText w:val="%1."/>
      <w:numFmt w:val="decimal"/>
      <w:start w:val="5"/>
    </w:lvl>
  </w:abstractNum>
  <w:abstractNum w:abstractNumId="421">
    <w:nsid w:val="2FE5D025"/>
    <w:multiLevelType w:val="hybridMultilevel"/>
    <w:lvl w:ilvl="0">
      <w:lvlJc w:val="left"/>
      <w:lvlText w:val="%1."/>
      <w:numFmt w:val="decimal"/>
      <w:start w:val="6"/>
    </w:lvl>
  </w:abstractNum>
  <w:abstractNum w:abstractNumId="422">
    <w:nsid w:val="30E1B1CF"/>
    <w:multiLevelType w:val="hybridMultilevel"/>
    <w:lvl w:ilvl="0">
      <w:lvlJc w:val="left"/>
      <w:lvlText w:val="%1."/>
      <w:numFmt w:val="decimal"/>
      <w:start w:val="1"/>
    </w:lvl>
    <w:lvl w:ilvl="1">
      <w:lvlJc w:val="left"/>
      <w:lvlText w:val="%2."/>
      <w:numFmt w:val="lowerLetter"/>
      <w:start w:val="1"/>
    </w:lvl>
  </w:abstractNum>
  <w:abstractNum w:abstractNumId="423">
    <w:nsid w:val="C7A9237"/>
    <w:multiLevelType w:val="hybridMultilevel"/>
    <w:lvl w:ilvl="0">
      <w:lvlJc w:val="left"/>
      <w:lvlText w:val="%1."/>
      <w:numFmt w:val="lowerLetter"/>
      <w:start w:val="4"/>
    </w:lvl>
  </w:abstractNum>
  <w:abstractNum w:abstractNumId="424">
    <w:nsid w:val="676B3580"/>
    <w:multiLevelType w:val="hybridMultilevel"/>
    <w:lvl w:ilvl="0">
      <w:lvlJc w:val="left"/>
      <w:lvlText w:val="(%1)"/>
      <w:numFmt w:val="lowerRoman"/>
      <w:start w:val="1"/>
    </w:lvl>
  </w:abstractNum>
  <w:abstractNum w:abstractNumId="425">
    <w:nsid w:val="3193C8F9"/>
    <w:multiLevelType w:val="hybridMultilevel"/>
    <w:lvl w:ilvl="0">
      <w:lvlJc w:val="left"/>
      <w:lvlText w:val="(%1)"/>
      <w:numFmt w:val="lowerRoman"/>
      <w:start w:val="2"/>
    </w:lvl>
  </w:abstractNum>
  <w:abstractNum w:abstractNumId="426">
    <w:nsid w:val="5FA6C6DC"/>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3"/>
    </w:lvl>
    <w:lvl w:ilvl="3">
      <w:lvlJc w:val="left"/>
      <w:lvlText w:val="%4."/>
      <w:numFmt w:val="lowerRoman"/>
      <w:start w:val="1"/>
    </w:lvl>
  </w:abstractNum>
  <w:abstractNum w:abstractNumId="427">
    <w:nsid w:val="77933F62"/>
    <w:multiLevelType w:val="hybridMultilevel"/>
    <w:lvl w:ilvl="0">
      <w:lvlJc w:val="left"/>
      <w:lvlText w:val="%1."/>
      <w:numFmt w:val="decimal"/>
      <w:start w:val="3"/>
    </w:lvl>
    <w:lvl w:ilvl="1">
      <w:lvlJc w:val="left"/>
      <w:lvlText w:val="%2."/>
      <w:numFmt w:val="lowerLetter"/>
      <w:start w:val="1"/>
    </w:lvl>
  </w:abstractNum>
  <w:abstractNum w:abstractNumId="428">
    <w:nsid w:val="6CB4EE9C"/>
    <w:multiLevelType w:val="hybridMultilevel"/>
    <w:lvl w:ilvl="0">
      <w:lvlJc w:val="left"/>
      <w:lvlText w:val="%1"/>
      <w:numFmt w:val="decimal"/>
      <w:start w:val="1"/>
    </w:lvl>
    <w:lvl w:ilvl="1">
      <w:lvlJc w:val="left"/>
      <w:lvlText w:val="%2."/>
      <w:numFmt w:val="lowerLetter"/>
      <w:start w:val="2"/>
    </w:lvl>
  </w:abstractNum>
  <w:abstractNum w:abstractNumId="429">
    <w:nsid w:val="6A6D56D7"/>
    <w:multiLevelType w:val="hybridMultilevel"/>
    <w:lvl w:ilvl="0">
      <w:lvlJc w:val="left"/>
      <w:lvlText w:val="%1."/>
      <w:numFmt w:val="decimal"/>
      <w:start w:val="5"/>
    </w:lvl>
    <w:lvl w:ilvl="1">
      <w:lvlJc w:val="left"/>
      <w:lvlText w:val="%2."/>
      <w:numFmt w:val="lowerLetter"/>
      <w:start w:val="1"/>
    </w:lvl>
  </w:abstractNum>
  <w:abstractNum w:abstractNumId="430">
    <w:nsid w:val="5B727F19"/>
    <w:multiLevelType w:val="hybridMultilevel"/>
    <w:lvl w:ilvl="0">
      <w:lvlJc w:val="left"/>
      <w:lvlText w:val="%1."/>
      <w:numFmt w:val="lowerLetter"/>
      <w:start w:val="2"/>
    </w:lvl>
    <w:lvl w:ilvl="1">
      <w:lvlJc w:val="left"/>
      <w:lvlText w:val="%2."/>
      <w:numFmt w:val="lowerRoman"/>
      <w:start w:val="1"/>
    </w:lvl>
  </w:abstractNum>
  <w:abstractNum w:abstractNumId="431">
    <w:nsid w:val="514E5CB0"/>
    <w:multiLevelType w:val="hybridMultilevel"/>
    <w:lvl w:ilvl="0">
      <w:lvlJc w:val="left"/>
      <w:lvlText w:val="%1"/>
      <w:numFmt w:val="decimal"/>
      <w:start w:val="1"/>
    </w:lvl>
    <w:lvl w:ilvl="1">
      <w:lvlJc w:val="left"/>
      <w:lvlText w:val="%2."/>
      <w:numFmt w:val="lowerLetter"/>
      <w:start w:val="7"/>
    </w:lvl>
  </w:abstractNum>
  <w:abstractNum w:abstractNumId="432">
    <w:nsid w:val="4210D41E"/>
    <w:multiLevelType w:val="hybridMultilevel"/>
    <w:lvl w:ilvl="0">
      <w:lvlJc w:val="left"/>
      <w:lvlText w:val="%1."/>
      <w:numFmt w:val="decimal"/>
      <w:start w:val="7"/>
    </w:lvl>
    <w:lvl w:ilvl="1">
      <w:lvlJc w:val="left"/>
      <w:lvlText w:val="%2"/>
      <w:numFmt w:val="lowerLetter"/>
      <w:start w:val="1"/>
    </w:lvl>
  </w:abstractNum>
  <w:abstractNum w:abstractNumId="433">
    <w:nsid w:val="4FF4CC6D"/>
    <w:multiLevelType w:val="hybridMultilevel"/>
    <w:lvl w:ilvl="0">
      <w:lvlJc w:val="left"/>
      <w:lvlText w:val="%1."/>
      <w:numFmt w:val="decimal"/>
      <w:start w:val="8"/>
    </w:lvl>
    <w:lvl w:ilvl="1">
      <w:lvlJc w:val="left"/>
      <w:lvlText w:val="%2."/>
      <w:numFmt w:val="lowerLetter"/>
      <w:start w:val="1"/>
    </w:lvl>
  </w:abstractNum>
  <w:abstractNum w:abstractNumId="434">
    <w:nsid w:val="404EAF4A"/>
    <w:multiLevelType w:val="hybridMultilevel"/>
    <w:lvl w:ilvl="0">
      <w:lvlJc w:val="left"/>
      <w:lvlText w:val="%1."/>
      <w:numFmt w:val="decimal"/>
      <w:start w:val="9"/>
    </w:lvl>
    <w:lvl w:ilvl="1">
      <w:lvlJc w:val="left"/>
      <w:lvlText w:val="%2."/>
      <w:numFmt w:val="lowerLetter"/>
      <w:start w:val="1"/>
    </w:lvl>
  </w:abstractNum>
  <w:abstractNum w:abstractNumId="435">
    <w:nsid w:val="4A16874F"/>
    <w:multiLevelType w:val="hybridMultilevel"/>
    <w:lvl w:ilvl="0">
      <w:lvlJc w:val="left"/>
      <w:lvlText w:val="%1."/>
      <w:numFmt w:val="decimal"/>
      <w:start w:val="10"/>
    </w:lvl>
    <w:lvl w:ilvl="1">
      <w:lvlJc w:val="left"/>
      <w:lvlText w:val="%2."/>
      <w:numFmt w:val="lowerLetter"/>
      <w:start w:val="1"/>
    </w:lvl>
  </w:abstractNum>
  <w:abstractNum w:abstractNumId="436">
    <w:nsid w:val="55FEE0D1"/>
    <w:multiLevelType w:val="hybridMultilevel"/>
    <w:lvl w:ilvl="0">
      <w:lvlJc w:val="left"/>
      <w:lvlText w:val="%1."/>
      <w:numFmt w:val="lowerLetter"/>
      <w:start w:val="7"/>
    </w:lvl>
  </w:abstractNum>
  <w:abstractNum w:abstractNumId="437">
    <w:nsid w:val="3C5E07C"/>
    <w:multiLevelType w:val="hybridMultilevel"/>
    <w:lvl w:ilvl="0">
      <w:lvlJc w:val="left"/>
      <w:lvlText w:val="%1."/>
      <w:numFmt w:val="decimal"/>
      <w:start w:val="1"/>
    </w:lvl>
  </w:abstractNum>
  <w:abstractNum w:abstractNumId="438">
    <w:nsid w:val="60C2D273"/>
    <w:multiLevelType w:val="hybridMultilevel"/>
    <w:lvl w:ilvl="0">
      <w:lvlJc w:val="left"/>
      <w:lvlText w:val="[***]"/>
      <w:numFmt w:val="bullet"/>
      <w:start w:val="1"/>
    </w:lvl>
  </w:abstractNum>
  <w:abstractNum w:abstractNumId="439">
    <w:nsid w:val="4CC32F1F"/>
    <w:multiLevelType w:val="hybridMultilevel"/>
    <w:lvl w:ilvl="0">
      <w:lvlJc w:val="left"/>
      <w:lvlText w:val="%1."/>
      <w:numFmt w:val="decimal"/>
      <w:start w:val="1"/>
    </w:lvl>
  </w:abstractNum>
  <w:abstractNum w:abstractNumId="440">
    <w:nsid w:val="11CAC74A"/>
    <w:multiLevelType w:val="hybridMultilevel"/>
    <w:lvl w:ilvl="0">
      <w:lvlJc w:val="left"/>
      <w:lvlText w:val="%1."/>
      <w:numFmt w:val="decimal"/>
      <w:start w:val="2"/>
    </w:lvl>
  </w:abstractNum>
  <w:abstractNum w:abstractNumId="441">
    <w:nsid w:val="126CADE9"/>
    <w:multiLevelType w:val="hybridMultilevel"/>
    <w:lvl w:ilvl="0">
      <w:lvlJc w:val="left"/>
      <w:lvlText w:val="%1."/>
      <w:numFmt w:val="decimal"/>
      <w:start w:val="3"/>
    </w:lvl>
  </w:abstractNum>
  <w:abstractNum w:abstractNumId="442">
    <w:nsid w:val="19132E7B"/>
    <w:multiLevelType w:val="hybridMultilevel"/>
    <w:lvl w:ilvl="0">
      <w:lvlJc w:val="left"/>
      <w:lvlText w:val="(%1)"/>
      <w:numFmt w:val="lowerRoman"/>
      <w:start w:val="2"/>
    </w:lvl>
  </w:abstractNum>
  <w:abstractNum w:abstractNumId="443">
    <w:nsid w:val="63822DC0"/>
    <w:multiLevelType w:val="hybridMultilevel"/>
    <w:lvl w:ilvl="0">
      <w:lvlJc w:val="left"/>
      <w:lvlText w:val="%1."/>
      <w:numFmt w:val="decimal"/>
      <w:start w:val="4"/>
    </w:lvl>
  </w:abstractNum>
  <w:abstractNum w:abstractNumId="444">
    <w:nsid w:val="6C11685A"/>
    <w:multiLevelType w:val="hybridMultilevel"/>
    <w:lvl w:ilvl="0">
      <w:lvlJc w:val="left"/>
      <w:lvlText w:val="%1."/>
      <w:numFmt w:val="decimal"/>
      <w:start w:val="5"/>
    </w:lvl>
  </w:abstractNum>
  <w:abstractNum w:abstractNumId="445">
    <w:nsid w:val="5E1EAE31"/>
    <w:multiLevelType w:val="hybridMultilevel"/>
    <w:lvl w:ilvl="0">
      <w:lvlJc w:val="left"/>
      <w:lvlText w:val="%1."/>
      <w:numFmt w:val="decimal"/>
      <w:start w:val="6"/>
    </w:lvl>
  </w:abstractNum>
  <w:abstractNum w:abstractNumId="446">
    <w:nsid w:val="178E240D"/>
    <w:multiLevelType w:val="hybridMultilevel"/>
    <w:lvl w:ilvl="0">
      <w:lvlJc w:val="left"/>
      <w:lvlText w:val="(%1)"/>
      <w:numFmt w:val="lowerRoman"/>
      <w:start w:val="4"/>
    </w:lvl>
  </w:abstractNum>
  <w:abstractNum w:abstractNumId="447">
    <w:nsid w:val="5556A87B"/>
    <w:multiLevelType w:val="hybridMultilevel"/>
    <w:lvl w:ilvl="0">
      <w:lvlJc w:val="left"/>
      <w:lvlText w:val="%1."/>
      <w:numFmt w:val="decimal"/>
      <w:start w:val="7"/>
    </w:lvl>
  </w:abstractNum>
  <w:abstractNum w:abstractNumId="448">
    <w:nsid w:val="28100A9C"/>
    <w:multiLevelType w:val="hybridMultilevel"/>
    <w:lvl w:ilvl="0">
      <w:lvlJc w:val="left"/>
      <w:lvlText w:val="%1."/>
      <w:numFmt w:val="decimal"/>
      <w:start w:val="8"/>
    </w:lvl>
  </w:abstractNum>
  <w:abstractNum w:abstractNumId="449">
    <w:nsid w:val="D838636"/>
    <w:multiLevelType w:val="hybridMultilevel"/>
    <w:lvl w:ilvl="0">
      <w:lvlJc w:val="left"/>
      <w:lvlText w:val="%1."/>
      <w:numFmt w:val="decimal"/>
      <w:start w:val="9"/>
    </w:lvl>
  </w:abstractNum>
  <w:abstractNum w:abstractNumId="450">
    <w:nsid w:val="71B82AED"/>
    <w:multiLevelType w:val="hybridMultilevel"/>
    <w:lvl w:ilvl="0">
      <w:lvlJc w:val="left"/>
      <w:lvlText w:val="(%1)"/>
      <w:numFmt w:val="lowerRoman"/>
      <w:start w:val="4"/>
    </w:lvl>
  </w:abstractNum>
  <w:abstractNum w:abstractNumId="451">
    <w:nsid w:val="D15FAC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2021-09-07T15:31:15Z</dcterms:created>
  <dcterms:modified xsi:type="dcterms:W3CDTF">2021-09-07T15:31:15Z</dcterms:modified>
</cp:coreProperties>
</file>