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07"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(Mark One)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PURSUANT TO SECTION 12(b) OR SECTION 12(g) OF THE SECURITIES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227" w:lineRule="exact"/>
        <w:rPr>
          <w:sz w:val="24"/>
          <w:szCs w:val="24"/>
          <w:color w:val="auto"/>
        </w:rPr>
      </w:pPr>
    </w:p>
    <w:p>
      <w:pPr>
        <w:ind w:left="4000" w:right="2520" w:hanging="3992"/>
        <w:spacing w:after="0" w:line="499" w:lineRule="auto"/>
        <w:tabs>
          <w:tab w:leader="none" w:pos="3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22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jc w:val="center"/>
        <w:spacing w:after="0"/>
        <w:tabs>
          <w:tab w:leader="none" w:pos="7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227" w:lineRule="exact"/>
        <w:rPr>
          <w:sz w:val="24"/>
          <w:szCs w:val="24"/>
          <w:color w:val="auto"/>
        </w:rPr>
      </w:pPr>
    </w:p>
    <w:p>
      <w:pPr>
        <w:ind w:left="3860" w:right="1780" w:hanging="3852"/>
        <w:spacing w:after="0" w:line="500" w:lineRule="auto"/>
        <w:tabs>
          <w:tab w:leader="none" w:pos="35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Global-E Online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of 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Basel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Petah Tikva 4951038,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Amir Schlachet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Telephone: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972-73-2605078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amir@global-e.com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25 Basel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Petah Tikva 4951038,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1"/>
                <w:szCs w:val="21"/>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GLBE</w:t>
            </w: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the period covered by the annual report. As of December 31, 2021, the issuer had outstanding 150,456,501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6" w:right="339" w:bottom="74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9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3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133" w:lineRule="exact"/>
        <w:rPr>
          <w:sz w:val="20"/>
          <w:szCs w:val="20"/>
          <w:color w:val="auto"/>
        </w:rPr>
      </w:pPr>
    </w:p>
    <w:p>
      <w:pPr>
        <w:spacing w:after="0" w:line="207" w:lineRule="exact"/>
        <w:tabs>
          <w:tab w:leader="none" w:pos="2800" w:val="left"/>
          <w:tab w:leader="none" w:pos="5500" w:val="left"/>
          <w:tab w:leader="none" w:pos="8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Large accelerated filer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Accelerated filer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Non-accelerated filer</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Emerging growth company</w:t>
      </w:r>
    </w:p>
    <w:p>
      <w:pPr>
        <w:spacing w:after="0" w:line="25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8"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1440" w:gutter="0" w:footer="0" w:header="0"/>
        </w:sectPr>
      </w:pPr>
    </w:p>
    <w:p>
      <w:pPr>
        <w:spacing w:after="0" w:line="19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International Financial Reporting Standards as issued by the International Accounting Standards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Other</w:t>
      </w:r>
    </w:p>
    <w:p>
      <w:pPr>
        <w:spacing w:after="0" w:line="476" w:lineRule="exact"/>
        <w:rPr>
          <w:sz w:val="20"/>
          <w:szCs w:val="20"/>
          <w:color w:val="auto"/>
        </w:rPr>
      </w:pPr>
    </w:p>
    <w:p>
      <w:pPr>
        <w:sectPr>
          <w:pgSz w:w="11900" w:h="16838" w:orient="portrait"/>
          <w:cols w:equalWidth="0" w:num="4">
            <w:col w:w="160" w:space="60"/>
            <w:col w:w="1100" w:space="720"/>
            <w:col w:w="7740" w:space="120"/>
            <w:col w:w="1340"/>
          </w:cols>
          <w:pgMar w:left="320" w:top="337" w:right="339" w:bottom="1440" w:gutter="0" w:footer="0" w:header="0"/>
          <w:type w:val="continuous"/>
        </w:sectPr>
      </w:pP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208"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96"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40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27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ABOUT THIS ANNUAL REPORT</w:t>
              </w:r>
            </w:hyperlink>
          </w:p>
        </w:tc>
        <w:tc>
          <w:tcPr>
            <w:tcW w:w="608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40" w:type="dxa"/>
            <w:vAlign w:val="bottom"/>
          </w:tcPr>
          <w:p>
            <w:pPr>
              <w:spacing w:after="0"/>
              <w:rPr>
                <w:sz w:val="21"/>
                <w:szCs w:val="21"/>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BASIS OF PRESENTATION</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0000EE"/>
            </w:tcBorders>
            <w:gridSpan w:val="15"/>
          </w:tcPr>
          <w:p>
            <w:pPr>
              <w:spacing w:after="0"/>
              <w:rPr>
                <w:rFonts w:ascii="Times New Roman" w:cs="Times New Roman" w:eastAsia="Times New Roman" w:hAnsi="Times New Roman"/>
                <w:sz w:val="18"/>
                <w:szCs w:val="18"/>
                <w:b w:val="1"/>
                <w:bCs w:val="1"/>
                <w:color w:val="0000EE"/>
                <w:w w:val="98"/>
              </w:rPr>
            </w:pPr>
            <w:hyperlink w:anchor="page6">
              <w:r>
                <w:rPr>
                  <w:rFonts w:ascii="Times New Roman" w:cs="Times New Roman" w:eastAsia="Times New Roman" w:hAnsi="Times New Roman"/>
                  <w:sz w:val="18"/>
                  <w:szCs w:val="18"/>
                  <w:b w:val="1"/>
                  <w:bCs w:val="1"/>
                  <w:color w:val="0000EE"/>
                  <w:w w:val="98"/>
                </w:rPr>
                <w:t>CAUTIONARY STATEMENT REGARDING FORWARD-LOOKING STATEMENTS</w:t>
              </w:r>
            </w:hyperlink>
          </w:p>
        </w:tc>
        <w:tc>
          <w:tcPr>
            <w:tcW w:w="2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40" w:type="dxa"/>
            <w:vAlign w:val="bottom"/>
          </w:tcPr>
          <w:p>
            <w:pPr>
              <w:spacing w:after="0"/>
              <w:rPr>
                <w:sz w:val="21"/>
                <w:szCs w:val="21"/>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PART I</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ITEM 1. IDENTITY OF DIRECTORS, SENIOR MANAGEMENT AND ADVISERS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40" w:type="dxa"/>
            <w:vAlign w:val="bottom"/>
          </w:tcPr>
          <w:p>
            <w:pPr>
              <w:spacing w:after="0"/>
              <w:rPr>
                <w:sz w:val="21"/>
                <w:szCs w:val="21"/>
                <w:color w:val="auto"/>
              </w:rPr>
            </w:pPr>
          </w:p>
        </w:tc>
        <w:tc>
          <w:tcPr>
            <w:tcW w:w="6560" w:type="dxa"/>
            <w:vAlign w:val="bottom"/>
            <w:tcBorders>
              <w:top w:val="single" w:sz="8" w:color="0000EE"/>
            </w:tcBorders>
            <w:gridSpan w:val="14"/>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ITEM 2. OFFER STATISTICS AND EXPECTED TIMETABLE</w:t>
              </w:r>
            </w:hyperlink>
          </w:p>
        </w:tc>
        <w:tc>
          <w:tcPr>
            <w:tcW w:w="2240" w:type="dxa"/>
            <w:vAlign w:val="bottom"/>
            <w:gridSpan w:val="2"/>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40" w:type="dxa"/>
            <w:vAlign w:val="bottom"/>
          </w:tcPr>
          <w:p>
            <w:pPr>
              <w:spacing w:after="0"/>
              <w:rPr>
                <w:sz w:val="21"/>
                <w:szCs w:val="21"/>
                <w:color w:val="auto"/>
              </w:rPr>
            </w:pPr>
          </w:p>
        </w:tc>
        <w:tc>
          <w:tcPr>
            <w:tcW w:w="4960" w:type="dxa"/>
            <w:vAlign w:val="bottom"/>
            <w:tcBorders>
              <w:top w:val="single" w:sz="8" w:color="0000EE"/>
            </w:tcBorders>
            <w:gridSpan w:val="10"/>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ITEM 3. KEY INFORMATION</w:t>
              </w:r>
            </w:hyperlink>
          </w:p>
        </w:tc>
        <w:tc>
          <w:tcPr>
            <w:tcW w:w="3840" w:type="dxa"/>
            <w:vAlign w:val="bottom"/>
            <w:gridSpan w:val="6"/>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1"/>
        </w:trPr>
        <w:tc>
          <w:tcPr>
            <w:tcW w:w="40" w:type="dxa"/>
            <w:vAlign w:val="bottom"/>
          </w:tcPr>
          <w:p>
            <w:pPr>
              <w:spacing w:after="0"/>
              <w:rPr>
                <w:sz w:val="24"/>
                <w:szCs w:val="24"/>
                <w:color w:val="auto"/>
              </w:rPr>
            </w:pPr>
          </w:p>
        </w:tc>
        <w:tc>
          <w:tcPr>
            <w:tcW w:w="4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2060" w:type="dxa"/>
            <w:vAlign w:val="bottom"/>
            <w:tcBorders>
              <w:top w:val="single" w:sz="8" w:color="0000EE"/>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6340" w:type="dxa"/>
            <w:vAlign w:val="bottom"/>
            <w:gridSpan w:val="12"/>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0" w:type="dxa"/>
            <w:vAlign w:val="bottom"/>
          </w:tcPr>
          <w:p>
            <w:pPr>
              <w:spacing w:after="0"/>
              <w:rPr>
                <w:sz w:val="19"/>
                <w:szCs w:val="19"/>
                <w:color w:val="auto"/>
              </w:rPr>
            </w:pPr>
          </w:p>
        </w:tc>
        <w:tc>
          <w:tcPr>
            <w:tcW w:w="374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47">
              <w:r>
                <w:rPr>
                  <w:rFonts w:ascii="Times New Roman" w:cs="Times New Roman" w:eastAsia="Times New Roman" w:hAnsi="Times New Roman"/>
                  <w:sz w:val="18"/>
                  <w:szCs w:val="18"/>
                  <w:b w:val="1"/>
                  <w:bCs w:val="1"/>
                  <w:color w:val="0000EE"/>
                  <w:w w:val="98"/>
                </w:rPr>
                <w:t>ITEM 4. INFORMATION ON THE COMPANY</w:t>
              </w:r>
            </w:hyperlink>
          </w:p>
        </w:tc>
        <w:tc>
          <w:tcPr>
            <w:tcW w:w="5060" w:type="dxa"/>
            <w:vAlign w:val="bottom"/>
            <w:gridSpan w:val="8"/>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40" w:type="dxa"/>
            <w:vAlign w:val="bottom"/>
          </w:tcPr>
          <w:p>
            <w:pPr>
              <w:spacing w:after="0"/>
              <w:rPr>
                <w:sz w:val="24"/>
                <w:szCs w:val="24"/>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Organizational Structure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0" w:type="dxa"/>
            <w:vAlign w:val="bottom"/>
          </w:tcPr>
          <w:p>
            <w:pPr>
              <w:spacing w:after="0"/>
              <w:rPr>
                <w:sz w:val="19"/>
                <w:szCs w:val="19"/>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ITEM 4A. UNRESOLVED STAFF COMMENTS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0" w:type="dxa"/>
            <w:vAlign w:val="bottom"/>
          </w:tcPr>
          <w:p>
            <w:pPr>
              <w:spacing w:after="0" w:line="20" w:lineRule="exact"/>
              <w:rPr>
                <w:sz w:val="1"/>
                <w:szCs w:val="1"/>
                <w:color w:val="auto"/>
              </w:rPr>
            </w:pPr>
          </w:p>
        </w:tc>
        <w:tc>
          <w:tcPr>
            <w:tcW w:w="29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ITEM 5. OPERATING AND FINANCIAL REVIEW AND PROSPECTS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90"/>
        </w:trPr>
        <w:tc>
          <w:tcPr>
            <w:tcW w:w="40" w:type="dxa"/>
            <w:vAlign w:val="bottom"/>
          </w:tcPr>
          <w:p>
            <w:pPr>
              <w:spacing w:after="0"/>
              <w:rPr>
                <w:sz w:val="24"/>
                <w:szCs w:val="24"/>
                <w:color w:val="auto"/>
              </w:rPr>
            </w:pPr>
          </w:p>
        </w:tc>
        <w:tc>
          <w:tcPr>
            <w:tcW w:w="4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5200" w:type="dxa"/>
            <w:vAlign w:val="bottom"/>
            <w:tcBorders>
              <w:top w:val="single" w:sz="8" w:color="0000EE"/>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320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Trend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0" w:type="dxa"/>
            <w:vAlign w:val="bottom"/>
          </w:tcPr>
          <w:p>
            <w:pPr>
              <w:spacing w:after="0"/>
              <w:rPr>
                <w:sz w:val="19"/>
                <w:szCs w:val="19"/>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83">
              <w:r>
                <w:rPr>
                  <w:rFonts w:ascii="Times New Roman" w:cs="Times New Roman" w:eastAsia="Times New Roman" w:hAnsi="Times New Roman"/>
                  <w:sz w:val="18"/>
                  <w:szCs w:val="18"/>
                  <w:b w:val="1"/>
                  <w:bCs w:val="1"/>
                  <w:color w:val="0000EE"/>
                </w:rPr>
                <w:t>ITEM 6. DIRECTORS, SENIOR MANAGEMENT AND EMPLOYEES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90"/>
        </w:trPr>
        <w:tc>
          <w:tcPr>
            <w:tcW w:w="40" w:type="dxa"/>
            <w:vAlign w:val="bottom"/>
          </w:tcPr>
          <w:p>
            <w:pPr>
              <w:spacing w:after="0"/>
              <w:rPr>
                <w:sz w:val="24"/>
                <w:szCs w:val="24"/>
                <w:color w:val="auto"/>
              </w:rPr>
            </w:pPr>
          </w:p>
        </w:tc>
        <w:tc>
          <w:tcPr>
            <w:tcW w:w="5560" w:type="dxa"/>
            <w:vAlign w:val="bottom"/>
            <w:tcBorders>
              <w:top w:val="single" w:sz="8" w:color="0000EE"/>
            </w:tcBorders>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tc>
        <w:tc>
          <w:tcPr>
            <w:tcW w:w="324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B.  Compensation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Board Practices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D.  Employees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E.  Share Ownership</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0" w:type="dxa"/>
            <w:vAlign w:val="bottom"/>
          </w:tcPr>
          <w:p>
            <w:pPr>
              <w:spacing w:after="0"/>
              <w:rPr>
                <w:sz w:val="19"/>
                <w:szCs w:val="19"/>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ITEM 7. MAJOR SHAREHOLDERS AND RELATED PARTY TRANSACTIONS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91"/>
        </w:trPr>
        <w:tc>
          <w:tcPr>
            <w:tcW w:w="40" w:type="dxa"/>
            <w:vAlign w:val="bottom"/>
          </w:tcPr>
          <w:p>
            <w:pPr>
              <w:spacing w:after="0"/>
              <w:rPr>
                <w:sz w:val="24"/>
                <w:szCs w:val="24"/>
                <w:color w:val="auto"/>
              </w:rPr>
            </w:pPr>
          </w:p>
        </w:tc>
        <w:tc>
          <w:tcPr>
            <w:tcW w:w="4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5960" w:type="dxa"/>
            <w:vAlign w:val="bottom"/>
            <w:tcBorders>
              <w:top w:val="single" w:sz="8" w:color="0000EE"/>
            </w:tcBorders>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Major Shareholders</w:t>
            </w:r>
          </w:p>
        </w:tc>
        <w:tc>
          <w:tcPr>
            <w:tcW w:w="244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0" w:type="dxa"/>
            <w:vAlign w:val="bottom"/>
          </w:tcPr>
          <w:p>
            <w:pPr>
              <w:spacing w:after="0"/>
              <w:rPr>
                <w:sz w:val="19"/>
                <w:szCs w:val="19"/>
                <w:color w:val="auto"/>
              </w:rPr>
            </w:pPr>
          </w:p>
        </w:tc>
        <w:tc>
          <w:tcPr>
            <w:tcW w:w="310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107">
              <w:r>
                <w:rPr>
                  <w:rFonts w:ascii="Times New Roman" w:cs="Times New Roman" w:eastAsia="Times New Roman" w:hAnsi="Times New Roman"/>
                  <w:sz w:val="18"/>
                  <w:szCs w:val="18"/>
                  <w:b w:val="1"/>
                  <w:bCs w:val="1"/>
                  <w:color w:val="0000EE"/>
                  <w:w w:val="99"/>
                </w:rPr>
                <w:t>ITEM 8. FINANCIAL INFORMATION</w:t>
              </w:r>
            </w:hyperlink>
          </w:p>
        </w:tc>
        <w:tc>
          <w:tcPr>
            <w:tcW w:w="5700" w:type="dxa"/>
            <w:vAlign w:val="bottom"/>
            <w:gridSpan w:val="9"/>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91"/>
        </w:trPr>
        <w:tc>
          <w:tcPr>
            <w:tcW w:w="40" w:type="dxa"/>
            <w:vAlign w:val="bottom"/>
          </w:tcPr>
          <w:p>
            <w:pPr>
              <w:spacing w:after="0"/>
              <w:rPr>
                <w:sz w:val="24"/>
                <w:szCs w:val="24"/>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Significant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0" w:type="dxa"/>
            <w:vAlign w:val="bottom"/>
          </w:tcPr>
          <w:p>
            <w:pPr>
              <w:spacing w:after="0"/>
              <w:rPr>
                <w:sz w:val="19"/>
                <w:szCs w:val="19"/>
                <w:color w:val="auto"/>
              </w:rPr>
            </w:pPr>
          </w:p>
        </w:tc>
        <w:tc>
          <w:tcPr>
            <w:tcW w:w="8800" w:type="dxa"/>
            <w:vAlign w:val="bottom"/>
            <w:gridSpan w:val="16"/>
          </w:tcPr>
          <w:p>
            <w:pPr>
              <w:spacing w:after="0"/>
              <w:rPr>
                <w:rFonts w:ascii="Times New Roman" w:cs="Times New Roman" w:eastAsia="Times New Roman" w:hAnsi="Times New Roman"/>
                <w:sz w:val="18"/>
                <w:szCs w:val="18"/>
                <w:b w:val="1"/>
                <w:bCs w:val="1"/>
                <w:color w:val="0000EE"/>
              </w:rPr>
            </w:pPr>
            <w:hyperlink w:anchor="page107">
              <w:r>
                <w:rPr>
                  <w:rFonts w:ascii="Times New Roman" w:cs="Times New Roman" w:eastAsia="Times New Roman" w:hAnsi="Times New Roman"/>
                  <w:sz w:val="18"/>
                  <w:szCs w:val="18"/>
                  <w:b w:val="1"/>
                  <w:bCs w:val="1"/>
                  <w:color w:val="0000EE"/>
                </w:rPr>
                <w:t>ITEM 9. THE OFFER AND LISTING</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91"/>
        </w:trPr>
        <w:tc>
          <w:tcPr>
            <w:tcW w:w="40" w:type="dxa"/>
            <w:vAlign w:val="bottom"/>
          </w:tcPr>
          <w:p>
            <w:pPr>
              <w:spacing w:after="0"/>
              <w:rPr>
                <w:sz w:val="24"/>
                <w:szCs w:val="24"/>
                <w:color w:val="auto"/>
              </w:rPr>
            </w:pPr>
          </w:p>
        </w:tc>
        <w:tc>
          <w:tcPr>
            <w:tcW w:w="2960" w:type="dxa"/>
            <w:vAlign w:val="bottom"/>
            <w:tcBorders>
              <w:top w:val="single" w:sz="8" w:color="0000EE"/>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tc>
        <w:tc>
          <w:tcPr>
            <w:tcW w:w="584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p>
        </w:tc>
        <w:tc>
          <w:tcPr>
            <w:tcW w:w="840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88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F.  Expenses of the Issue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63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gridSpan w:val="12"/>
          </w:tcPr>
          <w:p>
            <w:pPr>
              <w:ind w:left="5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34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108">
              <w:r>
                <w:rPr>
                  <w:rFonts w:ascii="Times New Roman" w:cs="Times New Roman" w:eastAsia="Times New Roman" w:hAnsi="Times New Roman"/>
                  <w:sz w:val="18"/>
                  <w:szCs w:val="18"/>
                  <w:b w:val="1"/>
                  <w:bCs w:val="1"/>
                  <w:color w:val="0000EE"/>
                  <w:w w:val="99"/>
                </w:rPr>
                <w:t>ITEM 10. ADDITIONAL INFORMATION</w:t>
              </w:r>
            </w:hyperlink>
          </w:p>
        </w:tc>
        <w:tc>
          <w:tcPr>
            <w:tcW w:w="6680" w:type="dxa"/>
            <w:vAlign w:val="bottom"/>
            <w:gridSpan w:val="14"/>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4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964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10020" w:type="dxa"/>
            <w:vAlign w:val="bottom"/>
            <w:gridSpan w:val="24"/>
          </w:tcPr>
          <w:p>
            <w:pPr>
              <w:ind w:left="160"/>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964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964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Exchange Controls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p>
        </w:tc>
        <w:tc>
          <w:tcPr>
            <w:tcW w:w="9640" w:type="dxa"/>
            <w:vAlign w:val="bottom"/>
            <w:gridSpan w:val="23"/>
          </w:tcPr>
          <w:p>
            <w:pPr>
              <w:ind w:left="8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40" w:type="dxa"/>
            <w:vAlign w:val="bottom"/>
          </w:tcPr>
          <w:p>
            <w:pPr>
              <w:spacing w:after="0"/>
              <w:rPr>
                <w:sz w:val="23"/>
                <w:szCs w:val="23"/>
                <w:color w:val="auto"/>
              </w:rPr>
            </w:pPr>
          </w:p>
        </w:tc>
        <w:tc>
          <w:tcPr>
            <w:tcW w:w="10020" w:type="dxa"/>
            <w:vAlign w:val="bottom"/>
            <w:gridSpan w:val="24"/>
          </w:tcPr>
          <w:p>
            <w:pPr>
              <w:ind w:left="16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w:t>
            </w:r>
          </w:p>
        </w:tc>
        <w:tc>
          <w:tcPr>
            <w:tcW w:w="9640" w:type="dxa"/>
            <w:vAlign w:val="bottom"/>
            <w:gridSpan w:val="23"/>
          </w:tcPr>
          <w:p>
            <w:pPr>
              <w:ind w:left="100"/>
              <w:spacing w:after="0"/>
              <w:rPr>
                <w:sz w:val="20"/>
                <w:szCs w:val="20"/>
                <w:color w:val="auto"/>
              </w:rPr>
            </w:pPr>
            <w:r>
              <w:rPr>
                <w:rFonts w:ascii="Times New Roman" w:cs="Times New Roman" w:eastAsia="Times New Roman" w:hAnsi="Times New Roman"/>
                <w:sz w:val="18"/>
                <w:szCs w:val="18"/>
                <w:b w:val="1"/>
                <w:bCs w:val="1"/>
                <w:color w:val="auto"/>
              </w:rPr>
              <w:t>Statement by Experts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H.</w:t>
            </w:r>
          </w:p>
        </w:tc>
        <w:tc>
          <w:tcPr>
            <w:tcW w:w="9640" w:type="dxa"/>
            <w:vAlign w:val="bottom"/>
            <w:gridSpan w:val="23"/>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Documents on Display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40" w:type="dxa"/>
            <w:vAlign w:val="bottom"/>
          </w:tcPr>
          <w:p>
            <w:pPr>
              <w:spacing w:after="0"/>
              <w:rPr>
                <w:sz w:val="23"/>
                <w:szCs w:val="2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w:t>
            </w:r>
          </w:p>
        </w:tc>
        <w:tc>
          <w:tcPr>
            <w:tcW w:w="9640" w:type="dxa"/>
            <w:vAlign w:val="bottom"/>
            <w:gridSpan w:val="23"/>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40" w:type="dxa"/>
            <w:vAlign w:val="bottom"/>
          </w:tcPr>
          <w:p>
            <w:pPr>
              <w:spacing w:after="0"/>
              <w:rPr>
                <w:sz w:val="19"/>
                <w:szCs w:val="19"/>
                <w:color w:val="auto"/>
              </w:rPr>
            </w:pPr>
          </w:p>
        </w:tc>
        <w:tc>
          <w:tcPr>
            <w:tcW w:w="724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8"/>
              </w:rPr>
            </w:pPr>
            <w:hyperlink w:anchor="page116">
              <w:r>
                <w:rPr>
                  <w:rFonts w:ascii="Times New Roman" w:cs="Times New Roman" w:eastAsia="Times New Roman" w:hAnsi="Times New Roman"/>
                  <w:sz w:val="18"/>
                  <w:szCs w:val="18"/>
                  <w:b w:val="1"/>
                  <w:bCs w:val="1"/>
                  <w:color w:val="0000EE"/>
                  <w:w w:val="98"/>
                </w:rPr>
                <w:t>ITEM 11. QUANTITATIVE AND QUALITATIVE DISCLOSURES ABOUT MARKET RISK</w:t>
              </w:r>
            </w:hyperlink>
          </w:p>
        </w:tc>
        <w:tc>
          <w:tcPr>
            <w:tcW w:w="2780" w:type="dxa"/>
            <w:vAlign w:val="bottom"/>
            <w:gridSpan w:val="5"/>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40" w:type="dxa"/>
            <w:vAlign w:val="bottom"/>
          </w:tcPr>
          <w:p>
            <w:pPr>
              <w:spacing w:after="0"/>
              <w:rPr>
                <w:sz w:val="21"/>
                <w:szCs w:val="21"/>
                <w:color w:val="auto"/>
              </w:rPr>
            </w:pPr>
          </w:p>
        </w:tc>
        <w:tc>
          <w:tcPr>
            <w:tcW w:w="662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9"/>
              </w:rPr>
            </w:pPr>
            <w:hyperlink w:anchor="page116">
              <w:r>
                <w:rPr>
                  <w:rFonts w:ascii="Times New Roman" w:cs="Times New Roman" w:eastAsia="Times New Roman" w:hAnsi="Times New Roman"/>
                  <w:sz w:val="18"/>
                  <w:szCs w:val="18"/>
                  <w:b w:val="1"/>
                  <w:bCs w:val="1"/>
                  <w:color w:val="0000EE"/>
                  <w:w w:val="99"/>
                </w:rPr>
                <w:t>ITEM 12. DESCRIPTION OF SECURITIES OTHER THAN EQUITY SECURITIES</w:t>
              </w:r>
            </w:hyperlink>
          </w:p>
        </w:tc>
        <w:tc>
          <w:tcPr>
            <w:tcW w:w="3400" w:type="dxa"/>
            <w:vAlign w:val="bottom"/>
            <w:gridSpan w:val="6"/>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40" w:type="dxa"/>
            <w:vAlign w:val="bottom"/>
          </w:tcPr>
          <w:p>
            <w:pPr>
              <w:spacing w:after="0"/>
              <w:rPr>
                <w:sz w:val="21"/>
                <w:szCs w:val="21"/>
                <w:color w:val="auto"/>
              </w:rPr>
            </w:pPr>
          </w:p>
        </w:tc>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4"/>
              </w:rPr>
            </w:pPr>
            <w:hyperlink w:anchor="page116">
              <w:r>
                <w:rPr>
                  <w:rFonts w:ascii="Times New Roman" w:cs="Times New Roman" w:eastAsia="Times New Roman" w:hAnsi="Times New Roman"/>
                  <w:sz w:val="18"/>
                  <w:szCs w:val="18"/>
                  <w:b w:val="1"/>
                  <w:bCs w:val="1"/>
                  <w:color w:val="0000EE"/>
                  <w:w w:val="94"/>
                </w:rPr>
                <w:t>PART II</w:t>
              </w:r>
            </w:hyperlink>
          </w:p>
        </w:tc>
        <w:tc>
          <w:tcPr>
            <w:tcW w:w="9360" w:type="dxa"/>
            <w:vAlign w:val="bottom"/>
            <w:gridSpan w:val="21"/>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40" w:type="dxa"/>
            <w:vAlign w:val="bottom"/>
          </w:tcPr>
          <w:p>
            <w:pPr>
              <w:spacing w:after="0"/>
              <w:rPr>
                <w:sz w:val="21"/>
                <w:szCs w:val="21"/>
                <w:color w:val="auto"/>
              </w:rPr>
            </w:pPr>
          </w:p>
        </w:tc>
        <w:tc>
          <w:tcPr>
            <w:tcW w:w="6020" w:type="dxa"/>
            <w:vAlign w:val="bottom"/>
            <w:tcBorders>
              <w:bottom w:val="single" w:sz="8" w:color="0000EE"/>
            </w:tcBorders>
            <w:gridSpan w:val="17"/>
          </w:tcPr>
          <w:p>
            <w:pPr>
              <w:spacing w:after="0"/>
              <w:rPr>
                <w:rFonts w:ascii="Times New Roman" w:cs="Times New Roman" w:eastAsia="Times New Roman" w:hAnsi="Times New Roman"/>
                <w:sz w:val="18"/>
                <w:szCs w:val="18"/>
                <w:b w:val="1"/>
                <w:bCs w:val="1"/>
                <w:color w:val="0000EE"/>
                <w:w w:val="99"/>
              </w:rPr>
            </w:pPr>
            <w:hyperlink w:anchor="page116">
              <w:r>
                <w:rPr>
                  <w:rFonts w:ascii="Times New Roman" w:cs="Times New Roman" w:eastAsia="Times New Roman" w:hAnsi="Times New Roman"/>
                  <w:sz w:val="18"/>
                  <w:szCs w:val="18"/>
                  <w:b w:val="1"/>
                  <w:bCs w:val="1"/>
                  <w:color w:val="0000EE"/>
                  <w:w w:val="99"/>
                </w:rPr>
                <w:t>ITEM 13. DEFAULTS, DIVIDEND ARREARAGES AND DELINQUENCIES</w:t>
              </w:r>
            </w:hyperlink>
          </w:p>
        </w:tc>
        <w:tc>
          <w:tcPr>
            <w:tcW w:w="4000" w:type="dxa"/>
            <w:vAlign w:val="bottom"/>
            <w:gridSpan w:val="7"/>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6">
              <w:r>
                <w:rPr>
                  <w:rFonts w:ascii="Times New Roman" w:cs="Times New Roman" w:eastAsia="Times New Roman" w:hAnsi="Times New Roman"/>
                  <w:sz w:val="18"/>
                  <w:szCs w:val="18"/>
                  <w:b w:val="1"/>
                  <w:bCs w:val="1"/>
                  <w:color w:val="0000EE"/>
                </w:rPr>
                <w:t>ITEM 14. MATERIAL MODIFICATIONS TO THE RIGHTS OF SECURITY HOLDERS AND USE OF PROCEEDS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40" w:type="dxa"/>
            <w:vAlign w:val="bottom"/>
          </w:tcPr>
          <w:p>
            <w:pPr>
              <w:spacing w:after="0"/>
              <w:rPr>
                <w:sz w:val="21"/>
                <w:szCs w:val="21"/>
                <w:color w:val="auto"/>
              </w:rPr>
            </w:pPr>
          </w:p>
        </w:tc>
        <w:tc>
          <w:tcPr>
            <w:tcW w:w="35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b w:val="1"/>
                <w:bCs w:val="1"/>
                <w:color w:val="0000EE"/>
                <w:w w:val="99"/>
              </w:rPr>
            </w:pPr>
            <w:hyperlink w:anchor="page117">
              <w:r>
                <w:rPr>
                  <w:rFonts w:ascii="Times New Roman" w:cs="Times New Roman" w:eastAsia="Times New Roman" w:hAnsi="Times New Roman"/>
                  <w:sz w:val="18"/>
                  <w:szCs w:val="18"/>
                  <w:b w:val="1"/>
                  <w:bCs w:val="1"/>
                  <w:color w:val="0000EE"/>
                  <w:w w:val="99"/>
                </w:rPr>
                <w:t>ITEM 15. CONTROLS AND PROCEDURES</w:t>
              </w:r>
            </w:hyperlink>
          </w:p>
        </w:tc>
        <w:tc>
          <w:tcPr>
            <w:tcW w:w="5600" w:type="dxa"/>
            <w:vAlign w:val="bottom"/>
            <w:tcBorders>
              <w:top w:val="single" w:sz="8" w:color="0000EE"/>
            </w:tcBorders>
            <w:gridSpan w:val="10"/>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7">
              <w:r>
                <w:rPr>
                  <w:rFonts w:ascii="Times New Roman" w:cs="Times New Roman" w:eastAsia="Times New Roman" w:hAnsi="Times New Roman"/>
                  <w:sz w:val="18"/>
                  <w:szCs w:val="18"/>
                  <w:b w:val="1"/>
                  <w:bCs w:val="1"/>
                  <w:color w:val="0000EE"/>
                </w:rPr>
                <w:t>ITEM 16. RESERVED</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Borders>
              <w:bottom w:val="single" w:sz="8" w:color="0000EE"/>
            </w:tcBorders>
            <w:gridSpan w:val="14"/>
          </w:tcPr>
          <w:p>
            <w:pPr>
              <w:spacing w:after="0"/>
              <w:rPr>
                <w:rFonts w:ascii="Times New Roman" w:cs="Times New Roman" w:eastAsia="Times New Roman" w:hAnsi="Times New Roman"/>
                <w:sz w:val="18"/>
                <w:szCs w:val="18"/>
                <w:b w:val="1"/>
                <w:bCs w:val="1"/>
                <w:color w:val="0000EE"/>
                <w:w w:val="99"/>
              </w:rPr>
            </w:pPr>
            <w:hyperlink w:anchor="page117">
              <w:r>
                <w:rPr>
                  <w:rFonts w:ascii="Times New Roman" w:cs="Times New Roman" w:eastAsia="Times New Roman" w:hAnsi="Times New Roman"/>
                  <w:sz w:val="18"/>
                  <w:szCs w:val="18"/>
                  <w:b w:val="1"/>
                  <w:bCs w:val="1"/>
                  <w:color w:val="0000EE"/>
                  <w:w w:val="99"/>
                </w:rPr>
                <w:t>ITEM 16A. AUDIT COMMITTEE FINANCIAL EXPERT</w:t>
              </w:r>
            </w:hyperlink>
          </w:p>
        </w:tc>
        <w:tc>
          <w:tcPr>
            <w:tcW w:w="5480" w:type="dxa"/>
            <w:vAlign w:val="bottom"/>
            <w:gridSpan w:val="10"/>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7">
              <w:r>
                <w:rPr>
                  <w:rFonts w:ascii="Times New Roman" w:cs="Times New Roman" w:eastAsia="Times New Roman" w:hAnsi="Times New Roman"/>
                  <w:sz w:val="18"/>
                  <w:szCs w:val="18"/>
                  <w:b w:val="1"/>
                  <w:bCs w:val="1"/>
                  <w:color w:val="0000EE"/>
                </w:rPr>
                <w:t>ITEM 16B. CODE OF ETHICS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8">
              <w:r>
                <w:rPr>
                  <w:rFonts w:ascii="Times New Roman" w:cs="Times New Roman" w:eastAsia="Times New Roman" w:hAnsi="Times New Roman"/>
                  <w:sz w:val="18"/>
                  <w:szCs w:val="18"/>
                  <w:b w:val="1"/>
                  <w:bCs w:val="1"/>
                  <w:color w:val="0000EE"/>
                </w:rPr>
                <w:t>ITEM 16C. PRINCIPAL ACCOUNTING FEES AND SERVICES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9">
              <w:r>
                <w:rPr>
                  <w:rFonts w:ascii="Times New Roman" w:cs="Times New Roman" w:eastAsia="Times New Roman" w:hAnsi="Times New Roman"/>
                  <w:sz w:val="18"/>
                  <w:szCs w:val="18"/>
                  <w:b w:val="1"/>
                  <w:bCs w:val="1"/>
                  <w:color w:val="0000EE"/>
                </w:rPr>
                <w:t>ITEM 16D. EXEMPTIONS FROM THE LISTING STANDARDS FOR AUDIT COMMITTEES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0000EE"/>
            </w:tcBorders>
            <w:gridSpan w:val="22"/>
          </w:tcPr>
          <w:p>
            <w:pPr>
              <w:spacing w:after="0"/>
              <w:rPr>
                <w:rFonts w:ascii="Times New Roman" w:cs="Times New Roman" w:eastAsia="Times New Roman" w:hAnsi="Times New Roman"/>
                <w:sz w:val="18"/>
                <w:szCs w:val="18"/>
                <w:b w:val="1"/>
                <w:bCs w:val="1"/>
                <w:color w:val="0000EE"/>
                <w:w w:val="99"/>
              </w:rPr>
            </w:pPr>
            <w:hyperlink w:anchor="page119">
              <w:r>
                <w:rPr>
                  <w:rFonts w:ascii="Times New Roman" w:cs="Times New Roman" w:eastAsia="Times New Roman" w:hAnsi="Times New Roman"/>
                  <w:sz w:val="18"/>
                  <w:szCs w:val="18"/>
                  <w:b w:val="1"/>
                  <w:bCs w:val="1"/>
                  <w:color w:val="0000EE"/>
                  <w:w w:val="99"/>
                </w:rPr>
                <w:t>ITEM 16E. PURCHASES OF EQUITY SECURITIES BY THE ISSUER AND AFFILIATED PURCHASERS</w:t>
              </w:r>
            </w:hyperlink>
          </w:p>
        </w:tc>
        <w:tc>
          <w:tcPr>
            <w:tcW w:w="1580" w:type="dxa"/>
            <w:vAlign w:val="bottom"/>
            <w:gridSpan w:val="2"/>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19">
              <w:r>
                <w:rPr>
                  <w:rFonts w:ascii="Times New Roman" w:cs="Times New Roman" w:eastAsia="Times New Roman" w:hAnsi="Times New Roman"/>
                  <w:sz w:val="18"/>
                  <w:szCs w:val="18"/>
                  <w:b w:val="1"/>
                  <w:bCs w:val="1"/>
                  <w:color w:val="0000EE"/>
                </w:rPr>
                <w:t>ITEM 16F. CHANGE IN REGISTRANT’S CERTIFYING ACCOUNTANT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4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b w:val="1"/>
                <w:bCs w:val="1"/>
                <w:color w:val="0000EE"/>
                <w:w w:val="99"/>
              </w:rPr>
            </w:pPr>
            <w:hyperlink w:anchor="page119">
              <w:r>
                <w:rPr>
                  <w:rFonts w:ascii="Times New Roman" w:cs="Times New Roman" w:eastAsia="Times New Roman" w:hAnsi="Times New Roman"/>
                  <w:sz w:val="18"/>
                  <w:szCs w:val="18"/>
                  <w:b w:val="1"/>
                  <w:bCs w:val="1"/>
                  <w:color w:val="0000EE"/>
                  <w:w w:val="99"/>
                </w:rPr>
                <w:t>ITEM 16G. CORPORATE GOVERNANCE</w:t>
              </w:r>
            </w:hyperlink>
          </w:p>
        </w:tc>
        <w:tc>
          <w:tcPr>
            <w:tcW w:w="2400" w:type="dxa"/>
            <w:vAlign w:val="bottom"/>
            <w:tcBorders>
              <w:top w:val="single" w:sz="8" w:color="0000EE"/>
            </w:tcBorders>
            <w:gridSpan w:val="4"/>
          </w:tcPr>
          <w:p>
            <w:pPr>
              <w:spacing w:after="0"/>
              <w:rPr>
                <w:sz w:val="21"/>
                <w:szCs w:val="21"/>
                <w:color w:val="auto"/>
              </w:rPr>
            </w:pPr>
          </w:p>
        </w:tc>
        <w:tc>
          <w:tcPr>
            <w:tcW w:w="4200" w:type="dxa"/>
            <w:vAlign w:val="bottom"/>
            <w:gridSpan w:val="8"/>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ITEM 16H. MINE SAFETY DISCLOSURE</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ITEM 16I. DISCLOSURE REGARDING FOREIGN JURISDICTIONS THAT PREVENT INSPECTIONS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40" w:type="dxa"/>
            <w:vAlign w:val="bottom"/>
          </w:tcPr>
          <w:p>
            <w:pPr>
              <w:spacing w:after="0"/>
              <w:rPr>
                <w:sz w:val="21"/>
                <w:szCs w:val="21"/>
                <w:color w:val="auto"/>
              </w:rPr>
            </w:pPr>
          </w:p>
        </w:tc>
        <w:tc>
          <w:tcPr>
            <w:tcW w:w="8240" w:type="dxa"/>
            <w:vAlign w:val="bottom"/>
            <w:tcBorders>
              <w:top w:val="single" w:sz="8" w:color="0000EE"/>
            </w:tcBorders>
            <w:gridSpan w:val="21"/>
          </w:tcPr>
          <w:p>
            <w:pPr>
              <w:spacing w:after="0"/>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PART III</w:t>
              </w:r>
            </w:hyperlink>
          </w:p>
        </w:tc>
        <w:tc>
          <w:tcPr>
            <w:tcW w:w="1780" w:type="dxa"/>
            <w:vAlign w:val="bottom"/>
            <w:gridSpan w:val="3"/>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120">
              <w:r>
                <w:rPr>
                  <w:rFonts w:ascii="Times New Roman" w:cs="Times New Roman" w:eastAsia="Times New Roman" w:hAnsi="Times New Roman"/>
                  <w:sz w:val="18"/>
                  <w:szCs w:val="18"/>
                  <w:b w:val="1"/>
                  <w:bCs w:val="1"/>
                  <w:color w:val="0000EE"/>
                  <w:w w:val="99"/>
                </w:rPr>
                <w:t>ITEM 17. FINANCIAL STATEMENTS</w:t>
              </w:r>
            </w:hyperlink>
          </w:p>
        </w:tc>
        <w:tc>
          <w:tcPr>
            <w:tcW w:w="6940" w:type="dxa"/>
            <w:vAlign w:val="bottom"/>
            <w:gridSpan w:val="15"/>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40" w:type="dxa"/>
            <w:vAlign w:val="bottom"/>
          </w:tcPr>
          <w:p>
            <w:pPr>
              <w:spacing w:after="0"/>
              <w:rPr>
                <w:sz w:val="21"/>
                <w:szCs w:val="21"/>
                <w:color w:val="auto"/>
              </w:rPr>
            </w:pPr>
          </w:p>
        </w:tc>
        <w:tc>
          <w:tcPr>
            <w:tcW w:w="306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120">
              <w:r>
                <w:rPr>
                  <w:rFonts w:ascii="Times New Roman" w:cs="Times New Roman" w:eastAsia="Times New Roman" w:hAnsi="Times New Roman"/>
                  <w:sz w:val="18"/>
                  <w:szCs w:val="18"/>
                  <w:b w:val="1"/>
                  <w:bCs w:val="1"/>
                  <w:color w:val="0000EE"/>
                  <w:w w:val="98"/>
                </w:rPr>
                <w:t>ITEM 18. FINANCIAL STATEMENTS</w:t>
              </w:r>
            </w:hyperlink>
          </w:p>
        </w:tc>
        <w:tc>
          <w:tcPr>
            <w:tcW w:w="6960" w:type="dxa"/>
            <w:vAlign w:val="bottom"/>
            <w:gridSpan w:val="16"/>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40" w:type="dxa"/>
            <w:vAlign w:val="bottom"/>
          </w:tcPr>
          <w:p>
            <w:pPr>
              <w:spacing w:after="0"/>
              <w:rPr>
                <w:sz w:val="21"/>
                <w:szCs w:val="21"/>
                <w:color w:val="auto"/>
              </w:rPr>
            </w:pPr>
          </w:p>
        </w:tc>
        <w:tc>
          <w:tcPr>
            <w:tcW w:w="10020" w:type="dxa"/>
            <w:vAlign w:val="bottom"/>
            <w:gridSpan w:val="24"/>
          </w:tcPr>
          <w:p>
            <w:pPr>
              <w:spacing w:after="0"/>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ITEM 19. EXHIBITS.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123">
              <w:r>
                <w:rPr>
                  <w:rFonts w:ascii="Times New Roman" w:cs="Times New Roman" w:eastAsia="Times New Roman" w:hAnsi="Times New Roman"/>
                  <w:sz w:val="18"/>
                  <w:szCs w:val="18"/>
                  <w:b w:val="1"/>
                  <w:bCs w:val="1"/>
                  <w:color w:val="0000EE"/>
                  <w:w w:val="97"/>
                </w:rPr>
                <w:t>SIGNATURES</w:t>
              </w:r>
            </w:hyperlink>
          </w:p>
        </w:tc>
        <w:tc>
          <w:tcPr>
            <w:tcW w:w="600" w:type="dxa"/>
            <w:vAlign w:val="bottom"/>
            <w:tcBorders>
              <w:top w:val="single" w:sz="8" w:color="0000EE"/>
            </w:tcBorders>
          </w:tcPr>
          <w:p>
            <w:pPr>
              <w:spacing w:after="0"/>
              <w:rPr>
                <w:sz w:val="21"/>
                <w:szCs w:val="21"/>
                <w:color w:val="auto"/>
              </w:rPr>
            </w:pPr>
          </w:p>
        </w:tc>
        <w:tc>
          <w:tcPr>
            <w:tcW w:w="8260" w:type="dxa"/>
            <w:vAlign w:val="bottom"/>
            <w:gridSpan w:val="18"/>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0"/>
        </w:trPr>
        <w:tc>
          <w:tcPr>
            <w:tcW w:w="40" w:type="dxa"/>
            <w:vAlign w:val="bottom"/>
          </w:tcPr>
          <w:p>
            <w:pPr>
              <w:spacing w:after="0"/>
              <w:rPr>
                <w:sz w:val="21"/>
                <w:szCs w:val="21"/>
                <w:color w:val="auto"/>
              </w:rPr>
            </w:pPr>
          </w:p>
        </w:tc>
        <w:tc>
          <w:tcPr>
            <w:tcW w:w="58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6"/>
              </w:rPr>
            </w:pPr>
            <w:hyperlink w:anchor="page124">
              <w:r>
                <w:rPr>
                  <w:rFonts w:ascii="Times New Roman" w:cs="Times New Roman" w:eastAsia="Times New Roman" w:hAnsi="Times New Roman"/>
                  <w:sz w:val="18"/>
                  <w:szCs w:val="18"/>
                  <w:b w:val="1"/>
                  <w:bCs w:val="1"/>
                  <w:color w:val="0000EE"/>
                  <w:w w:val="96"/>
                </w:rPr>
                <w:t>INDEX</w:t>
              </w:r>
            </w:hyperlink>
          </w:p>
        </w:tc>
        <w:tc>
          <w:tcPr>
            <w:tcW w:w="9440" w:type="dxa"/>
            <w:vAlign w:val="bottom"/>
            <w:gridSpan w:val="22"/>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8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15"/>
          </w:tcPr>
          <w:p>
            <w:pPr>
              <w:ind w:left="5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ABOUT THIS ANNUAL REPORT</w:t>
      </w:r>
    </w:p>
    <w:p>
      <w:pPr>
        <w:spacing w:after="0" w:line="225"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As used in this Annual Report, except where the context otherwise requires or where otherwise indicated, references to “Global-e,” the “Company,” “we,” “us,” “our,” “our company” and similar references refer to Global-E Online Ltd., together with its consolidated subsidiaries as a consolidated entity.</w:t>
      </w:r>
    </w:p>
    <w:p>
      <w:pPr>
        <w:spacing w:after="0" w:line="176" w:lineRule="exact"/>
        <w:rPr>
          <w:sz w:val="20"/>
          <w:szCs w:val="20"/>
          <w:color w:val="auto"/>
        </w:rPr>
      </w:pPr>
    </w:p>
    <w:p>
      <w:pPr>
        <w:ind w:right="60" w:firstLine="683"/>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ind w:right="500" w:firstLine="551"/>
        <w:spacing w:after="0" w:line="282"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(“GAAP”). We present our consolidated financial statements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fiscal year ends on December 31 of each year. Our most recent fiscal year ended on December 31, 2021.</w:t>
      </w:r>
    </w:p>
    <w:p>
      <w:pPr>
        <w:spacing w:after="0" w:line="225"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Non-GAAP Financial Measures Used in this Annual Report</w:t>
      </w:r>
    </w:p>
    <w:p>
      <w:pPr>
        <w:spacing w:after="0" w:line="229" w:lineRule="exact"/>
        <w:rPr>
          <w:sz w:val="20"/>
          <w:szCs w:val="20"/>
          <w:color w:val="auto"/>
        </w:rPr>
      </w:pPr>
    </w:p>
    <w:p>
      <w:pPr>
        <w:ind w:right="180" w:firstLine="551"/>
        <w:spacing w:after="0" w:line="261" w:lineRule="auto"/>
        <w:rPr>
          <w:sz w:val="20"/>
          <w:szCs w:val="20"/>
          <w:color w:val="auto"/>
        </w:rPr>
      </w:pPr>
      <w:r>
        <w:rPr>
          <w:rFonts w:ascii="Times New Roman" w:cs="Times New Roman" w:eastAsia="Times New Roman" w:hAnsi="Times New Roman"/>
          <w:sz w:val="18"/>
          <w:szCs w:val="18"/>
          <w:color w:val="auto"/>
        </w:rPr>
        <w:t>Throughout this Annual Report, we provide a number of key performance indicators and non-GAAP financial measures used by our management and often by others in our industry. These are discussed in more detail in the section entitled “</w:t>
      </w:r>
      <w:r>
        <w:rPr>
          <w:rFonts w:ascii="Times New Roman" w:cs="Times New Roman" w:eastAsia="Times New Roman" w:hAnsi="Times New Roman"/>
          <w:sz w:val="18"/>
          <w:szCs w:val="18"/>
          <w:i w:val="1"/>
          <w:iCs w:val="1"/>
          <w:color w:val="auto"/>
        </w:rPr>
        <w:t>Operating and Financial Review and Prospects—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Indicators and Other Operating Metrics</w:t>
      </w:r>
      <w:r>
        <w:rPr>
          <w:rFonts w:ascii="Times New Roman" w:cs="Times New Roman" w:eastAsia="Times New Roman" w:hAnsi="Times New Roman"/>
          <w:sz w:val="18"/>
          <w:szCs w:val="18"/>
          <w:color w:val="auto"/>
        </w:rPr>
        <w:t>” which also includes a reconciliation of our non-GAAP financial measures to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U.S. GAAP metric. We define these key performance indicators and non-GAAP financial measures as follows:</w:t>
      </w:r>
    </w:p>
    <w:p>
      <w:pPr>
        <w:spacing w:after="0" w:line="180" w:lineRule="exact"/>
        <w:rPr>
          <w:sz w:val="20"/>
          <w:szCs w:val="20"/>
          <w:color w:val="auto"/>
        </w:rPr>
      </w:pPr>
    </w:p>
    <w:p>
      <w:pPr>
        <w:ind w:left="800" w:hanging="225"/>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Merchandise Value” or “GMV” is defined as the combined amount we collect from the shopper and the merchant for all components of a given transaction, including products, duties and taxes and shipping;</w:t>
      </w:r>
    </w:p>
    <w:p>
      <w:pPr>
        <w:spacing w:after="0" w:line="161" w:lineRule="exact"/>
        <w:rPr>
          <w:rFonts w:ascii="Times New Roman" w:cs="Times New Roman" w:eastAsia="Times New Roman" w:hAnsi="Times New Roman"/>
          <w:sz w:val="18"/>
          <w:szCs w:val="18"/>
          <w:color w:val="auto"/>
        </w:rPr>
      </w:pPr>
    </w:p>
    <w:p>
      <w:pPr>
        <w:ind w:left="800" w:right="440" w:hanging="225"/>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and is defined as operating profit (loss) adjusted for depreciation and amortization, stock-based compensation expenses, offering related expenses and merger and acquisition expenses;</w:t>
      </w:r>
    </w:p>
    <w:p>
      <w:pPr>
        <w:spacing w:after="0" w:line="161" w:lineRule="exact"/>
        <w:rPr>
          <w:rFonts w:ascii="Times New Roman" w:cs="Times New Roman" w:eastAsia="Times New Roman" w:hAnsi="Times New Roman"/>
          <w:sz w:val="18"/>
          <w:szCs w:val="18"/>
          <w:color w:val="auto"/>
        </w:rPr>
      </w:pPr>
    </w:p>
    <w:p>
      <w:pPr>
        <w:ind w:left="800" w:right="280" w:hanging="225"/>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Dollar Retention Rate” for a given period is calculated by dividing the GMV in that period by the GMV in the comparable period in the prior year, in each case, from merchants that processed transactions on our platform in the earlier of the two periods.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aforementioned key performance indicators and non-GAAP financial measures are used by management and our board of directors to assess our performance, for financial and operational decision-making, and as a means to evaluate period-to-period comparisons. These measures are frequently used by analysts, investors and other interested parties to evaluate companies in our industry. We believe that these non-GAAP financial measures are appropriate measures of operating performance because they remove the impact of certain items that we believe do not directly reflect our core operations, and permit investors to view performance using the same tools that we use to budget, forecast, make operating and strategic decisions, and evaluate historical performance.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in this Annual Report concerning economic conditions, our industry, our markets and our competitive position is based on a variety of sources, including statistical,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 Certain estimates and forecasts involve uncertainties and risks and are subject to change based on various factors, including those discussed under the headings “Cautionary Statement Regarding Forward-Looking Statements” and “Item 3.D. Risk Factors” in this Annual Report.</w:t>
      </w:r>
    </w:p>
    <w:p>
      <w:pPr>
        <w:spacing w:after="0" w:line="189"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162"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Certain estimates of market opportunity and forecasts of market growth included in this Annual Report may prove to be inaccurate. The market for e-commerce solutions is relatively new and will experience changes over time. E-commerce market estimates and growth forecasts, whether obtained from third-party sources or developed internally, are uncertain and based on assumptions and estimates that may prove to be inaccurate.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auto"/>
        </w:rPr>
        <w:t>We or our licensors have proprietary rights to trademarks used in this Annual Report. Solely for convenience, trademarks and trade names referred to in this Annual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p>
      <w:pPr>
        <w:spacing w:after="0" w:line="225"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In addition to historical facts, this Annual Report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These forward-looking statements are principally contained in the sections entitled Item 3.D “Key Information—</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Item 4. “Information on the Company,” and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Our estimates and forward-looking statements are mainly based on our management’s current expectations and estimates of future events and trends, which affect or may affect our business, operations, and industry. Although these estimates and forward-looking statements are based upon our management’s current reasonable beliefs and assumptions, they are subject to numerous risks and uncertainties, and are made in light of information currently available to us. Many important factors, in addition to the factors described in this Annual Report, may adversely affect our results as indicated in forward-looking statements. You should read this Annual Report and the documents we have filed as exhibits to the registration statement of which this Annual Report is a part completely, and with the understanding that our actual future results may be materially different and worse from what we expect.</w:t>
      </w:r>
    </w:p>
    <w:p>
      <w:pPr>
        <w:spacing w:after="0" w:line="187" w:lineRule="exact"/>
        <w:rPr>
          <w:sz w:val="20"/>
          <w:szCs w:val="20"/>
          <w:color w:val="auto"/>
        </w:rPr>
      </w:pPr>
    </w:p>
    <w:p>
      <w:pPr>
        <w:ind w:right="320" w:firstLine="551"/>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 are forward-looking statements. In some cases, these forward-looking statements can be identified by words or phrases such as “may,” “might,” “will,” “could,” “would,” “should,” “expect,” “plan,” “anticipate,” “intend,” “seek,” “believe,” “estimate,” “predict,” “potential,” “continue,” “contemplate,” “possible,” or similar words, as well as their negatives. Statements regarding our future results of operations and financial position, growth strategy and plans and objectives of management for future operations, including, among others, expansion in new and existing markets, development and introductions of new products, capital expenditures and debt service obligations, are forward-looking statements.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known and unknown risks, uncertainties, other factors and assumptions, including the risks described in Item 3.D “Key Information—Risk Factors” and elsewhere in this Annual Report.</w:t>
      </w:r>
    </w:p>
    <w:p>
      <w:pPr>
        <w:spacing w:after="0" w:line="162"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period or at all.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those contained in any estimates or forward-looking statements. We qualify all of our estimates and forward-looking statements by these cautionary statements.</w:t>
      </w:r>
    </w:p>
    <w:p>
      <w:pPr>
        <w:spacing w:after="0" w:line="187" w:lineRule="exact"/>
        <w:rPr>
          <w:sz w:val="20"/>
          <w:szCs w:val="20"/>
          <w:color w:val="auto"/>
        </w:rPr>
      </w:pPr>
    </w:p>
    <w:p>
      <w:pPr>
        <w:ind w:right="100" w:firstLine="551"/>
        <w:spacing w:after="0" w:line="266"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contained in this Annual Report, whether as a result of any new information, future events, or otherwise, or to reflect the occurrence of unanticipated events or otherwise.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RISK FACTOR SUMMARY</w:t>
      </w:r>
    </w:p>
    <w:p>
      <w:pPr>
        <w:spacing w:after="0" w:line="225"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3. “Key Information — D. Risk Factors.” You should carefully consider these risks and uncertainties when investing in our ordinary shares. Principal risks and uncertainties affecting our business include the following:</w:t>
      </w:r>
    </w:p>
    <w:p>
      <w:pPr>
        <w:spacing w:after="0" w:line="176" w:lineRule="exact"/>
        <w:rPr>
          <w:sz w:val="20"/>
          <w:szCs w:val="20"/>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and attract new, merchants;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operations;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industry;</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technologies;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merchant needs or develop or acquire new functionality or enhance our existing platform to meet those needs;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manage expansion into additional markets;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protect intellectual property rights;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emerging or evolving regulatory developments, technological changes, and cybersecurity needs;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estimates regarding our capital requirements and our needs for additional financing;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Annual Report under “Risk Factors,” “Operating and Financial Review and Prospects,” and “Business.”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color w:val="auto"/>
        </w:rPr>
        <w:t>PART 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700" w:hanging="368"/>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ind w:left="660" w:right="8080" w:hanging="328"/>
        <w:spacing w:after="0" w:line="500"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320" w:hanging="328"/>
        <w:spacing w:after="0" w:line="500"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 decision to invest in our ordinary shares. Additional risks and uncertainties not presently known to us, or that we currently deem immaterial, may also impair our business operations. Our business, financial condition, or results of operations could be materially and adversely affected by any of these risks and uncertainties. The trading price and value of our ordinary shares could decline due to any of these risks and uncertainties, and you may lose all or part of your investment. This Annual Report also contains forward-looking statements that involve risks and uncertainties. See “Cautionary Statement Regarding Forward-Looking Statements.” Our actual results could differ materially from those anticipated in these forward-looking statements as a result of certain factors, including the risks and uncertainties faced by us described below and elsewhere in this Annual Report.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may not be indicative of our future growth.</w:t>
      </w:r>
    </w:p>
    <w:p>
      <w:pPr>
        <w:spacing w:after="0" w:line="229"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recent periods. Our revenue was $65.9 million, $136.4 million and $245.3 million for the years ended December 31, 2019, 2020 and 2021, respectively, representing an annual growth of 107.1% and 79.9% for the years ended December 31, 2020 and 2021, respectively. GMV processed through our platform during the years ended December 31, 2019, 2020 and 2021 was $382 million, $774 million and $1,449 million, respectively, representing an annual growth of 103% and 87% for the years ended December 31, 2020 and 2021, respectively. In future periods, we may not be able to sustain revenue or GMV growth consistent with recent history, or at all.</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8"/>
          <w:szCs w:val="18"/>
          <w:color w:val="auto"/>
        </w:rPr>
        <w:t>We believe our revenue and GMV growth depends on a number of factors, including, but not limited to, our ability to:</w:t>
      </w:r>
    </w:p>
    <w:p>
      <w:pPr>
        <w:spacing w:after="0" w:line="225" w:lineRule="exact"/>
        <w:rPr>
          <w:sz w:val="20"/>
          <w:szCs w:val="20"/>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overall sales volume facilitated by our platforms;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merchant retention rates;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merchants’ e-commerce sales conversion rates;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merchants into new geographies;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merchants to our platforms in existing and new geographies, segments and verticals;</w:t>
      </w:r>
    </w:p>
    <w:p>
      <w:pPr>
        <w:spacing w:after="0" w:line="225"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the technologies and platforms of Flow Commerce Inc., or Flow, and other businesses we may acquire in the future, into our existing platform;</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integration with our merchants’ online e-commerce web-stores;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reliability and integrity of our platform;</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existing and comply with new applicable laws and regulations, including new tax rates and tariffs;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platform effectively so that we are able to attract and retain merchants;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our current and future competition and competing solutions;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service levels and consistent quality of our platform.</w:t>
      </w:r>
    </w:p>
    <w:p>
      <w:pPr>
        <w:spacing w:after="0" w:line="225"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growth rates may slow and our business could suffer. Further, our rapid growth may make it difficult to evaluate our future prospects. In addition, a portion of our growth in recent periods may be attributed to trends, including the increasing adoption of e-commerce, facilitated by the emergence of the COVID-19 pandemic. There is no assurance these trends will continue.</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existing merchants, or the GMV generated by such merchants on our platform declines or does not increase, our business, operating results and financial condition could be adversely affected.</w:t>
      </w:r>
    </w:p>
    <w:p>
      <w:pPr>
        <w:spacing w:after="0" w:line="159"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Our revenues are correlated with the level of GMV that is processed through our platform and we expect our future revenue growth to be partially driven by increases to our existing merchants’ GMV. We aim to sign contracts with merchants for a minimum term of 12 months and with a minimum committed monthly volume, but our merchants (including our largest merchant, which represented approximately 12% and 10% of total GMV and generated 16% and 13% of our total revenues in the year ended December 31, 2020 and 2021 respectively) typically have the right to terminate their agreements for convenience by providing 30 to 180 days prior written notice, and have no obligation to renew their agreements with us after their terms expire. Even if our agreements with the merchants are renewed or not terminated, they may not be renewed on the same or as profitable terms, and may exclude utilization of our shipping services which may reduce our revenues. Although we typically maintain minimum fee arrangements with the merchants, we cannot guarantee that such minimum fees will be commensurate with revenues earned in previous periods. As a result, if existing merchants terminate their agreements with us, renew them on less favorable terms, or otherwise reduce the scope of their activity through our platform, our operating results and financial condition could suffer.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on our ability to attract new merchants and increase the GMV of transactions processed on our platform.</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Our growth strategies include attracting new merchants to our platform and increasing the GMV processed through our platform. There is no guarantee that we can sustain our historical merchant acquisition rates and if we do, that such new merchants will lead to an increase of the GMV processed through our platform or to an increase in our revenues. Our ability to attract new merchants depends on the success of our platform with existing merchants and the success of our sales and marketing efforts, which may not be successful. Merchants who are not currently engaged in cross-border e-</w:t>
      </w:r>
    </w:p>
    <w:p>
      <w:pPr>
        <w:spacing w:after="0" w:line="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commerce may not be familiar with our solution and those currently engaged in cross-border e-commerce may use other products or services for their cross-border e-commerce needs. In addition, merchants may develop their own solutions to address their cross-border e-commerce needs, purchase competitive product offerings, or engage third-party providers of services and solutions that do not or will not enable the use of our platform and services. It may be difficult to engage and market to merchants who either do not currently have cross-border e-commerce needs, are unfamiliar with our platform and services, or utilize competing solutions and services for their e-commerce needs. This requires us to spend substantial time, effort and resources assisting merchants in evaluating our platform and services, including providing demonstrations, conducting gap analyses and substantiating the value of our platform and services. Furthermore, engaging and marketing to merchants in segments, verticals or new regions where we do not have a presence may also require effort and resources and may not result in the acquisition of new merchants or in increase of GMV. If merchants do not perceive our offerings to be of sufficiently high value and quality, we may not be able to attract new merchants or increase our GMV and our business, operating results and financial condition could be adversely affected.</w:t>
      </w:r>
    </w:p>
    <w:p>
      <w:pPr>
        <w:spacing w:after="0" w:line="193" w:lineRule="exact"/>
        <w:rPr>
          <w:sz w:val="20"/>
          <w:szCs w:val="20"/>
          <w:color w:val="auto"/>
        </w:rPr>
      </w:pPr>
    </w:p>
    <w:p>
      <w:pPr>
        <w:ind w:right="100" w:firstLine="551"/>
        <w:spacing w:after="0" w:line="266" w:lineRule="auto"/>
        <w:rPr>
          <w:sz w:val="20"/>
          <w:szCs w:val="20"/>
          <w:color w:val="auto"/>
        </w:rPr>
      </w:pPr>
      <w:r>
        <w:rPr>
          <w:rFonts w:ascii="Times New Roman" w:cs="Times New Roman" w:eastAsia="Times New Roman" w:hAnsi="Times New Roman"/>
          <w:sz w:val="18"/>
          <w:szCs w:val="18"/>
          <w:color w:val="auto"/>
        </w:rPr>
        <w:t>Additionally, even if we are successful in attracting new merchants, they may not generate GMV or revenue at the same rate or scale as our current or historical merchants. If new merchants that we acquire fail to use our platform to the same extent that our existing merchants do, it would reduce the GMV processed on our platform and therefore our revenue, which could materially adversely affect our operating results and our growth.</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acquire in the future, other businesses. Acquisitions divert a substantial part of our resources and management attention and if we are unable to effectively integrate acquired business, our operating results may materially suffer.</w:t>
      </w:r>
    </w:p>
    <w:p>
      <w:pPr>
        <w:spacing w:after="0" w:line="159"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We recently acquired Flow in January 2022 (the “Flow Merger”), and may in the future acquire complementary solutions, functionalities, technologies or businesses. Seeking and negotiating potential acquisitions to a certain extent diverts our management’s attention from other business concerns and is expensive and time-consuming. Acquisitions expose us and our business to unforeseen liabilities or risks associated with the business or assets acquired or with entering new markets. Through the acquisition of Flow we aim to expand our business into new markets and serve small and emerging brands by utilizing Flow’s technology with our solutions and position our platform as a cross-border solution for any size of merchant. If we are unable to achieve a successful integration of Flow, or effectively integrate other acquired business, we may not be successful in developing and marketing our offerings and our operating results will materially suffer and the potential benefits of the Flow Merger or other potential acquisition may not be realized to the full extent, in a timely fashion or at all. In addition, if the integrated platforms and solutions we offer do not achieve acceptance by the marketplace, our operating results will materially suffer.</w:t>
      </w:r>
    </w:p>
    <w:p>
      <w:pPr>
        <w:spacing w:after="0" w:line="18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acquire new functionality (and if acquired, to integrate it) or enhance our existing platforms to meet the needs of our current and future merchants, or if we fail to estimate the impact of developing and introducing new functionality or enhanced solutions in response to rapid market or technological changes, our revenue could decline and our expenditures could increase significantly.</w:t>
      </w:r>
    </w:p>
    <w:p>
      <w:pPr>
        <w:spacing w:after="0" w:line="175" w:lineRule="exact"/>
        <w:rPr>
          <w:sz w:val="20"/>
          <w:szCs w:val="20"/>
          <w:color w:val="auto"/>
        </w:rPr>
      </w:pPr>
    </w:p>
    <w:p>
      <w:pPr>
        <w:ind w:right="200" w:firstLine="551"/>
        <w:spacing w:after="0" w:line="273" w:lineRule="auto"/>
        <w:rPr>
          <w:sz w:val="20"/>
          <w:szCs w:val="20"/>
          <w:color w:val="auto"/>
        </w:rPr>
      </w:pPr>
      <w:r>
        <w:rPr>
          <w:rFonts w:ascii="Times New Roman" w:cs="Times New Roman" w:eastAsia="Times New Roman" w:hAnsi="Times New Roman"/>
          <w:sz w:val="17"/>
          <w:szCs w:val="17"/>
          <w:color w:val="auto"/>
        </w:rPr>
        <w:t>The e-commerce market is characterized by rapid technological changes, frequent new product and service introductions, evolving industry standards and regulations and changing merchant and shopper preferences. To keep pace with technological and regulatory developments, satisfy increasingly sophisticated merchant and shopper needs, achieve market acceptance and maintain the performance and security of our platforms, we must continue to adapt, enhance, integrate and improve our platforms and existing services and we must also continue to introduce new functionality to our platforms. Any new solutions or functionality we develop or acquire (and subsequently, integrate) may not be introduced in a timely manner and may not achieve the broad market acceptance necessary to generate significant revenue. If we are unable to successfully develop or acquire (and subsequently, integrate) new solutions or enhance our existing solutions, our business, operating results and financial condition could be adversely affected.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firstLine="551"/>
        <w:spacing w:after="0" w:line="269" w:lineRule="auto"/>
        <w:rPr>
          <w:sz w:val="20"/>
          <w:szCs w:val="20"/>
          <w:color w:val="auto"/>
        </w:rPr>
      </w:pPr>
      <w:r>
        <w:rPr>
          <w:rFonts w:ascii="Times New Roman" w:cs="Times New Roman" w:eastAsia="Times New Roman" w:hAnsi="Times New Roman"/>
          <w:sz w:val="17"/>
          <w:szCs w:val="17"/>
          <w:color w:val="auto"/>
        </w:rPr>
        <w:t>We expect to incur significant expenses to develop, integrate and implement additional solutions and functionalities and to integrate any acquired solutions or functionalities into our existing platform to maintain our competitive position. These efforts may not result in commercially viable solutions. We may experience difficulties with software development, industry standards, threats to the security and integrity of our technological infrastructure, design, manufacturing or marketing that could delay or prevent our development, introduction or implementation of new solutions and enhancements. If we do not receive significant revenue from these investments, our business, operating results and financial condition could be adversely affected. Merchants may require customized integrations, or features and functions that we do not yet offer or do not intend to offer, or which we have yet fully integrated or implemented, any of which may cause them to choose a competing solution. If we fail to develop solutions that satisfy merchant and shoppers’ preferences in a timely and cost-effective manner, our ability to renew our contracts with existing merchants and our ability to create or increase demand for our platform could be harmed, and our business, operating results and financial condition could be materially adversely affected. We have recently closed the Flow Merger, the integration of Flow may result in difficulties and delays, require additional investment and costs, and even if completed, may not achieve the economic or market results in terms of revenue creation and improved technological solutions that we have expected or anticipated.</w:t>
      </w:r>
    </w:p>
    <w:p>
      <w:pPr>
        <w:spacing w:after="0" w:line="17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compete against current and future competition or other competing solutions, and we may need to change our pricing and model to remain competitive.</w:t>
      </w:r>
    </w:p>
    <w:p>
      <w:pPr>
        <w:spacing w:after="0" w:line="159" w:lineRule="exact"/>
        <w:rPr>
          <w:sz w:val="20"/>
          <w:szCs w:val="20"/>
          <w:color w:val="auto"/>
        </w:rPr>
      </w:pPr>
    </w:p>
    <w:p>
      <w:pPr>
        <w:ind w:right="200" w:firstLine="551"/>
        <w:spacing w:after="0" w:line="258" w:lineRule="auto"/>
        <w:rPr>
          <w:sz w:val="20"/>
          <w:szCs w:val="20"/>
          <w:color w:val="auto"/>
        </w:rPr>
      </w:pPr>
      <w:r>
        <w:rPr>
          <w:rFonts w:ascii="Times New Roman" w:cs="Times New Roman" w:eastAsia="Times New Roman" w:hAnsi="Times New Roman"/>
          <w:sz w:val="18"/>
          <w:szCs w:val="18"/>
          <w:color w:val="auto"/>
        </w:rPr>
        <w:t>We face increasing competition in the market of cross-border e-commerce, and we expect competition and alternative and competing solutions to intensify in the future. Increased competition could lead to a decrease in the GMV processed through our platforms and could reduce our revenue or margins, any of which could negatively affect our business, financial condition and results of operations. A number of competitive factors could cause merchants to cease using or decline to use our platforms and services, or could reduce the transaction volume that they process through our platforms, including, among others:</w:t>
      </w:r>
    </w:p>
    <w:p>
      <w:pPr>
        <w:spacing w:after="0" w:line="183" w:lineRule="exact"/>
        <w:rPr>
          <w:sz w:val="20"/>
          <w:szCs w:val="20"/>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merchants may choose to develop cross-border e-commerce capabilities internally or choose competing solutions;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merchants may merge with or be acquired by companies using a competing solution or an internally-developed solution;</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solutions may be offered as part of a bundle of e-commerce services;</w:t>
      </w:r>
    </w:p>
    <w:p>
      <w:pPr>
        <w:spacing w:after="0" w:line="225" w:lineRule="exact"/>
        <w:rPr>
          <w:rFonts w:ascii="Times New Roman" w:cs="Times New Roman" w:eastAsia="Times New Roman" w:hAnsi="Times New Roman"/>
          <w:sz w:val="18"/>
          <w:szCs w:val="18"/>
          <w:color w:val="auto"/>
        </w:rPr>
      </w:pPr>
    </w:p>
    <w:p>
      <w:pPr>
        <w:ind w:left="800" w:right="60" w:hanging="225"/>
        <w:spacing w:after="0" w:line="266"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competition and competing solutions may adopt more aggressive pricing policies, offer more attractive sales terms, adapt more quickly to new technologies and changes in merchant requirements or devote greater resources to the promotion and sale of their products and solutions than we can; and</w:t>
      </w:r>
    </w:p>
    <w:p>
      <w:pPr>
        <w:spacing w:after="0" w:line="175" w:lineRule="exact"/>
        <w:rPr>
          <w:rFonts w:ascii="Times New Roman" w:cs="Times New Roman" w:eastAsia="Times New Roman" w:hAnsi="Times New Roman"/>
          <w:sz w:val="18"/>
          <w:szCs w:val="18"/>
          <w:color w:val="auto"/>
        </w:rPr>
      </w:pPr>
    </w:p>
    <w:p>
      <w:pPr>
        <w:ind w:left="800" w:right="420" w:hanging="225"/>
        <w:spacing w:after="0" w:line="282"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competition may merge or establish cooperative relationships among themselves or with third parties to enhance their products, solutions and expand their markets, forming alliances that rapidly acquire significant market share.</w:t>
      </w:r>
    </w:p>
    <w:p>
      <w:pPr>
        <w:spacing w:after="0" w:line="162" w:lineRule="exact"/>
        <w:rPr>
          <w:sz w:val="20"/>
          <w:szCs w:val="20"/>
          <w:color w:val="auto"/>
        </w:rPr>
      </w:pPr>
    </w:p>
    <w:p>
      <w:pPr>
        <w:ind w:right="60" w:firstLine="551"/>
        <w:spacing w:after="0" w:line="266" w:lineRule="auto"/>
        <w:rPr>
          <w:sz w:val="20"/>
          <w:szCs w:val="20"/>
          <w:color w:val="auto"/>
        </w:rPr>
      </w:pPr>
      <w:r>
        <w:rPr>
          <w:rFonts w:ascii="Times New Roman" w:cs="Times New Roman" w:eastAsia="Times New Roman" w:hAnsi="Times New Roman"/>
          <w:sz w:val="18"/>
          <w:szCs w:val="18"/>
          <w:color w:val="auto"/>
        </w:rPr>
        <w:t>We cannot assure that we will be able to compete successfully against current and future competition or competing solutions. If we cannot compete successfully against our current and future competition or such competing solutions, our business, operating results and financial condition could be materially and negatively impacted.</w:t>
      </w:r>
    </w:p>
    <w:p>
      <w:pPr>
        <w:spacing w:after="0" w:line="176"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In addition, as new or existing competing solutions may be offered in competitive prices, we may be unable to retain existing merchants or attract new merchants. Mid-market and large enterprise merchants may demand substantial price discounts as part of the negotiation of contracts. As a result, we could be required to choose either to reduce our prices or otherwise change our pricing model, or both, which could adversely affect our business, operating results, and financial condition.</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realize the benefits of strategic alliances, joint ventures or partnership arrangements, including with third-party e-commerce platforms. Any failure to manage such strategic alliances, partnerships or joint ventures, or to integrate them with our existing or future business, could have a material adverse effect on us.</w:t>
      </w:r>
    </w:p>
    <w:p>
      <w:pPr>
        <w:spacing w:after="0" w:line="175"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We have entered into partnership arrangements, and in the future may consider opportunities to enter into additional arrangements or strategic alliances that may be beneficial for our operations and the growth of our platform. Our ability to grow through these types of partnerships is subject to a number of risks, including unanticipated costs associated with strategic alliances, issues conforming to standards, procedures and contractual requirements, and diversion of management’s attention from our existing business. For example, we have entered into a Services and Partnership Agreement with Shopify Inc. and its affiliates (“Shopify”), dated April 12, 2021 (the “2021 Shopify Agreement”), and concurrently with the acquisition of Flow, we entered into an Amended and Restated Master Services Agreement with Flow and Shopify, dated January 4, 2022 (the “2022 Shopify Agreement,” and together with the 2021 Shopify Agreement, the “Shopify Agreements”), making our platform services and the Flow platform services, respectively, available to certain Shopify merchants through Shopify’s e-commerce platform. Entering into such relationship with Shopify requires us to incur non-recurring and other charges, significantly increasing our near and long-term expenditures. In addition, the 2021 Shopify Agreement requires us to pay Shopify fees equal to a percentage of the GMV for all transactions processed through the respective platforms for applicable Shopify merchants, which may negatively impact our margins. In connection with entering into the Shopify Agreements, we issued securities to Shopify which may dilute our existing shareholders. The potential benefits of our relationship with Shopify are hard to estimate or quantify at this time, and we cannot be certain that our arrangement with Shopify will provide the revenue or net income that justifies such transaction.</w:t>
      </w:r>
    </w:p>
    <w:p>
      <w:pPr>
        <w:spacing w:after="0" w:line="187" w:lineRule="exact"/>
        <w:rPr>
          <w:sz w:val="20"/>
          <w:szCs w:val="20"/>
          <w:color w:val="auto"/>
        </w:rPr>
      </w:pPr>
    </w:p>
    <w:p>
      <w:pPr>
        <w:ind w:right="300" w:firstLine="551"/>
        <w:spacing w:after="0" w:line="261" w:lineRule="auto"/>
        <w:rPr>
          <w:sz w:val="20"/>
          <w:szCs w:val="20"/>
          <w:color w:val="auto"/>
        </w:rPr>
      </w:pPr>
      <w:r>
        <w:rPr>
          <w:rFonts w:ascii="Times New Roman" w:cs="Times New Roman" w:eastAsia="Times New Roman" w:hAnsi="Times New Roman"/>
          <w:sz w:val="18"/>
          <w:szCs w:val="18"/>
          <w:color w:val="auto"/>
        </w:rPr>
        <w:t>Each of the Shopify Agreements is terminable by either party immediately upon notice of certain events, subject to applicable cure periods, or without cause upon prior notice. Any termination of each of the Shopify Agreements could have a material adverse effect on our business, financial condition or results of operations. These risks could apply to any similar arrangement we may enter into, and any potential future collaborations may be similarly terminable by our collaborators.</w:t>
      </w:r>
    </w:p>
    <w:p>
      <w:pPr>
        <w:spacing w:after="0" w:line="17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model is reliant on our ability to integrate our platform with third-party e-commerce platforms, our ability to operate according to such third parties’ terms of use and integration requirements, and our ability to maintain any partnership that we have entered into or may enter into with such third parties. Inability or failure to do so would reduce the attractiveness of our solutions for use by current and future merchants.</w:t>
      </w:r>
    </w:p>
    <w:p>
      <w:pPr>
        <w:spacing w:after="0" w:line="180"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Merchants sometimes carry out e-commerce activity through third-party e-commerce platforms, such as Salesforce Commerce Cloud, Shopify, BigCommerce, Magento Commerce, SAP/Hybris, WooCommerce, PrestaShop and others. Our ability to attract merchants that utilize such platforms to conduct their e-commerce activity is contingent on our ability to integrate our solutions into the e-commerce platforms they use. Each of the companies that operates these e-commerce platforms dictates the terms of use of its respective platform, including the manner and procedure by which we integrate to its platform. To the extent any such operators offer or promote alternative products or solutions or would limit or prevent merchants from utilizing our platform, our business, financial condition or results of operations could be materially and adversely affected.</w:t>
      </w:r>
    </w:p>
    <w:p>
      <w:pPr>
        <w:spacing w:after="0" w:line="187" w:lineRule="exact"/>
        <w:rPr>
          <w:sz w:val="20"/>
          <w:szCs w:val="20"/>
          <w:color w:val="auto"/>
        </w:rPr>
      </w:pPr>
    </w:p>
    <w:p>
      <w:pPr>
        <w:ind w:right="140" w:firstLine="551"/>
        <w:spacing w:after="0" w:line="256" w:lineRule="auto"/>
        <w:rPr>
          <w:sz w:val="20"/>
          <w:szCs w:val="20"/>
          <w:color w:val="auto"/>
        </w:rPr>
      </w:pPr>
      <w:r>
        <w:rPr>
          <w:rFonts w:ascii="Times New Roman" w:cs="Times New Roman" w:eastAsia="Times New Roman" w:hAnsi="Times New Roman"/>
          <w:sz w:val="18"/>
          <w:szCs w:val="18"/>
          <w:color w:val="auto"/>
        </w:rPr>
        <w:t>Some of these companies also demand that certain certification processes are satisfied prior to implementing an integration into the e-commerce platform they operate. Compliance with such terms may subject us to waiting periods due to certification and onboarding processes and may require us to modify aspects of our platform’s functionality in order to fit applicable technical standards. While we exert substantial efforts to maintain compliance, and although notice of changes and instructions are typically provided in advance, the terms of use and requirements may change unilaterally at the discretion of the e-commerce platform, and none of our efforts as a result would be sufficient. If we fail to maintain certification or compliance, the willingness of merchants to adopt or continue to use our solutions may be by reduced.</w:t>
      </w:r>
    </w:p>
    <w:p>
      <w:pPr>
        <w:spacing w:after="0" w:line="187"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8"/>
          <w:szCs w:val="18"/>
          <w:color w:val="auto"/>
        </w:rPr>
        <w:t>In addition, in the event that our solutions do not integrate optimally with third-party e-commerce platforms, leading to errors, defects, disruption or other performance problems, shoppers’ experience will be adversely affected, our reputation may be harmed and our ability to achieve and maintain growth among merchants on the e-commerce platforms would be adversely affected.</w:t>
      </w:r>
    </w:p>
    <w:p>
      <w:pPr>
        <w:spacing w:after="0" w:line="176"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We have recently entered into the respective Shopify Agreements. If we are unable to perform under the agreements, fail to maintain our relationship with Shopify, or the Shopify Agreements are otherwise terminated for any reason, our business, financial condition and results of operation could be materially and adversely effected.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or maintaining the functionality of our platforms or if real or perceived errors, failures, vulnerabilities, or bugs in our platforms abound, our business, results of operations, and financial condition could be adversely affected.</w:t>
      </w:r>
    </w:p>
    <w:p>
      <w:pPr>
        <w:spacing w:after="0" w:line="15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Any errors, defects, or disruptions in our platforms, or other performance problems with our platforms could harm our reputation and may damage the businesses of our merchants. Our platform could contain undetected errors, “bugs” or misconfigurations that could adversely affect its performance. Additionally, we regularly update and enhance our platform and introduce new versions of our platform and service. These updates may contain undetected errors when introduced or released, which may cause disruptions in our services and may reduce merchants and shoppers satisfaction. Our continued growth depends in part on our ability to maintain the existing functionality of our platform and services (and implementing the functionality of our acquired platforms), meet our service levels, prevent down time and degradation of services on our platforms for both merchants and shoppers. Failure to do so may result in damage to our reputation which may have an adverse effect on our business and results of operation.</w:t>
      </w:r>
    </w:p>
    <w:p>
      <w:pPr>
        <w:spacing w:after="0" w:line="189"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We have experienced in the past and may in the future experience disruptions, data loss, outages, and other performance problems with our infrastructure due to a variety of factors, including infrastructure changes, introductions of new functionality, human or software errors, capacity constraints, denial-of-service attacks, ransomware attacks, or other security-related incidents. In some instances, we may not be able to identify the cause or causes of these performance problems immediately or in short order. We may not be able to maintain the level of service uptime and performance required by merchants, especially during peak usage times as traffic and volumes increase. Since our merchants rely on our platforms to carry out cross-border e-commerce on an ongoing basis, any outage on our platforms would have a direct adverse impact on our merchants business. Our merchants may seek compensation from us for any losses they suffer or cease conducting business with us altogether. Further, a merchant could share information about bad experiences, which could result in damage to our reputation and loss of current and future sales. There can be no assurance that provisions typically included in our contracts with our merchants that attempt to limit our exposure to claims would be enforceable or adequate or would otherwise protect us from liabilities or damages with respect to any particular claim. Even if not successful, a claim brought against us by any of our merchants would likely be time-consuming and costly to defend and could seriously damage our reputation and harm our ability to attract new merchants to our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operating expenses in the future, and we may not be able to achieve profitability.</w:t>
      </w:r>
    </w:p>
    <w:p>
      <w:pPr>
        <w:spacing w:after="0" w:line="229"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We incurred significant net losses of $7.5 million and $74.9 million for the years ended December 31, 2019 and 2021, respectively. Because the market for our platform and services is rapidly evolving, it is difficult for us to predict our future results of operations or the limits of our market opportunity. As a result of our entry into the Shopify Agreements and the related issuance of warrants to purchase ordinary shares to Shopify, we recognize commercial agreement assets which are recognized upon the vesting of the warrants, and are amortized over time. This results in increased sales and marketing expenses and the reporting of a net loss for the year ended December 31, 2021 and we expect this will continue to result in significant increases to sales and marketing expenses in future periods and the reporting of net losses for such periods. In addition, as a result of the Flow Merger we expect to recognize intangible assets amortization expense over the next few years. We also expect our operating expenses to significantly increase over the next several years as we hire additional personnel, expand into new geographies, expand our partnerships, operations, and infrastructure, continue to enhance our platforms, develop and expand their features, integrations and capabilities, expand and improve our service offering and increase our spending on sales and marketing. We intend to continue to build and enhance our platforms through internal research and development and we may also selectively pursue acquisitions. In addition, as a public company, we will continue to incur additional significant legal, accounting, and other expenses that we did not incur as a private company. If we are unable to maintain revenues high enough to offset the expected increases in our operating expenses, we will not be profitable in future periods.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or maintain high levels of service and merchants satisfaction.</w:t>
      </w:r>
    </w:p>
    <w:p>
      <w:pPr>
        <w:spacing w:after="0" w:line="15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technological, operational and financial resources. For example, our headcount has grown from 289 employees as at December 31, 2020 to 473 employees as at December 31, 2021. We have established international offices, including offices in Israel, the U.S., the UK, France, Japan, Australia and Singapore, and we plan to continue to expand our international operations into other countries in the future. We have also experienced significant growth in both the number of merchants and the number of transactions facilitated by our platform. For example, during the year ended December 31, 2021, approximately 7.0 million transactions were processed through our platform, generating in the aggregate $1,449 million of GMV, representing an increase of 87% relative to the GMV for the year ended December 31, 2020. Additionally, our organizational structure is becoming more complex as we scale our technological, operational, financial and management controls as well as our reporting systems and procedures.</w:t>
      </w:r>
    </w:p>
    <w:p>
      <w:pPr>
        <w:spacing w:after="0" w:line="192"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adapt to our developing needs in these areas without undermining our culture, which has been central to our growth so far. If we fail to manage our anticipated growth and change in a manner that preserves the key aspects of our corporate culture, the quality of our platform and services may suffer, which could negatively affect merchants and shoppers and as a result our reputation.</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59" w:lineRule="exact"/>
        <w:rPr>
          <w:sz w:val="20"/>
          <w:szCs w:val="20"/>
          <w:color w:val="auto"/>
        </w:rPr>
      </w:pPr>
    </w:p>
    <w:p>
      <w:pPr>
        <w:ind w:right="140" w:firstLine="551"/>
        <w:spacing w:after="0" w:line="258"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183"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seasonal fluctuations. If we fail to accommodate increased volumes during peak seasons and events, our results of operations may be adversely affected.</w:t>
      </w:r>
    </w:p>
    <w:p>
      <w:pPr>
        <w:spacing w:after="0" w:line="159"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Our business is seasonal in nature and the fourth quarter is a significant period for our operating results. Our revenue is correlated with the level of GMV that our merchants generate through our platform, and our merchants typically process additional GMV in the fourth quarter, which includes Black Friday, Cyber Monday and the holiday season and other peak events included in the e-commerce calendar, such as Chinese Singles’ Day and Thanksgiving. In the years ended December 31, 2019, 2020 and 2021, fourth quarter GMV represented approximately 38%, 39% and 35%, respectively, of our total GMV. As a result, GMV and accordingly our revenue will generally decline in the first quarter of each year relative to the fourth quarter of the previous year.</w:t>
      </w:r>
    </w:p>
    <w:p>
      <w:pPr>
        <w:spacing w:after="0" w:line="187" w:lineRule="exact"/>
        <w:rPr>
          <w:sz w:val="20"/>
          <w:szCs w:val="20"/>
          <w:color w:val="auto"/>
        </w:rPr>
      </w:pPr>
    </w:p>
    <w:p>
      <w:pPr>
        <w:ind w:right="140" w:firstLine="551"/>
        <w:spacing w:after="0" w:line="261" w:lineRule="auto"/>
        <w:rPr>
          <w:sz w:val="20"/>
          <w:szCs w:val="20"/>
          <w:color w:val="auto"/>
        </w:rPr>
      </w:pPr>
      <w:r>
        <w:rPr>
          <w:rFonts w:ascii="Times New Roman" w:cs="Times New Roman" w:eastAsia="Times New Roman" w:hAnsi="Times New Roman"/>
          <w:sz w:val="18"/>
          <w:szCs w:val="18"/>
          <w:color w:val="auto"/>
        </w:rPr>
        <w:t>Any disruption in our ability to process and ship shopper orders, especially during the fourth quarter, could have a negative effect on our quarterly and annual operating results. Surges in volumes during peak periods may strain our technological infrastructure, logistics channels, shopper and merchant support activities as well as our third-party service providers. Inability of any of these components to process increased volumes may prevent us from efficiently processing and shipping orders, which may reduce our GMV and the attractiveness of our platform.</w:t>
      </w:r>
    </w:p>
    <w:p>
      <w:pPr>
        <w:spacing w:after="0" w:line="180" w:lineRule="exact"/>
        <w:rPr>
          <w:sz w:val="20"/>
          <w:szCs w:val="20"/>
          <w:color w:val="auto"/>
        </w:rPr>
      </w:pPr>
    </w:p>
    <w:p>
      <w:pPr>
        <w:ind w:right="200" w:firstLine="551"/>
        <w:spacing w:after="0" w:line="266" w:lineRule="auto"/>
        <w:rPr>
          <w:sz w:val="20"/>
          <w:szCs w:val="20"/>
          <w:color w:val="auto"/>
        </w:rPr>
      </w:pPr>
      <w:r>
        <w:rPr>
          <w:rFonts w:ascii="Times New Roman" w:cs="Times New Roman" w:eastAsia="Times New Roman" w:hAnsi="Times New Roman"/>
          <w:sz w:val="18"/>
          <w:szCs w:val="18"/>
          <w:color w:val="auto"/>
        </w:rPr>
        <w:t>Any disruption to our operations or the operations of our merchants, our shipping and logistics partners, or other service providers could lead to a material decrease in GMV or revenues relative to our expectations for the fourth quarter which could result in a significant shortfall in revenue and operating cash flows for the full year.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 w:name="page15"/>
    <w:bookmarkEnd w:id="1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revenue and evaluate our business and future prospects, especially in light of the COVID-19 pandemic and its impact on consumer behavior.</w:t>
      </w:r>
    </w:p>
    <w:p>
      <w:pPr>
        <w:spacing w:after="0" w:line="15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We launched our operations in 2013 and our growth has occurred primarily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while our ongoing operations are impacted by the COVID-19 pandemic and its related restrictions, the onset of the COVID-</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19 pandemic has greatly accelerated existing trends of shoppers moving online and merchants prioritizing digital channels and D2C, due in part to the shutdown of bricks-and-mortar stores, social distancing measures and travel restrictions which have diverted spending previously conducted in physical stores to the online space. Consumers diverting spending to online stores and e-commerce platforms, as well as merchants recognizing the importance of either transitioning to e-commerce or supplementing their existing efforts with an e-commerce offering, has created a substantial growth opportunity for us to service this newfound demand and interest in both e-commerce generally and cross-border e-commerce specifically. Although to date, the COVID-</w:t>
      </w:r>
    </w:p>
    <w:p>
      <w:pPr>
        <w:spacing w:after="0" w:line="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19 pandemic has had a generally positive impact on our growth and business, there is an uncertainty regarding future developments and whether the increased e-commerce adoption resulting from the COVID-19 pandemic will continue as brick-and-mortar stores re-open and restrictions are lifted. It is possible that the growth in GMV and revenues in recent periods may not be indicative of future results.</w:t>
      </w:r>
    </w:p>
    <w:p>
      <w:pPr>
        <w:spacing w:after="0" w:line="186" w:lineRule="exact"/>
        <w:rPr>
          <w:sz w:val="20"/>
          <w:szCs w:val="20"/>
          <w:color w:val="auto"/>
        </w:rPr>
      </w:pPr>
    </w:p>
    <w:p>
      <w:pPr>
        <w:ind w:right="200" w:firstLine="551"/>
        <w:spacing w:after="0" w:line="266" w:lineRule="auto"/>
        <w:rPr>
          <w:sz w:val="20"/>
          <w:szCs w:val="20"/>
          <w:color w:val="auto"/>
        </w:rPr>
      </w:pPr>
      <w:r>
        <w:rPr>
          <w:rFonts w:ascii="Times New Roman" w:cs="Times New Roman" w:eastAsia="Times New Roman" w:hAnsi="Times New Roman"/>
          <w:sz w:val="18"/>
          <w:szCs w:val="18"/>
          <w:color w:val="auto"/>
        </w:rPr>
        <w:t>Accordingly, we may be unable to prepare accurate internal financial forecasts or replace anticipated revenue that we do not receive as a result of these factors. If we do not address these risks successfully, our results of operations could differ materially from our estimates and forecasts or the expectations of investors, causing our business to suffer and our ordinary share price to decline.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marketing and sales capabilities could harm our ability to increase our merchant base and achieve broader market acceptance of our platform.</w:t>
      </w:r>
    </w:p>
    <w:p>
      <w:pPr>
        <w:spacing w:after="0" w:line="159" w:lineRule="exact"/>
        <w:rPr>
          <w:sz w:val="20"/>
          <w:szCs w:val="20"/>
          <w:color w:val="auto"/>
        </w:rPr>
      </w:pPr>
    </w:p>
    <w:p>
      <w:pPr>
        <w:ind w:right="160" w:firstLine="551"/>
        <w:spacing w:after="0" w:line="255" w:lineRule="auto"/>
        <w:rPr>
          <w:sz w:val="20"/>
          <w:szCs w:val="20"/>
          <w:color w:val="auto"/>
        </w:rPr>
      </w:pPr>
      <w:r>
        <w:rPr>
          <w:rFonts w:ascii="Times New Roman" w:cs="Times New Roman" w:eastAsia="Times New Roman" w:hAnsi="Times New Roman"/>
          <w:sz w:val="18"/>
          <w:szCs w:val="18"/>
          <w:color w:val="auto"/>
        </w:rPr>
        <w:t>Our ability to increase our merchant base and achieve broader market acceptance of our platform will depend on our ability to expand our marketing and sales operations. We plan to continue expanding our sales force and our reliance on strategic partners. We also plan to dedicate significant resources to sales and marketing programs, including search engine and online advertising. Our business and operating results will be harmed if our sales and marketing efforts do not generate a corresponding increase in GMV and revenue. We may not achieve anticipated GMV and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Furthermore, if the cost of marketing our platform increases, our business and operating results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Lengthy sales cycles with enterprise merchants make it difficult to predict our future revenue and cause variability in our operating results.</w:t>
      </w:r>
    </w:p>
    <w:p>
      <w:pPr>
        <w:spacing w:after="0" w:line="22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Our sales cycle can vary substantially from merchant to merchant, but with enterprise merchants it typically requires 12 to 16 weeks on average. Our ability to accurately forecast revenue is affected by our ability to forecast new merchant acquisition. Lengthy sales cycles make it difficult to predict the quarter in which revenue from a new merchant may first be recognized. If we overestimate new merchant growth, our revenue will not grow as quickly as our estimates, our costs and expenses may continue to exceed our revenue and our ability to become profitable will be harmed. In addition, we plan our operating expenses, including sales and marketing expenses, and our hiring needs in part on our forecasts of new merchant growth and future revenue. If new merchant growth or revenue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 w:name="page16"/>
    <w:bookmarkEnd w:id="15"/>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on our ability to operate internationally, making us susceptible to risks associated with cross-border sales and operations.</w:t>
      </w:r>
    </w:p>
    <w:p>
      <w:pPr>
        <w:spacing w:after="0" w:line="15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We currently support cross-border transactions of merchants in multiple countries of origin to shoppers in over 200 destination markets and territories and settle transactions in more than 100 currencies. We aim to expand our operations to support more outbound countries, and reach new markets and geographies. Conducting international operations subjects us to risks and burdens which include:</w:t>
      </w:r>
    </w:p>
    <w:p>
      <w:pPr>
        <w:spacing w:after="0" w:line="176" w:lineRule="exact"/>
        <w:rPr>
          <w:sz w:val="20"/>
          <w:szCs w:val="20"/>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solutions, including product customizations and adaptation for local practices and regulatory requirements;</w:t>
      </w:r>
    </w:p>
    <w:p>
      <w:pPr>
        <w:spacing w:after="0" w:line="225" w:lineRule="exact"/>
        <w:rPr>
          <w:rFonts w:ascii="Times New Roman" w:cs="Times New Roman" w:eastAsia="Times New Roman" w:hAnsi="Times New Roman"/>
          <w:sz w:val="18"/>
          <w:szCs w:val="18"/>
          <w:color w:val="auto"/>
        </w:rPr>
      </w:pPr>
    </w:p>
    <w:p>
      <w:pPr>
        <w:ind w:left="800" w:right="60" w:hanging="225"/>
        <w:spacing w:after="0" w:line="261"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179"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exposure to fraud;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uncertainty in foreign countries with less developed legal systems;</w:t>
      </w:r>
    </w:p>
    <w:p>
      <w:pPr>
        <w:spacing w:after="0" w:line="225" w:lineRule="exact"/>
        <w:rPr>
          <w:rFonts w:ascii="Times New Roman" w:cs="Times New Roman" w:eastAsia="Times New Roman" w:hAnsi="Times New Roman"/>
          <w:sz w:val="18"/>
          <w:szCs w:val="18"/>
          <w:color w:val="auto"/>
        </w:rPr>
      </w:pPr>
    </w:p>
    <w:p>
      <w:pPr>
        <w:ind w:left="800" w:right="500" w:hanging="225"/>
        <w:spacing w:after="0" w:line="282"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differing employer/employee relationships;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that may increase our foreign exchange exposure;</w:t>
      </w:r>
    </w:p>
    <w:p>
      <w:pPr>
        <w:spacing w:after="0" w:line="225" w:lineRule="exact"/>
        <w:rPr>
          <w:rFonts w:ascii="Times New Roman" w:cs="Times New Roman" w:eastAsia="Times New Roman" w:hAnsi="Times New Roman"/>
          <w:sz w:val="18"/>
          <w:szCs w:val="18"/>
          <w:color w:val="auto"/>
        </w:rPr>
      </w:pPr>
    </w:p>
    <w:p>
      <w:pPr>
        <w:ind w:left="800" w:right="780" w:hanging="225"/>
        <w:spacing w:after="0" w:line="282"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tax laws (including with respect to value added taxes) and restrictions on the repatriation of earnings;</w:t>
      </w:r>
    </w:p>
    <w:p>
      <w:pPr>
        <w:spacing w:after="0" w:line="161" w:lineRule="exact"/>
        <w:rPr>
          <w:rFonts w:ascii="Times New Roman" w:cs="Times New Roman" w:eastAsia="Times New Roman" w:hAnsi="Times New Roman"/>
          <w:sz w:val="18"/>
          <w:szCs w:val="18"/>
          <w:color w:val="auto"/>
        </w:rPr>
      </w:pPr>
    </w:p>
    <w:p>
      <w:pPr>
        <w:ind w:left="800" w:right="100" w:hanging="225"/>
        <w:spacing w:after="0" w:line="282"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likelihood of potential or actual violations of domestic and international anti-money laundering laws and anticorruption laws, such as the U.S. Foreign Corrupt Practices Act and the U.K. Bribery Act;</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 foreign markets;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 staffing operations over a broader geographic area with varying cultural norms and customs;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e-commerce and mobile technology adoption and infrastructure;</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800" w:right="600" w:hanging="225"/>
        <w:spacing w:after="0" w:line="282"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related to compliance with the numerous and ever-growing landscape of international data privacy and cybersecurity regimes, many of which involve disparate standards and enforcement approaches; and</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which may require that merchant and/or shopper data be processed and stored in a designated territory.</w:t>
      </w:r>
    </w:p>
    <w:p>
      <w:pPr>
        <w:spacing w:after="0" w:line="225" w:lineRule="exact"/>
        <w:rPr>
          <w:sz w:val="20"/>
          <w:szCs w:val="20"/>
          <w:color w:val="auto"/>
        </w:rPr>
      </w:pPr>
    </w:p>
    <w:p>
      <w:pPr>
        <w:ind w:right="260" w:firstLine="551"/>
        <w:spacing w:after="0" w:line="282" w:lineRule="auto"/>
        <w:rPr>
          <w:sz w:val="20"/>
          <w:szCs w:val="20"/>
          <w:color w:val="auto"/>
        </w:rPr>
      </w:pPr>
      <w:r>
        <w:rPr>
          <w:rFonts w:ascii="Times New Roman" w:cs="Times New Roman" w:eastAsia="Times New Roman" w:hAnsi="Times New Roman"/>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services, such as shipping partners and payment providers, in our platforms and services.</w:t>
      </w:r>
    </w:p>
    <w:p>
      <w:pPr>
        <w:spacing w:after="0" w:line="229" w:lineRule="exact"/>
        <w:rPr>
          <w:sz w:val="20"/>
          <w:szCs w:val="20"/>
          <w:color w:val="auto"/>
        </w:rPr>
      </w:pPr>
    </w:p>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our shipping partners, to deliver products from the merchants to the shoppers.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and adverse weather conditions, or other adverse changes related to such third-party services, including as a result of the COVID-19 pandemic or the measures attempting to contain and mitigate the effects thereof, could increase our costs and disrupt our operations and our ability to deliver products from the merchants to our shoppers on the timing they expect or at all. The failure of our shipping partners to provide quality customer service when delivering products to shoppers would adversely affect the merchants and our relationship with the merchants which in turn could negatively impact our business and operating results. Furthermore, we rely on third parties to process payments and we cannot guarantee that such providers will perform adequately. Errors made by, or delays in service from, such third-party providers could adversely affect our ability to process payments and process purchases by shoppers on our platform in a timely manner or at all, which could adversely affect our business, operating results and financial condition.</w:t>
      </w:r>
    </w:p>
    <w:p>
      <w:pPr>
        <w:spacing w:after="0" w:line="194"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Our success will depend on our ability to build and maintain relationships with these and other third-party service providers on commercially reasonable terms. If we are unable to build and maintain such relationships on commercially reasonable terms, we may have to suspend or cease operations. Even if we are able to build and maintain such relationships, if these third parties are unable to deliver their services on a timely basis, shoppers could become dissatisfied and decline to make future purchases from the merchants, which would adversely affect our revenue. If the merchants become dissatisfied with the services provided by these third parties, our reputation and our business could suffer.</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as merchant of record for sales conducted using our platform imposes certain obligations and subjects us to certain risks applicable to actors that place products in the market such as product liability, shipping compliance, and waste and packaging compliance.</w:t>
      </w:r>
    </w:p>
    <w:p>
      <w:pPr>
        <w:spacing w:after="0" w:line="159"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Our business model and activities are predicated upon our operating as the merchant of record (“MoR”) of the products sold through our platforms. As a result of us being identified as a seller rather than the merchants, we could bear responsibility for the products and may be liable for product liability claims brought by our shoppers or other third parties, and we may be subject to various regulatory compliance requirements, such as waste and packaging compliance. Although we have policies in place crafted to ensure compliance and reduce risk of such liabilities, for example by avoiding the sale of products that we determine to be “high risk,” and although our commercial arrangements with the merchants typically require the merchants to cover such liabilities, it is possible that we may be subject to product liability or other compliance regulations or litigation and may incur various related costs which may or may not be fully covered by our contractual arrangements or insurance coverage. Furthermore, any actual or alleged non-compliance on our part in a specific geography may not be treated by local authorities as an isolated event. Heightened scrutiny by local authorities in a specific geography could impede our local activities irrespective of the product vertical or merchant from which the products originated.</w:t>
      </w:r>
    </w:p>
    <w:p>
      <w:pPr>
        <w:spacing w:after="0" w:line="188"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color w:val="auto"/>
        </w:rPr>
        <w:t>As MoR, we could be adversely affected if the packages provided by the merchants do not contain the correct articles ordered by the shopper, or if articles and the packages provided by the merchants are not shipped in compliance with applicable rules or do not contain all requisite documentation for cross-border shipping. Failure to ensure such compliance may result in shipping delays or diminished shopper satisfaction, result in confiscation or destruction of articles and payment of additional costs, fines or assessments from our fulfillment partners and other third parties, which in turn may adversely affect our results of operations.</w:t>
      </w:r>
    </w:p>
    <w:p>
      <w:pPr>
        <w:spacing w:after="0" w:line="183" w:lineRule="exact"/>
        <w:rPr>
          <w:sz w:val="20"/>
          <w:szCs w:val="20"/>
          <w:color w:val="auto"/>
        </w:rPr>
      </w:pPr>
    </w:p>
    <w:p>
      <w:pPr>
        <w:ind w:right="120" w:firstLine="551"/>
        <w:spacing w:after="0" w:line="266" w:lineRule="auto"/>
        <w:rPr>
          <w:sz w:val="20"/>
          <w:szCs w:val="20"/>
          <w:color w:val="auto"/>
        </w:rPr>
      </w:pPr>
      <w:r>
        <w:rPr>
          <w:rFonts w:ascii="Times New Roman" w:cs="Times New Roman" w:eastAsia="Times New Roman" w:hAnsi="Times New Roman"/>
          <w:sz w:val="18"/>
          <w:szCs w:val="18"/>
          <w:color w:val="auto"/>
        </w:rPr>
        <w:t>While merchandise is in our possession, we bear the risk of loss. While the majority of merchants are responsible for transporting the goods to our facilities, certain of our merchant agreements require us to take possession of products for an extended period of time. To the extent that products are damaged, lost or stolen during the period in which we bear the risk of loss, our business may be adversely affected.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 w:name="page18"/>
    <w:bookmarkEnd w:id="17"/>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provision of shipping services is dependent on third-party providers of cross-docking services for which we have limited redundancy. To the extent that we may be unable to secure comparable services in the countries in which we operate, the ongoing operation of our business may be adversely affected.</w:t>
      </w:r>
    </w:p>
    <w:p>
      <w:pPr>
        <w:spacing w:after="0" w:line="175" w:lineRule="exact"/>
        <w:rPr>
          <w:sz w:val="20"/>
          <w:szCs w:val="20"/>
          <w:color w:val="auto"/>
        </w:rPr>
      </w:pPr>
    </w:p>
    <w:p>
      <w:pPr>
        <w:ind w:right="100" w:firstLine="551"/>
        <w:spacing w:after="0" w:line="256" w:lineRule="auto"/>
        <w:rPr>
          <w:sz w:val="20"/>
          <w:szCs w:val="20"/>
          <w:color w:val="auto"/>
        </w:rPr>
      </w:pPr>
      <w:r>
        <w:rPr>
          <w:rFonts w:ascii="Times New Roman" w:cs="Times New Roman" w:eastAsia="Times New Roman" w:hAnsi="Times New Roman"/>
          <w:sz w:val="18"/>
          <w:szCs w:val="18"/>
          <w:color w:val="auto"/>
        </w:rPr>
        <w:t>In the countries in which we operate, we rely on third-party providers of “cross-docking services” to collect, sort and prepare for cross-border shipping the products sold by merchants through our platform. We generally employ a single provider of cross-docking services in each of our outbound markets due to a paucity of providers and minimum volume requirements imposed by such providers. Our ability to ship products in a timely manner is dependent on our ability to secure cross-docking services and in the event that we cannot secure them in specific geographies, or are unable to secure them at competitive prices or with adequate service reliability and availability, our operations may be adversely affected. Moreover, if a cross-docking service provider fails to provide the service, our operations will be adversely affected until such time that we are able to shift to an alternative provider.</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through our e-commerce platforms subject us to regulatory requirements, additional fees, and other risks that could be costly and difficult to comply with or that could harm our business.</w:t>
      </w:r>
    </w:p>
    <w:p>
      <w:pPr>
        <w:spacing w:after="0" w:line="15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process a wide range of payment methods, including credit and debit cards, as well as other alternative payment methods and this ability is facilitated by the payment card and alternative payment networks. We do not directly acquire the payment card networks that enable our acceptance of payment cards and alternative payment methods. As a result, we must rely on banks, acquiring processors and other third-party payment processors to process transactions on our behalf. These third parties perform the card processing, currency exchange, identity verification and fraud analysis services. These third parties may fail or refuse to process transactions adequately, may breach their agreements with us, or may refuse to renegotiate or renew these agreements on terms that are favorable or commercially reasonable. They might also take actions that degrade the functionality of our services, impose additional costs or requirements on us, or give preferential treatment to competitive competing services, including their own services. If we are unsuccessful in establishing, renegotiating or maintaining mutually beneficial relationships with these payment card networks, banks and acquiring processors, our business may be harmed.</w:t>
      </w:r>
    </w:p>
    <w:p>
      <w:pPr>
        <w:spacing w:after="0" w:line="188"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We are required by our third-party payment processors to comply with payment card network operating rules, including the Payment Card Industry Data Security Standard (“PCI DSS”), and we have agreed to reimburse our payment processors for any fees or fines that they are assessed by payment card networks as a result of any rule violations by us or our merchants. The payment card schemes have discretion to determine, change and interpret the card rules, and our third-party payment processors are required to assess our compliance with the card scheme rules, and may make assessments or determinations that are unfavorable to our business model. In past assessments of us operating as MoR, we demonstrated our compliance with MoR operating rules and demonstrated that we should not be subject to compliance with other operating rules (e.g. such as those applicable to “payment facilitators”). There is no assurance that the third-party payment processors or their payment card networks will not re-evaluate that conclusion, or make a different determination in the future. If such third-party payment processors or their payment card networks were to determine that we must comply with other operating rules, we may be subject to additional regulations, might incur higher compliance costs, and may be required to modify certain aspects of our platform and service offering in order to maintain compliance, which may have an adverse impact on our business.</w:t>
      </w:r>
    </w:p>
    <w:p>
      <w:pPr>
        <w:spacing w:after="0" w:line="194" w:lineRule="exact"/>
        <w:rPr>
          <w:sz w:val="20"/>
          <w:szCs w:val="20"/>
          <w:color w:val="auto"/>
        </w:rPr>
      </w:pPr>
    </w:p>
    <w:p>
      <w:pPr>
        <w:ind w:right="240" w:firstLine="551"/>
        <w:spacing w:after="0" w:line="256" w:lineRule="auto"/>
        <w:rPr>
          <w:sz w:val="20"/>
          <w:szCs w:val="20"/>
          <w:color w:val="auto"/>
        </w:rPr>
      </w:pPr>
      <w:r>
        <w:rPr>
          <w:rFonts w:ascii="Times New Roman" w:cs="Times New Roman" w:eastAsia="Times New Roman" w:hAnsi="Times New Roman"/>
          <w:sz w:val="18"/>
          <w:szCs w:val="18"/>
          <w:color w:val="auto"/>
        </w:rPr>
        <w:t>If we fail to comply with the payment card network rules, we would be in breach of our contractual obligations to our third-party payment processors, financial institutions, partners and merchants. Such failure to comply may subject us to fines, penalties, damages, higher transaction fees and civil liability, and could eventually prevent us from processing or accepting payment methods or could lead to a loss of a third-party payment processor. Further, there is no guarantee that, even if we are in compliance with such rules or requirements, such compliance will prevent illegal or improper use of our payment systems or the theft, loss, or misuse of data pertaining to credit and debit cards, credit and debit card holders, and credit and debit card transactions.</w:t>
      </w:r>
    </w:p>
    <w:p>
      <w:pPr>
        <w:spacing w:after="0" w:line="187" w:lineRule="exact"/>
        <w:rPr>
          <w:sz w:val="20"/>
          <w:szCs w:val="20"/>
          <w:color w:val="auto"/>
        </w:rPr>
      </w:pPr>
    </w:p>
    <w:p>
      <w:pPr>
        <w:ind w:right="60" w:firstLine="551"/>
        <w:spacing w:after="0" w:line="266" w:lineRule="auto"/>
        <w:rPr>
          <w:sz w:val="20"/>
          <w:szCs w:val="20"/>
          <w:color w:val="auto"/>
        </w:rPr>
      </w:pPr>
      <w:r>
        <w:rPr>
          <w:rFonts w:ascii="Times New Roman" w:cs="Times New Roman" w:eastAsia="Times New Roman" w:hAnsi="Times New Roman"/>
          <w:sz w:val="18"/>
          <w:szCs w:val="18"/>
          <w:color w:val="auto"/>
        </w:rPr>
        <w:t>In addition, we face the risk that one or more payment card networks or other third-party payment processors may, at any time, assess penalties against us or our merchants, or terminate our ability to accept credit card payments or other forms of online payments from shoppers, which would have an adverse effect on our business, financial condition and operating results.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that may subject us to liability if we are not in full compliance with applicable economic sanctions and export control laws.</w:t>
      </w:r>
    </w:p>
    <w:p>
      <w:pPr>
        <w:spacing w:after="0" w:line="159"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Our activities are subject to certain economic sanctions and export control laws and regulations that prohibit or restrict transactions or dealings with certain countries, regions, governments and persons targeted by U.S., Israel, E.U. or other applicable jurisdictions’ embargoes or sanctions. As a result, we bear the responsibility for ensuring that transactions processed through our platform are conducted in compliance with such laws and regulations. U.S., Israel and E.U. sanctions may change from time to time, and the countries, regions, governments and persons that are sanctioned by each jurisdiction may be different. Ensuring compliance with applicable export control laws and regulations requires ongoing efforts and resources. Identifying commerce with, or sales made to, sanctioned countries or denied parties and obtaining export licenses or other authorizations for a particular product sale may be time-consuming and may result in the delay or loss of sales opportunities even if the export license ultimately may be granted. We generally apply precautions to prevent sales to sanctioned countries and denied parties, such as screening against listed denied parties and blocking sales at the point of checkout; however, we cannot guarantee that the precautions we take will prevent all violations of applicable export control and sanctions laws. We are aware that certain sales of immaterial value and volume made by certain of our non-Israeli merchants through our platform, operated by one or more of our non-Israeli subsidiaries, to a specific country (not sanctioned under U.S. or E.U. laws), as to which country we apply the foregoing precautions, are not in compliance with certain Israeli export laws. Violations of U.S., Israeli or E.U. sanctions or export control laws may result in penalties and significant fines and possible incarceration of responsible employees and managers could be imposed for criminal violations of these laws.</w:t>
      </w:r>
    </w:p>
    <w:p>
      <w:pPr>
        <w:spacing w:after="0" w:line="187"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color w:val="auto"/>
        </w:rPr>
        <w:t>If our carriers and brokers fail to file or obtain appropriate import, export or re-export declarations,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The recent outbreak of war in Ukraine has prompted the U.S. and other governments to impose new Trade Controls on Russia, among other countries. Additional Trade Controls by the U.S. and other governments enacted due to geopolitics or otherwise, and any counter-sanctions enacted in response, could restrict our ability to operate, generate or collect revenue in certain other countries, which could adversely affect our business.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import regulations and restrictions of each country to which we ship merchandise and non-compliance with such regulations may subject us to liability and may impede our ability to provide services in specific geographies in the future.</w:t>
      </w:r>
    </w:p>
    <w:p>
      <w:pPr>
        <w:spacing w:after="0" w:line="159" w:lineRule="exact"/>
        <w:rPr>
          <w:sz w:val="20"/>
          <w:szCs w:val="20"/>
          <w:color w:val="auto"/>
        </w:rPr>
      </w:pPr>
    </w:p>
    <w:p>
      <w:pPr>
        <w:ind w:right="140" w:firstLine="551"/>
        <w:spacing w:after="0" w:line="256" w:lineRule="auto"/>
        <w:rPr>
          <w:sz w:val="20"/>
          <w:szCs w:val="20"/>
          <w:color w:val="auto"/>
        </w:rPr>
      </w:pPr>
      <w:r>
        <w:rPr>
          <w:rFonts w:ascii="Times New Roman" w:cs="Times New Roman" w:eastAsia="Times New Roman" w:hAnsi="Times New Roman"/>
          <w:sz w:val="18"/>
          <w:szCs w:val="18"/>
          <w:color w:val="auto"/>
        </w:rPr>
        <w:t>Import and export regulations and restrictions vary by country, product and quantity and require costly resources in order to ensure compliance. While we take precautions in order to avoid non-compliance with these restrictions, including focusing on products that carry lower inherent risk of being subject to import/export restrictions and avoiding highly regulated industries, some of the products offered using our platform may be subject to such restrictions. For example, the United States Food and Drug Administration regulates the import of sunglasses as medical devices, and the Australian Department of Agriculture regulates the import of timber, wood articles or bamboo related products. Non-compliance with the local import rules and restrictions applicable to such products may cause our products to be detained, confiscated, or destroyed at the port of entry.</w:t>
      </w:r>
    </w:p>
    <w:p>
      <w:pPr>
        <w:spacing w:after="0" w:line="18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In addition, because we operate as MoR, in the event that we are flagged by a specific country due to non-compliance with import restrictions applicable to a specific product or vertical our ability to continue to import such product in the future may be impeded, regardless of the identity of the merchant from which the product originates. If our service offerings are curtailed to exclude the import of whole verticals to specific countries, or if we are barred from importing products of any vertical to specific countries, our GMV attributable to such destination markets may decrease, our reputation will be harmed, and our platform will become less attractive to our current and future merchants.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 w:name="page20"/>
    <w:bookmarkEnd w:id="19"/>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the personal importation model and its applicability to the products provided to shoppers. Any modification of the rules, requirements or applicability of this model may adversely affect our business.</w:t>
      </w:r>
    </w:p>
    <w:p>
      <w:pPr>
        <w:spacing w:after="0" w:line="159"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The products provided by the merchants to shoppers are shipped to and imported by the shopper for personal rather than commercial use. Each country determines its own rules and criteria for an import to qualify as importation for personal use, and determines which, if any, licenses, certifications, registrations, fees, quantity limitations and obligations apply to such an import. In the event that certain countries modify their personal importation rules, or impose additional compliance requirements or limitations related to this form of import, it could have an adverse effect on the cross-border e-commerce market as a whole, and may reduce the demand for cross-border e-commerce purchases. This in turn would reduce the demand for our platform and services and have an adverse effect on our business and result of operations.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store personal information of merchants and shoppers. 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p>
    <w:p>
      <w:pPr>
        <w:spacing w:after="0" w:line="175"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Our operations involve the storage and transmission of data, including personal information and other confidential information of our third-party providers, merchants and shoppers. Third-party applications that we rely on for provision of certain services, such as acquiring processors, may also store personal information, credit card information, and other confidential information. We have experienced and expect to continue to experience actual and attempted cyber-attacks of our IT networks, such as through phishing scams and ransomware. Although none of these actual or attempted cyber-attacks has had a material adverse impact on our operations or financial condition, we cannot guarantee that such incidents will not have such an impact in the future. Cyberattacks and other malicious internet-based activity continue to increase, and cloud-based platform providers of services are expected to continue to be targeted. Threats include traditional computer “hackers,” malicious code (such as viruses and worms), employee theft or misuse and denial-of-service attacks. Sophisticated nation-states and nation-state supported actors now engage in such attacks, including advanced persistent threat intrusions. Although we do not store payment card information, hackers and adverse third parties may mistake us for the merchants, causing them to target us in order to obtain payment card information. Despite significant efforts to create security barriers to such threats, it is virtually impossible for us to entirely mitigate these risks. If our security measures are compromised as a result of third-party action, employee or merchant error, malfeasance, stolen or fraudulently obtained log-in credentials, technical malfunction or otherwise, our reputation could be damaged, our business may be harmed, and we could incur significant liability (including, but not limited to, fines imposed by data privacy authorities). Moreover, many companies that provide cloud-based services have reported a significant increase in cyberattack activity since the beginning of the COVID-19 pandemic.</w:t>
      </w:r>
    </w:p>
    <w:p>
      <w:pPr>
        <w:spacing w:after="0" w:line="197"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Because the techniques used to obtain unauthorized access or sabotage systems change frequently and generally are not identified until they are launched against a target, we may be unable to anticipate these techniques or to implement adequate preventative measures. Additionally, because we rely on third-party and public-cloud infrastructure, we are reliant in part on third-party security measures to protect against unauthorized access, cyberattacks, and the mishandling of shopper and merchant data. Even if such a data breach did not arise out of our action or inaction, or if it were to affect our competition rather than us, the resulting concern could negatively affect merchants, shoppers and our business. Concerns regarding data privacy and security may cause some of our merchants to stop using our platform and fail to renew their agreements with us. In addition, failures to meet merchants’ or shoppers’ expectations with respect to security and confidentiality of their data and information could damage our reputation and affect our ability to retain merchants, attract new merchants, and grow our business. Furthermore, failure to comply with legal or contractual requirements around the security of personal information could lead to significant fines and penalties, as well as claims by merchants and shoppers.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spacing w:after="0" w:line="192" w:lineRule="exact"/>
        <w:rPr>
          <w:sz w:val="20"/>
          <w:szCs w:val="20"/>
          <w:color w:val="auto"/>
        </w:rPr>
      </w:pPr>
    </w:p>
    <w:p>
      <w:pPr>
        <w:ind w:right="840" w:firstLine="551"/>
        <w:spacing w:after="0" w:line="282" w:lineRule="auto"/>
        <w:rPr>
          <w:sz w:val="20"/>
          <w:szCs w:val="20"/>
          <w:color w:val="auto"/>
        </w:rPr>
      </w:pPr>
      <w:r>
        <w:rPr>
          <w:rFonts w:ascii="Times New Roman" w:cs="Times New Roman" w:eastAsia="Times New Roman" w:hAnsi="Times New Roman"/>
          <w:sz w:val="18"/>
          <w:szCs w:val="18"/>
          <w:color w:val="auto"/>
        </w:rPr>
        <w:t>A cybersecurity event could have significant costs, including regulatory enforcement actions, litigation, litigation indemnity obligations, remediation costs, network downtime, increases in insurance premiums, and reputational damage.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 w:name="page21"/>
    <w:bookmarkEnd w:id="20"/>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the services provided by third-party data centers or internet service providers could impair our platform and our business could suffer.</w:t>
      </w:r>
    </w:p>
    <w:p>
      <w:pPr>
        <w:spacing w:after="0" w:line="159" w:lineRule="exact"/>
        <w:rPr>
          <w:sz w:val="20"/>
          <w:szCs w:val="20"/>
          <w:color w:val="auto"/>
        </w:rPr>
      </w:pPr>
    </w:p>
    <w:p>
      <w:pPr>
        <w:ind w:right="540" w:firstLine="551"/>
        <w:spacing w:after="0" w:line="282" w:lineRule="auto"/>
        <w:rPr>
          <w:sz w:val="20"/>
          <w:szCs w:val="20"/>
          <w:color w:val="auto"/>
        </w:rPr>
      </w:pPr>
      <w:r>
        <w:rPr>
          <w:rFonts w:ascii="Times New Roman" w:cs="Times New Roman" w:eastAsia="Times New Roman" w:hAnsi="Times New Roman"/>
          <w:sz w:val="18"/>
          <w:szCs w:val="18"/>
          <w:color w:val="auto"/>
        </w:rPr>
        <w:t>We rely on the internet and, accordingly, depend upon the continuous, reliable, and secure operation of internet servers, related hardware and software, and network infrastructure. Any damage to, failure or delay of our systems would prevent us from operating our business.</w:t>
      </w:r>
    </w:p>
    <w:p>
      <w:pPr>
        <w:spacing w:after="0" w:line="162"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We host our platform using third-party data centers and providers of cloud infrastructure services. We currently use one third-party provider for these data and cloud services. Our operations depend on protecting the virtual cloud infrastructure hosted by this cloud services provider by maintaining its configuration, architecture, and interconnection specifications, as well as the information stored in these virtual data centers and transmitted by third-party internet service providers. Furthermore, we have no physical access to or control over the services provided by our cloud services provider. Although we have disaster recovery plans that utilize multiple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our data, or prevent us from being able to continuously back up or record changes in our platform. In the event of significant physical damage to one of these data centers, it may take a significant period of time to achieve full resumption of our services, we may incur data loss during the service resumption process and our disaster recovery planning may not account for all eventualities. Further, a prolonged service disruption to our cloud services provider, affecting our platform for any of the foregoing reasons could damage our reputation with current and potential organizations, expose us to liability, cause us to lose merchants and shoppers, or otherwise harm our business. We may also incur significant costs for using alternative equipment or taking other actions in preparation for, or in reaction to, events that damage the systems we use. Damage or interruptions to these data centers could harm our business. Moreover, negative publicity arising from these types of disruptions could damage our reputation and may adversely impact use of our solutions and platform. We may not carry sufficient business interruption insurance to compensate us for losses that may occur as a result of any events that cause interruptions in our service. Further, the contractual commitments that we provide to merchants on our platform as well as our third-party providers with regard to data privacy and security are limited by the commitments that our third-party cloud infrastructure services provider has provided us and these measures may not fully address the risks associated with the third-party processing, storage and transmission of such information. Any violation of data or security laws by our third party providers could adversely impact our business.</w:t>
      </w:r>
    </w:p>
    <w:p>
      <w:pPr>
        <w:spacing w:after="0" w:line="191" w:lineRule="exact"/>
        <w:rPr>
          <w:sz w:val="20"/>
          <w:szCs w:val="20"/>
          <w:color w:val="auto"/>
        </w:rPr>
      </w:pPr>
    </w:p>
    <w:p>
      <w:pPr>
        <w:ind w:right="140" w:firstLine="551"/>
        <w:spacing w:after="0" w:line="256" w:lineRule="auto"/>
        <w:rPr>
          <w:sz w:val="20"/>
          <w:szCs w:val="20"/>
          <w:color w:val="auto"/>
        </w:rPr>
      </w:pPr>
      <w:r>
        <w:rPr>
          <w:rFonts w:ascii="Times New Roman" w:cs="Times New Roman" w:eastAsia="Times New Roman" w:hAnsi="Times New Roman"/>
          <w:sz w:val="18"/>
          <w:szCs w:val="18"/>
          <w:color w:val="auto"/>
        </w:rPr>
        <w:t>Our cloud services provider enables us to order and reserve server capacity in varying amounts and sizes distributed across multiple regions. In addition, our cloud services provider provides us with computing and storage capacity pursuant to terms of service that continue until terminated by either party. If we do not accurately predict our infrastructure capacity requirements, merchants could experience service shortfalls which could interrupt the performance of our platform, which could adversely affect the perception of its reliability and our revenue and harm the sales and business of our merchants. We may also be unable to effectively address capacity constraints, upgrade our systems as needed and continually develop our technology and network architecture to accommodate actual and anticipated changes in technology.</w:t>
      </w:r>
    </w:p>
    <w:p>
      <w:pPr>
        <w:spacing w:after="0" w:line="187"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Our platform is utilized by a large number of merchants, and as we continue to expand the number of merchants and shoppers, we may not be able to scale our technology to accommodate the increased capacity requirements, which may result in interruptions or delays in service. Merchants often draw significant numbers of shoppers over short periods of time (typically during events such as new product releases, holiday shopping season and flash sales). In the event that merchants conduct a high volume of sales in a short period of time, we may not be capable of securing the then-necessary capacity for such traffic which may cause a degradation in the quality of our platform and services. Furthermore, if we are incapable of anticipating high traffic levels and reserving server capacity accordingly, our platform and services may be adversely affected. In addition, the failure of our cloud services provider’s data centers or third-party internet service providers to meet our capacity requirements could impede our ability to scale our operations. In some cases, our cloud services provider may terminate the agreement for cause upon 30 days’ notice. Termination of the agreement may harm our ability to access data centers we need to host our platform or to do so on terms as favorable as those we currently have in place. We currently rely exclusively on one cloud services provider for our cloud infrastructure and therefore a transition to an alternative provider may take time, cause us to incur additional costs and reduce the quality and functionality of our platform.</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shipping rates could negatively impact our revenues generated through shipping services.</w:t>
      </w:r>
    </w:p>
    <w:p>
      <w:pPr>
        <w:spacing w:after="0" w:line="229" w:lineRule="exact"/>
        <w:rPr>
          <w:sz w:val="20"/>
          <w:szCs w:val="20"/>
          <w:color w:val="auto"/>
        </w:rPr>
      </w:pPr>
    </w:p>
    <w:p>
      <w:pPr>
        <w:ind w:right="100" w:firstLine="551"/>
        <w:spacing w:after="0" w:line="255" w:lineRule="auto"/>
        <w:rPr>
          <w:sz w:val="20"/>
          <w:szCs w:val="20"/>
          <w:color w:val="auto"/>
        </w:rPr>
      </w:pPr>
      <w:r>
        <w:rPr>
          <w:rFonts w:ascii="Times New Roman" w:cs="Times New Roman" w:eastAsia="Times New Roman" w:hAnsi="Times New Roman"/>
          <w:sz w:val="18"/>
          <w:szCs w:val="18"/>
          <w:color w:val="auto"/>
        </w:rPr>
        <w:t>Shipping rates and surcharges are volatile and subject to market fluctuations. A portion of our revenues is generated through shipping services provided through our shipping and logistics partners. Therefore, a substantial increase in shipping rates may reduce our margins from shipping services. Although some of such cost would be borne by merchants and shoppers, significant increases of costs may diminish demand for cross-border e-commerce, reduce the attractiveness of our service among merchants and adversely affect our results of operations. In particular, DHL, (which holds more than 5% of our outstanding ordinary shares) provided shipping services with respect to 58% of the parcels processed on our platform for the year ended December 31, 2021. The terms of our arrangements with DHL may be less favorable than the terms we could have received if entering into similar arrangements with third parties that are not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 of foreign currencies could adversely impact our results of operations.</w:t>
      </w:r>
    </w:p>
    <w:p>
      <w:pPr>
        <w:spacing w:after="0" w:line="229"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A majority of our purchase and sale transactions are carried out in different currencies and we bear the risk of diminution in value of the shopper’s purchasing currency in the interim periods between the transaction stages (e.g. placement/payment and returns/refund). Despite the natural hedge provided by our bi-directional volume of sales and broad international activity, we may incur additional costs and experience losses resulting from fluctuations in exchange rates.</w:t>
      </w:r>
    </w:p>
    <w:p>
      <w:pPr>
        <w:spacing w:after="0" w:line="180"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color w:val="auto"/>
        </w:rPr>
        <w:t>We currently have revenues denominated in foreign currencies, including Pounds Sterling, Euros, and US Dollars and may in the future have significant sales denominated in the currencies of additional countries. We incur a substantial portion of our operating expenses in New Israeli Shekels, Pounds Sterling and US Dollars, and to a lesser extent, other foreign currencies. We may incur additional costs and experience losses resulting from fluctuations in exchange rates for revenues in foreign currencies or upon translation of New Israeli Shekels expenses incurred in Israel, or Pounds Sterling expenses incurred in the United Kingdom, to US Dollars which may negatively impact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29" w:lineRule="exact"/>
        <w:rPr>
          <w:sz w:val="20"/>
          <w:szCs w:val="20"/>
          <w:color w:val="auto"/>
        </w:rPr>
      </w:pPr>
    </w:p>
    <w:p>
      <w:pPr>
        <w:ind w:right="100" w:firstLine="551"/>
        <w:spacing w:after="0" w:line="258" w:lineRule="auto"/>
        <w:rPr>
          <w:sz w:val="20"/>
          <w:szCs w:val="20"/>
          <w:color w:val="auto"/>
        </w:rPr>
      </w:pPr>
      <w:r>
        <w:rPr>
          <w:rFonts w:ascii="Times New Roman" w:cs="Times New Roman" w:eastAsia="Times New Roman" w:hAnsi="Times New Roman"/>
          <w:sz w:val="18"/>
          <w:szCs w:val="18"/>
          <w:color w:val="auto"/>
        </w:rPr>
        <w:t>Merchants rely on our personnel for support related to our platform and services. High-quality support is important for maintaining, renewing and expanding our agreements with existing merchants and maintaining our reputation among merchants. As we expand our business and pursue engagements with new merchants, the importance of high-quality support will increase, and we expect to incur additional support related costs in order to meet the requirements of our new and future merchants. If we do not help merchants and shoppers quickly to resolve issues and provide effective ongoing support, our ability to retain existing merchants and attract new merchants could suffer and our reputation could be harmed.</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enhance our reputation and awareness of our platform, our ability to expand the number of merchants using our platform and increase our GMV will be impaired, our reputation may be harmed, and our business, results of operations, and financial condition may suffer.</w:t>
      </w:r>
    </w:p>
    <w:p>
      <w:pPr>
        <w:spacing w:after="0" w:line="159"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awareness and a favorable reputation is critical to achieving widespread acceptance of our platform and services and is an important element in attracting new merchants to our platform, and retaining existing merchants. Furthermore, we believe that the importance of brand recognition will increase as competition in our market increases. Our ability to increase awareness will depend largely on the effectiveness of our marketing efforts, our ability to ensure that our platform and services remain of high quality, reliable, and useful at competitive prices, our ability to maintain our merchants’ trust, our ability to continue to develop new functionality and solutions, and our ability to successfully differentiate our platform.</w:t>
      </w:r>
    </w:p>
    <w:p>
      <w:pPr>
        <w:spacing w:after="0" w:line="187"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Efforts to increase awareness may not yield increased revenue, and even if they do, any increased revenue may not offset the expenses we incur. If we fail to successfully promote our platform, or incur substantial expenses in an unsuccessful attempt to promote our platform, we may fail to attract new merchants or grow or maintain the volume of sales facilitated by our platform to the extent necessary to realize a sufficient return on our marketing efforts, and our business, results of operations, and financial condition could suffer.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may be harmed by our merchants’ or third-party service providers’ unethical business practices.</w:t>
      </w:r>
    </w:p>
    <w:p>
      <w:pPr>
        <w:spacing w:after="0" w:line="22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Our emphasis on our values makes our reputation particularly sensitive to allegations of unethical business practices by our merchants or third-party service providers. Our policies promote legal and ethical business practices. However, we do not control our merchants or third-party service providers or their business practices and cannot ensure that they comply with our policies. If our merchants or third-party service providers engage in illegal or unethical business practices or are perceived to do so, we may receive negative publicity and our reputation may be harmed.</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e-commerce transactions, and if our platform and services do not operate as effectively when the merchants’ sites and checkout pages are accessed through these devices, the merchants’ experience will be negatively impacted, reducing merchant satisfaction with our platform and services.</w:t>
      </w:r>
    </w:p>
    <w:p>
      <w:pPr>
        <w:spacing w:after="0" w:line="175"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E-commerce transacted over mobile devices (including tablets and other hand-held devices) continues to grow more rapidly than desktop transactions. We are dependent on the interoperability of our platforms with third-party mobile devices, merchants’ mobile applications and mobile operating systems as well as web browsers. Changes in such devices, systems, applications or web browsers that degrade the functionality of our platform could adversely affect adoption and usage of our platform and services. For example, we provide our merchants with development libraries which allow for easy implementation of our platform as well as bug and error fixes. Our merchants’ ability to timely utilize such libraries in order to fix bugs and errors is contingent on application stores (such as Google Play and Apple App Store) approving our software development kit and libraries. If such approval is not obtained in a timely manner, merchant may be delayed in fixing bugs and errors relating to the use of our platform and may forgo the use of our solutions until an applicable error or bug fix is available. Mobile e-commerce and effective mobile functionality are integral both to our merchants and to our long-term growth strategy. If the functionality of our platforms is inhibited when access to our merchants’ stores is done through mobile devices, our business and operating results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continued use of the internet for commerce.</w:t>
      </w:r>
    </w:p>
    <w:p>
      <w:pPr>
        <w:spacing w:after="0" w:line="229"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Our success depends upon the general public’s continued willingness to use the internet as a means to pay for purchases, communicate, access social media, research and conduct commercial transactions, including through mobile devices. Federal, state, or foreign government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platform and services, increase our cost of doing business and harm our results of operations. Changes in these laws or regulations could require us to modify our platform, or certain aspects of it,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platforms such as ours. In addition, the use of the internet could be harmed due to delays in the development or adoption of new standards and protocols to handle increased demands of internet activity, security, reliability, cost, ease-of-use, accessibility, and quality of service. Further, demand for our platform depends on the quality of shoppers’ access to the internet. Certain features of our platform may require significant bandwidth and fidelity to work effectively. Internet access is frequently provided by companies that have significant market power that could take actions that degrade, disrupt or increase the cost of access to our platform, which would negatively impact our business. The performance of the internet and its acceptance as a commerce tool has been harmed by “viruses,” “worms” and similar malicious programs and the internet has experienced a variety of outages and other delays as a result of damage to portions of its infrastructure. If the use of the internet is adversely affected by these issues, demand for platform and services could decline. Additionally, if merchants or shoppers become unwilling or less willing to use the internet for commerce for any other reason, including lack of access to high-speed communications equipment, congestion of traffic on the internet, internet outages or delays, disruptions or other damage to merchants’ and shoppers computers, increases in the cost of accessing the internet and security and privacy risks or the perception of such risks, our business could be adversely affected.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firstLine="551"/>
        <w:spacing w:after="0" w:line="266" w:lineRule="auto"/>
        <w:rPr>
          <w:sz w:val="20"/>
          <w:szCs w:val="20"/>
          <w:color w:val="auto"/>
        </w:rPr>
      </w:pPr>
      <w:r>
        <w:rPr>
          <w:rFonts w:ascii="Times New Roman" w:cs="Times New Roman" w:eastAsia="Times New Roman" w:hAnsi="Times New Roman"/>
          <w:sz w:val="18"/>
          <w:szCs w:val="18"/>
          <w:color w:val="auto"/>
        </w:rPr>
        <w:t>Finally, our success depends upon merchants continuing to pursue D2C sales as they seek to take advantage of e-commerce trends and gain ownership and knowledge of their international customers. If merchants cease to pursue D2C sales for any reason, including if such merchants prefer to sell their products on e-commerce marketplaces, our business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laws, regulations, standards, and contractual obligations related to privacy, data protection, and data security.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such obligations could harm our business.</w:t>
      </w:r>
    </w:p>
    <w:p>
      <w:pPr>
        <w:spacing w:after="0" w:line="207" w:lineRule="exact"/>
        <w:rPr>
          <w:sz w:val="20"/>
          <w:szCs w:val="20"/>
          <w:color w:val="auto"/>
        </w:rPr>
      </w:pPr>
    </w:p>
    <w:p>
      <w:pPr>
        <w:ind w:firstLine="551"/>
        <w:spacing w:after="0" w:line="252" w:lineRule="auto"/>
        <w:rPr>
          <w:sz w:val="20"/>
          <w:szCs w:val="20"/>
          <w:color w:val="auto"/>
        </w:rPr>
      </w:pPr>
      <w:r>
        <w:rPr>
          <w:rFonts w:ascii="Times New Roman" w:cs="Times New Roman" w:eastAsia="Times New Roman" w:hAnsi="Times New Roman"/>
          <w:sz w:val="18"/>
          <w:szCs w:val="18"/>
          <w:color w:val="auto"/>
        </w:rPr>
        <w:t>We receive, collect, store, process, share, transfer, disclose, and use personal information and other data relating to shoppers, employees, contractors and other persons. We are subject to numerous federal, state, local, and international laws, directives, and regulations regarding privacy, data protection, and data security and the collection, storing, sharing, use, processing, transfer, disclosure, and protection of personal information,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including across the various jurisdictions in which we operate remotely and may conflict with our other legal obligations or our practices. Further, any significant change to applicable laws, regulations or industry practices regarding the collection, use, processing, storage, sharing, transferring, security or disclosure of data, or their interpretation, or any changes regarding the manner in which the consent of shoppers or other data subjects for the collection, use, processing, storage, sharing, transferring, or disclosure of such data must be obtained, could increase our costs and require us to modify our services and features, possibly in a material manner, which we may be unable to complete, and may limit our ability to collect, use, process, store, share, transfer, or disclose shopper data or develop new services and features.</w:t>
      </w:r>
    </w:p>
    <w:p>
      <w:pPr>
        <w:spacing w:after="0" w:line="197" w:lineRule="exact"/>
        <w:rPr>
          <w:sz w:val="20"/>
          <w:szCs w:val="20"/>
          <w:color w:val="auto"/>
        </w:rPr>
      </w:pPr>
    </w:p>
    <w:p>
      <w:pPr>
        <w:ind w:right="140" w:firstLine="551"/>
        <w:spacing w:after="0" w:line="254" w:lineRule="auto"/>
        <w:rPr>
          <w:sz w:val="20"/>
          <w:szCs w:val="20"/>
          <w:color w:val="auto"/>
        </w:rPr>
      </w:pPr>
      <w:r>
        <w:rPr>
          <w:rFonts w:ascii="Times New Roman" w:cs="Times New Roman" w:eastAsia="Times New Roman" w:hAnsi="Times New Roman"/>
          <w:sz w:val="18"/>
          <w:szCs w:val="18"/>
          <w:color w:val="auto"/>
        </w:rPr>
        <w:t>If we were found in violation of any applicable laws or regulations relating to privacy, data protection, or security, in any jurisdiction, including in jurisdictions where we operate remotely (such as by selling to shoppers residing in such jurisdictions), our business may be materially and adversely affected and we would be liable for any damages and regulatory fines and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were to occur or to be alleged to have occurred, if any violation of laws and regulations relating to privacy, data protection or data security were to be alleged, or if we had any actual or alleged defect in our safeguards or practices relating to privacy, data protection, or data security, our platform and services may be perceived as less desirable and our business, prospects, financial condition, and results of operations could be materially and adversely affected.</w:t>
      </w:r>
    </w:p>
    <w:p>
      <w:pPr>
        <w:spacing w:after="0" w:line="192" w:lineRule="exact"/>
        <w:rPr>
          <w:sz w:val="20"/>
          <w:szCs w:val="20"/>
          <w:color w:val="auto"/>
        </w:rPr>
      </w:pPr>
    </w:p>
    <w:p>
      <w:pPr>
        <w:ind w:right="120" w:firstLine="551"/>
        <w:spacing w:after="0" w:line="255"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in the European Economic Area (EEA) we are subject to the General Data Protection Regulation, or GDPR, which came into effect in May 2018 and imposes stringent operational requirements regarding, among others, data use, sharing and processing, data breach notifications, data subject rights, documentation, and cross-border data transfers for EEA entities as well as non-EEA entities that offer goods or services to, or monitor, individuals in the EEA.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189"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In addition to the GDPR, we are subject to the United Kingdom’s privacy regime that imposes obligations and penalties similar to the GDPR including fines up to the greater of £17.5 million or 4% of global turnover. EEA and UK privacy laws are constantly developing, including through case law and regulatory guidance, which increases our compliance costs and regulatory exposure.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firstLine="551"/>
        <w:spacing w:after="0" w:line="254" w:lineRule="auto"/>
        <w:rPr>
          <w:sz w:val="20"/>
          <w:szCs w:val="20"/>
          <w:color w:val="auto"/>
        </w:rPr>
      </w:pPr>
      <w:r>
        <w:rPr>
          <w:rFonts w:ascii="Times New Roman" w:cs="Times New Roman" w:eastAsia="Times New Roman" w:hAnsi="Times New Roman"/>
          <w:sz w:val="18"/>
          <w:szCs w:val="18"/>
          <w:color w:val="auto"/>
        </w:rPr>
        <w:t>We are also subject to evolving EEA and UK privacy laws on cookies, tracking technologies and e-marketing. In the EEA and the UK under national laws derived from the Directive 2002/58 on Privacy and Electronic Communications (the “ePrivacy Directive”), informed and freely given consent is required for the placement of cookies and similar technologies on shoppers’ devices and imposes restrictions on electronic marketing. The GDPR and UK regime also impose conditions on obtaining valid consent for cookies, such as a prohibition on pre-checked consents and a requirement to ensure separate consents are sought for each type of cookie or similar technology. If and when it comes into effect, proposed legislation known as the Regulation of Privacy and Electronic Communications (“ePrivacy Regulation”), would replace the current ePrivacy Directive, and significantly increase fines for non-compliance. Recent European court and regulatory decisions are driving increased attention to cookies and tracking technologies, which could lead to substantial costs, require significant systems changes, limit the effectiveness of our marketing activities, divert the attention of our technology personnel, adversely affect our margins, increase costs and subject us to additional liabilities.</w:t>
      </w:r>
    </w:p>
    <w:p>
      <w:pPr>
        <w:spacing w:after="0" w:line="188" w:lineRule="exact"/>
        <w:rPr>
          <w:sz w:val="20"/>
          <w:szCs w:val="20"/>
          <w:color w:val="auto"/>
        </w:rPr>
      </w:pPr>
    </w:p>
    <w:p>
      <w:pPr>
        <w:ind w:right="40" w:firstLine="551"/>
        <w:spacing w:after="0" w:line="255" w:lineRule="auto"/>
        <w:rPr>
          <w:sz w:val="20"/>
          <w:szCs w:val="20"/>
          <w:color w:val="auto"/>
        </w:rPr>
      </w:pPr>
      <w:r>
        <w:rPr>
          <w:rFonts w:ascii="Times New Roman" w:cs="Times New Roman" w:eastAsia="Times New Roman" w:hAnsi="Times New Roman"/>
          <w:sz w:val="18"/>
          <w:szCs w:val="18"/>
          <w:color w:val="auto"/>
        </w:rPr>
        <w:t>In addition, we are also subject to other data privacy and data protection laws in such jurisdictions that imposes similar requirements to GDPR on the collection and processing of data of local residents, such as Lei Geral de Proteção de Dados, or LGPD, which went into effect in Brazil in August 2020, the Personal Information Protection Law or PIPL which went into effect in November 2021 in China. Similar to the GDPR and CCPA, the PIPL imposes a variety of controls on entities and individuals that decide the purpose, methods and other relevant matters of personal information processing. The PIPL governs personal information processing activities carried out by entities or individuals within China, together with two other key laws on cybersecurity and data protection. As the rules regarding its implementation are still in the process of being drafted, complying with the PIPL may cause us to incur substantial operational costs and may require us to change our business practices.</w:t>
      </w:r>
    </w:p>
    <w:p>
      <w:pPr>
        <w:spacing w:after="0" w:line="189"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Additionally, we are also subject to the California Consumer Privacy Act (“CCPA”), which came into effect on January 1, 2020 and, imposes heightened transparency obligations, adds restrictions on the “sale” of personal information (which it defines broadly), and creates new data privacy rights for California residents and carries significant enforcement penalties for non-compliance. The California Attorney General enforces the CCPA and can seek an injunction and civil penalties up to $7,500 per intentional violation and $2,500 per other violation. The CCPA also provides California consumers a private right of action for certain data breaches where they can recover up to $750 per incident, per consumer or actual damages, whichever is greater, and which is expected to increase data breach litigation. The CCPA may require us to modify our data practices and policies and to incur substantial costs and expenses in order to comply. In addition, on November 3, 2020, California voters passed the California Privacy Rights Act (“CPRA”) into law, which will take effect on January 1, 2023 with enforcement beginning on July 1, 2023. The CPRA also creates obligations with respect to certain data relating to consumers as of January 1, 2022. The CPRA will significantly modify the CCPA by introducing additional obligations such as data minimization and storage limitations, granting additional rights to consumers, such as correction of personal information and additional opt-out rights, and create a new state agency that will be vested with authority to implement and enforce the CCPA and the CPRA, potentially resulting in further uncertainty and requiring us to incur additional costs and expenses in an effort to comply. More generally, some observers have noted the CCPA and CPRA could mark the beginning of a trend toward more stringent privacy legislation in the U.S., including similar laws in other U.S. states and a potential federal privacy law, all of which could increase our potential liability and adversely affect our business.</w:t>
      </w:r>
    </w:p>
    <w:p>
      <w:pPr>
        <w:spacing w:after="0" w:line="197"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In addition, we are also subject to the Israeli Privacy Protection Law 5741-1981 (the “PPL”), and its regulations, including the Israeli Privacy Protection Regulations (Data Security) 2017 (“Data Security Regulations”),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 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80" w:firstLine="551"/>
        <w:spacing w:after="0" w:line="282" w:lineRule="auto"/>
        <w:rPr>
          <w:sz w:val="20"/>
          <w:szCs w:val="20"/>
          <w:color w:val="auto"/>
        </w:rPr>
      </w:pPr>
      <w:r>
        <w:rPr>
          <w:rFonts w:ascii="Times New Roman" w:cs="Times New Roman" w:eastAsia="Times New Roman" w:hAnsi="Times New Roman"/>
          <w:sz w:val="18"/>
          <w:szCs w:val="18"/>
          <w:color w:val="auto"/>
        </w:rPr>
        <w:t>Additionally, some countries such as Australia, Singapore, Hong Kong, South Korea and Japan are considering or have enacted privacy legislation, and some countries are also considering data localization legislation, which could increase the cost and complexity of delivering our services.</w:t>
      </w:r>
    </w:p>
    <w:p>
      <w:pPr>
        <w:spacing w:after="0" w:line="162" w:lineRule="exact"/>
        <w:rPr>
          <w:sz w:val="20"/>
          <w:szCs w:val="20"/>
          <w:color w:val="auto"/>
        </w:rPr>
      </w:pPr>
    </w:p>
    <w:p>
      <w:pPr>
        <w:ind w:right="40" w:firstLine="551"/>
        <w:spacing w:after="0" w:line="252" w:lineRule="auto"/>
        <w:rPr>
          <w:sz w:val="20"/>
          <w:szCs w:val="20"/>
          <w:color w:val="auto"/>
        </w:rPr>
      </w:pPr>
      <w:r>
        <w:rPr>
          <w:rFonts w:ascii="Times New Roman" w:cs="Times New Roman" w:eastAsia="Times New Roman" w:hAnsi="Times New Roman"/>
          <w:sz w:val="18"/>
          <w:szCs w:val="18"/>
          <w:color w:val="auto"/>
        </w:rPr>
        <w:t>Data privacy legislation restricts the cross-border transfer of personal data and some countries introduced data localization into their laws. Specifically, the GDPR and other European and UK data protection laws generally prohibit the transfer of personal data from the EEA, UK and Switzerland, to the United States and most other countries unless the transfer is to an entity established in a country deemed to provide adequate protection (such as Israel) or the parties to the transfer have implemented specific safeguards to protect the transferred personal data. Where we transfer personal data outside the EEA to a country that is not deemed to be “adequate”, we take steps to comply with applicable laws, such as through implementing the European Commission’s standard contractual clauses ("SCCs"), that have been updated on June 4 2021, and require a complete shift to the new SCCs by December 27, 2022. The European Data Protection Board ("EDPB") released a comment on the supplementary measures that companies may use to ensure an 'EU level' of data protection – such as conducting impact assessment for data transfers, and assess the use of SCCs on a case-by-case basis, taking into account the legal regime applicable in the destination country, and in particular applicable surveillance laws and rights of individuals as well as consider additional technical and organizational measures and/or contractual provisions that may be needed to be put in place. In some jurisdictions like the EU, UK and Israel, the law and guidance on data transfers is rapidly developing and recent developments will require us to review and may require us to amend or supplement the legal mechanisms by which we make and/or receive personal data transfers, which could affect the manner in which we provide our solutions, the geographical location or segregation of our relevant systems and operations, may reduce demand for our solutions from companies subject to these data protection laws and could adversely affect our financial results.</w:t>
      </w:r>
    </w:p>
    <w:p>
      <w:pPr>
        <w:spacing w:after="0" w:line="197"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merchants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merchants to lose trust in us, and otherwise materially and adversely affect our reputation and business. Furthermore, the costs of compliance with, and other burdens imposed by, the laws, regulations, other obligations, and policies that are applicable to the businesses of our merchants may limit the adoption and use of, and reduce the overall demand for, our platform. Additionally, if third parties we work with violate applicable laws, regulations or contractual obligations, such violations may put our data at risk, could result in governmental investigations or enforcement actions, fines, litigation, claims, or public statements against us by consumer advocacy groups or others and could result in significant liability, cause our merchants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belligerent situation in Ukraine could materially adversely affect our business, financial condition and results of operations.</w:t>
      </w:r>
    </w:p>
    <w:p>
      <w:pPr>
        <w:spacing w:after="0" w:line="229"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18"/>
          <w:szCs w:val="18"/>
          <w:color w:val="auto"/>
        </w:rPr>
        <w:t>In late February 2022, Russian military forces launched military action against Ukraine, and sustained conflict and disruption in the region is likely. The impact to Ukraine, as well as actions taken by other countries, including new and stricter sanctions by Canada, the United Kingdom, the European Union, the U.S. and other countries and organizations against officials, individuals, regions, and industries, and each potential response to such sanctions, tensions, and military actions, could lead to disruption, instability and volatility in global markets and industries that could have a material adverse effect on our operations. Due to said military action, our services into Ukraine and Russia were suspended until further notice. While our direct business exposure to Ukraine and Russia is immaterial (in a typical year less than 2% of our GMV is generated by Ukraine and Russia combined), there may nevertheless be additional implications of such military conflict on macro economics, consumer sentiment and buying patterns in other markets, including Eastern and Western Europe (in which we have experienced certain reductions in purchases since the commencement of the military conflict), which may have an adverse effect on our results.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some of our Research and Development team members are located in several cities in Ukraine. The conflict has impaired and may continue to impair their ability to work, thereby adversely affecting our research and development and merchant support capacities.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materially adversely affect our business, financial condition and results of operations.</w:t>
      </w:r>
    </w:p>
    <w:p>
      <w:pPr>
        <w:spacing w:after="0" w:line="229"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The COVID-19 pandemic, the measures attempting to contain and mitigate the effects of the COVID-19 pandemic and its variants, including stay-at-home, business closure, social distancing, capsuled labor and other restrictive orders, and the resulting changes in consumer behaviors, have disrupted our normal operations and impacted our employees, suppliers, merchants and shoppers. We expect these disruptions and impacts to continue. In response to the COVID-19 pandemic, we have taken a number of actions that have impacted and continue to impact our business, including transitioning employees across all our offices (including our corporate headquarters) to remote work-from-home arrangements and imposing travel and related restrictions. While we believe these actions were reasonable and necessary as a result of the COVID-19 pandemic, they have been disruptive to our business and could adversely impact our results of operations. In addition, remote work, lockdowns and travel restrictions have added challenges and complexity to the operations of our shipping and logistics partners. As such, continued COVID-19 related restrictions that inhibit the ordinary course operation of our shipping and logistics partners may have an adverse effect on our business.</w:t>
      </w:r>
    </w:p>
    <w:p>
      <w:pPr>
        <w:spacing w:after="0" w:line="188" w:lineRule="exact"/>
        <w:rPr>
          <w:sz w:val="20"/>
          <w:szCs w:val="20"/>
          <w:color w:val="auto"/>
        </w:rPr>
      </w:pPr>
    </w:p>
    <w:p>
      <w:pPr>
        <w:ind w:right="20" w:firstLine="551"/>
        <w:spacing w:after="0" w:line="257" w:lineRule="auto"/>
        <w:rPr>
          <w:sz w:val="20"/>
          <w:szCs w:val="20"/>
          <w:color w:val="auto"/>
        </w:rPr>
      </w:pPr>
      <w:r>
        <w:rPr>
          <w:rFonts w:ascii="Times New Roman" w:cs="Times New Roman" w:eastAsia="Times New Roman" w:hAnsi="Times New Roman"/>
          <w:sz w:val="18"/>
          <w:szCs w:val="18"/>
          <w:color w:val="auto"/>
        </w:rPr>
        <w:t>Given the continued spread of COVID-19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 workforce has not historically been fully remote. Prior to the COVID-</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19 pandemic, certain of our employees traveled frequently to establish and maintain relationships with one another and with our merchants, partners, and investors. We continue to monitor the situation and may adjust our current policies as more information and guidance become available. Suspending travel and long-term inability of doing business in-person could negatively impact our marketing efforts, our ability to enter into merchant contracts in a timely manner, our ability to integrate and launch the service for merchants in a timely manner, our international expansion efforts, our ability to recruit and train employees across the organization and our ability to visit and oversee the activity of our third-party service providers and local fulfillment hubs. These changes could negatively impact our operations, sales and marketing in particular, which could have longer-term effects on our sales pipeline, or create operational or other challenges as our workforce remains predominantly remote, any of which could harm our business.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93"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The degree to which COVID-19 will affect our business and results of operations will depend on future developments that are highly uncertain and cannot currently be predicted. These developments include, but are not limited to, the duration, extent, and severity of the COVID-19 pandemic in different geographies, actions taken to contain the COVID-19 pandemic, the impact of the COVID-19 pandemic and related restrictions on economic activity and domestic and international trade, and the extent of the impact of these and other factors on our employees, suppliers, partners, merchants and shoppers. The COVID-19 pandemic and related restrictions could limit merchants’ ability to continue to operate (limiting their abilities to obtain inventory, generate sales, ship and dispatch orders or make timely payments to us). It could disrupt or delay the ability of employees to work because they become sick or are required to care for those who become sick, or for dependents for whom external care is not available. In addition, the COVID-19 pandemic may also result in reduced consumer spending and adverse or uncertain economic conditions globally, which in turn may impact the GMV processed through our platform. See “—General Risks Affecting Our Business and Operations—Unfavorable conditions in our industry, the global economy, or e-commerce in general, could limit our ability to grow our business and negatively affect our results of operations.”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outcomes and remaining uncertainty surrounding the exit of the United Kingdom from the EU may be a source of instability to international markets, create significant currency fluctuations, create logistic and other customs-related complexities, adversely affect our operations in the United Kingdom and pose additional risks to our business, financial condition, and results of operations.</w:t>
      </w:r>
    </w:p>
    <w:p>
      <w:pPr>
        <w:spacing w:after="0" w:line="175"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In connection with the United Kingdom’s withdrawal from the EU (“Brexit”), the United Kingdom ceased to be an EU Member State and ratified a trade and cooperation agreement governing its future relationship with the EU. The agreement, which was signed on December 30, 2020 was applied provisionally as of January 1, 2021 and entered into force on May 1, 2021, addresses trade, economic arrangements, law enforcement, judicial cooperation and a governance framework including procedures for dispute resolution, among other things. Because this agreement merely sets forth a framework in many respects and will require complex additional bilateral negotiations between the United Kingdom and the EU, significant political and economic uncertainty remains about how the precise terms of the relationship between the parties will differ from the terms before withdrawal. The ongoing and remaining uncertainty related to Brexit has negatively impacted the United Kingdom’s economy, and will likely continue to have a negative impact until the United Kingdom and EU reach definitive resolutions on any outstanding trade and legal matters, and until any achieved definitive resolutions are fully implemented or practically adopted. 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w:t>
      </w:r>
    </w:p>
    <w:p>
      <w:pPr>
        <w:spacing w:after="0" w:line="192"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Although generally we managed to transition and remain up to date with the changes and required adjustments to our operations and compliancy, it remains difficult to predict the full and long term impact of Brexit on our business and e-commerce conducted between the United Kingdom and the EU, and it is likely that the price of goods that are sold cross-border between the United Kingdom and the EU may be subject to additional costs such as customs clearance costs and tariffs which may decrease the attractiveness of such purchases and reduce GMV and revenues relating to these markets. In addition, Brexit may lead to additional complexities and difficulties relating to shipment of products to shoppers, customs formalities and previously inapplicable procedures, resulting in shipping delays and reducing shopper satisfaction.</w:t>
      </w:r>
    </w:p>
    <w:p>
      <w:pPr>
        <w:spacing w:after="0" w:line="18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Additionally, we have faced, and we may face additional and new regulations in numerous fields, including data privacy, shopper rights, trade, aviation, tax, security, and employees, among others, in the United Kingdom which required us and may further require us to amend or adjust our platforms and service. Compliance with such regulations could be costly, negatively impacting our business, results of operations, and financial condition. Furthermore, rapid and additional change to or uncertainty regarding applicable customs clearance costs, tariffs and tax rates may make it difficult to calculate accurate landed costs and which may cause merchants and shopper dissatisfaction from our platform and services.</w:t>
      </w:r>
    </w:p>
    <w:p>
      <w:pPr>
        <w:spacing w:after="0" w:line="183"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While Brexit could offer growth opportunities in the form of increased demand for cross-border e-commerce services such as ours by merchants with sales between the United Kingdom and the EU, we may find it difficult to meet such demand due to the aforementioned uncertainties, regulatory and operational difficulties and complexities associated with the transition.</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15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the Proceeds of Crime Act 2002, Chapter 9 (sub-chapter 5) of the Israeli Penal Law, 57373-1977, the Israeli Prohibition on Money Laundering Law, 5760–2000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right="80" w:firstLine="551"/>
        <w:spacing w:after="0" w:line="253" w:lineRule="auto"/>
        <w:rPr>
          <w:sz w:val="20"/>
          <w:szCs w:val="20"/>
          <w:color w:val="auto"/>
        </w:rPr>
      </w:pPr>
      <w:r>
        <w:rPr>
          <w:rFonts w:ascii="Times New Roman" w:cs="Times New Roman" w:eastAsia="Times New Roman" w:hAnsi="Times New Roman"/>
          <w:sz w:val="18"/>
          <w:szCs w:val="18"/>
          <w:color w:val="auto"/>
        </w:rPr>
        <w:t>In addition, we use, and may continue to use, third parties to sell access to our platform and conduct business on our behalf abroad, in particular carriers and other freight forwarders who perform customs-clearance and related services and functions as our service providers, and in our own name and instructions. We or such current and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to which we outsource certain of our business operations, will not take actions in violation of our policies and applicable law, for which we may be ultimately held responsible.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act as a service provider and part of the fulfilment chain of the merchants, and while our legal and functional roles are defined, third parties may confuse us with the merchants resulting in claims and liabilities relating to the merchants’ activities.</w:t>
      </w:r>
    </w:p>
    <w:p>
      <w:pPr>
        <w:spacing w:after="0" w:line="159"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We operate largely as a “white label” solution which enables the merchants to offer their products through our platform, while maintaining their own brand experience. Due to our nearly transparent integration with such merchants’ shopper experience, claims arising from the actions of the merchants may be unduly addressed to us by virtue of our perceived affiliation with the merchants and our role in the shopper experience. To the extent that we are not successful in demonstrating that we are distinct from such merchants, we may be subject to misdirected claims and associated liabilities. Although we include indemnification provisions in the merchant agreements, such provisions may not be enforced in certain circumstances, certain jurisdictions or may not be sufficient to fully cover potential liabilities arising from such claims.</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maintain, protect or enforce our intellectual property rights, our competitive position could be impaired and we may lose valuable assets, generate reduced revenue, and incur costly litigation to protect our rights.</w:t>
      </w:r>
    </w:p>
    <w:p>
      <w:pPr>
        <w:spacing w:after="0" w:line="159"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Our success is dependent, in part, upon protecting our intellectual property rights, including those in our know-how and proprietary technology. We rely on a combination of copyrights, trade secret and other intellectual property laws and contractual restrictions to establish and protect our intellectual property rights. While it is our policy to protect and defend our rights to our intellectual property, we cannot predict whether steps taken by us will be adequate to prevent infringement, misappropriation or other violation of our intellectual property rights.</w:t>
      </w:r>
    </w:p>
    <w:p>
      <w:pPr>
        <w:spacing w:after="0" w:line="180"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know-how, technology and intellectual property is difficult and may not be effective. We will not be able to protect our intellectual property if we are unable to enforce our rights or if we do not detect unauthorized use of our intellectual property. Despite our precautions, it may be possible for unauthorized third parties to copy our platform or technology and use information that we regard as proprietary to create products or services that compete with our offerings. Some of the provisions of our service agreements that protect us against unauthorized use, copying, transfer, and disclosure of our platform, may be unenforceable under the laws of certain jurisdictions and foreign countries. Further, the laws of some countries do not protect intellectual property to the same extent as the laws of the United States, and mechanisms for enforcement of intellectual property rights in some foreign countries may be inadequate. To the extent we expand our international activities, our exposure to unauthorized copying and use of our platform and proprietary information may increase. Further, our competition, foreign governments, foreign government-backed actors, criminals, or other third parties may gain unauthorized access to our confidential information and technology. Accordingly, despite our efforts, we may be unable to prevent third parties from infringing upon or misappropriating our intellectual property rights. If we are unable to protect our intellectual property rights or prevent unauthorized use, infringement or misappropriation thereof by third parties, the value of our intellectual property and intellectual property rights may be diminished, and our competition may be able to more effectively mimic our offerings and service. In addition, our know-how is derived in part from insights we obtain from the historical individual and aggregate transactions that take place on our platform. If the availability, security or integrity of such data is lost or compromised due to a technology failure, cyberattack or similar event, our know-how could be lost or diminished, and this could materially adversely affect our ability to serve our merchants. For more information, see “</w:t>
      </w:r>
      <w:r>
        <w:rPr>
          <w:rFonts w:ascii="Times New Roman" w:cs="Times New Roman" w:eastAsia="Times New Roman" w:hAnsi="Times New Roman"/>
          <w:sz w:val="18"/>
          <w:szCs w:val="18"/>
          <w:i w:val="1"/>
          <w:iCs w:val="1"/>
          <w:color w:val="auto"/>
        </w:rPr>
        <w:t>Risk Factors—Risks Relating to our Business and Industry— We store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 information of merchants and shoppers. 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r>
        <w:rPr>
          <w:rFonts w:ascii="Times New Roman" w:cs="Times New Roman" w:eastAsia="Times New Roman" w:hAnsi="Times New Roman"/>
          <w:sz w:val="18"/>
          <w:szCs w:val="18"/>
          <w:color w:val="auto"/>
        </w:rPr>
        <w: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While software and other of our proprietary works may be protected under copyright law, we have not registered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76"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Although we attempt to protect our intellectual property, technology and confidential information by entering into confidentiality and invention assignment agreements with our employees and consultants and entering into confidentiality agreements with the parties with whom we have strategic relationships and business alliances, these agreements may not effectively grant all necessary rights to any inventions that may have been developed by the employees or consultants party thereto, and may not be effective in controlling access to and distribution of our platform, technology and confidential information or provide an adequate remedy in the event of unauthorized use of our platform or technology or unauthorized access, use or disclosure of our confidential information. Additionally, employees and consultants may choose to violate the terms of their confidentiality agreements.</w:t>
      </w:r>
    </w:p>
    <w:p>
      <w:pPr>
        <w:spacing w:after="0" w:line="187"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Further, these agreements do not prevent our competitors from independently developing technologies that are substantially equivalent or superior to ours. We cannot guarantee that others will not independently develop technology with the same or similar functions to any proprietary technology we rely on to conduct our business and differentiate ourselves from our competitors.</w:t>
      </w:r>
    </w:p>
    <w:p>
      <w:pPr>
        <w:spacing w:after="0" w:line="176"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and we may or may not be able to detect infringement, misappropriation or other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its functionality,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assure you that we could license that technology on commercially reasonable terms or at all, and our inability to license this technology could harm our ability to compete. Any one or more of the foregoing could harm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costs to defend against, face liability for or be vulnerable to intellectual property infringement claims brought against us by others.</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There is considerable intellectual property development and enforcement activity in our industry. We expect that software developers in our industry will increasingly be subject to infringement claims as the number of competing solutions grows and the functionality of platforms and services in different industries overlap. Our future success depends in part on not infringing upon or misappropriating the intellectual property rights of others. There is a risk that our operations, platforms and services may infringe or otherwise violate, or be alleged to infringe or otherwise violate, the intellectual property rights of third parties. Other companies have claimed in the past, and may claim in the future, that we infringe upon or otherwise violate their intellectual property rights. A claim may also be made relating to technology or intellectual property that we acquire or license from third parties. If we were subject to a claim of infringement, regardless of the merit of the claim or our defenses, the claim could:</w:t>
      </w:r>
    </w:p>
    <w:p>
      <w:pPr>
        <w:spacing w:after="0" w:line="189" w:lineRule="exact"/>
        <w:rPr>
          <w:sz w:val="20"/>
          <w:szCs w:val="20"/>
          <w:color w:val="auto"/>
        </w:rPr>
      </w:pPr>
    </w:p>
    <w:p>
      <w:pPr>
        <w:ind w:left="5540" w:right="1940" w:hanging="4965"/>
        <w:spacing w:after="0" w:line="736" w:lineRule="auto"/>
        <w:tabs>
          <w:tab w:leader="none" w:pos="8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costly litigation to resolve and the payment of substantial royalty or license fees, lost profits or other damages;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and divert significant management time;</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enter into unfavorable royalty or license agreements;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discontinue some or all of the features, integrations, and capabilities available on our platform;</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indemnify our merchants or third-party service providers; and/or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expend additional development resources to redesign our platform.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one or more of the above could harm our business, results of operations, and financial condition.</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may pose particular risks to our proprietary software, technologies, products and services in a manner that could negatively affect our business.</w:t>
      </w:r>
    </w:p>
    <w:p>
      <w:pPr>
        <w:spacing w:after="0" w:line="159"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We use open source software in our platform and expect to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There is a risk that these licenses could be construed in a way that could impose unanticipated conditions or restrictions on our ability to commercialize our platform. As a result, we could be subject to lawsuits by parties claiming ownership of what we believe to be open source software, or breach of open source licenses. Litigation could be costly for us to defend, have a negative effect on our business, results of operations, and financial condition, or require us to devote additional research and development resources to change our platform. In addition, if we were to combine our proprietary source code or software with open source software in a certain manner, we could, under certain open source licenses, be required to release the source code of our proprietary software to the public. This would allow our competition to create similar products with less development effort and time. If we inappropriately use open source software, or if the license terms for open source software that we use change, we may be required to re-engineer our platform, or certain aspects of it, incur additional costs, discontinue the availability of certain features, or take other remedial actions.</w:t>
      </w:r>
    </w:p>
    <w:p>
      <w:pPr>
        <w:spacing w:after="0" w:line="192"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indemnification, assurance of title or controls on origin of the software or other contractual protections regarding infringement claims or the quality of the code.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87"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In addition, open source libraries incorporated in our platform must be constantly updated in order to avoid security vulnerabilities that may be present in an outdated version of the software. Updating the open source libraries we use in a timely manner requires ongoing development efforts, and any delay relating to this process may expose us to risk of security breach. To the extent that our platform depends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In addition, the public availability of such software may make it easier for others to compromise our platform.</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harm our business.</w:t>
      </w:r>
    </w:p>
    <w:p>
      <w:pPr>
        <w:spacing w:after="0" w:line="22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to attract and retain other highly skilled employees could harm our business.</w:t>
      </w:r>
    </w:p>
    <w:p>
      <w:pPr>
        <w:spacing w:after="0" w:line="229"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In addition, certain domestic immigration laws restrict or limit our ability to recruit internationally. Any changes to Israeli, United Kingdom, European or the U.S. immigration policies that restrain the flow of technical and professional talent may inhibit our ability to recruit and retain highly qualified employees.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perceived value of our equity awards declines, it may harm our ability to recruit and retain highly skilled employees.</w:t>
      </w:r>
    </w:p>
    <w:p>
      <w:pPr>
        <w:spacing w:after="0" w:line="207" w:lineRule="exact"/>
        <w:rPr>
          <w:sz w:val="20"/>
          <w:szCs w:val="20"/>
          <w:color w:val="auto"/>
        </w:rPr>
      </w:pPr>
    </w:p>
    <w:p>
      <w:pPr>
        <w:ind w:right="80" w:firstLine="551"/>
        <w:spacing w:after="0" w:line="258" w:lineRule="auto"/>
        <w:rPr>
          <w:sz w:val="20"/>
          <w:szCs w:val="20"/>
          <w:color w:val="auto"/>
        </w:rPr>
      </w:pPr>
      <w:r>
        <w:rPr>
          <w:rFonts w:ascii="Times New Roman" w:cs="Times New Roman" w:eastAsia="Times New Roman" w:hAnsi="Times New Roman"/>
          <w:sz w:val="18"/>
          <w:szCs w:val="18"/>
          <w:color w:val="auto"/>
        </w:rPr>
        <w:t>Volatility or lack of appreciation in the price of our ordinary shares may also affect our ability to attract and retain our key employees. Many of our senior personnel and other key employees have become, or will soon become, vested in a substantial number of options. Employees may be more likely to leave us if the shares they own or the shares underlying their vested options or restricted share units have significantly appreciated in value relative to the original purchase price of the shares or the exercise price of the options, or conversely, if the exercise price of the options that they hold are significantly above the market price of our ordinary shares.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159" w:lineRule="exact"/>
        <w:rPr>
          <w:sz w:val="20"/>
          <w:szCs w:val="20"/>
          <w:color w:val="auto"/>
        </w:rPr>
      </w:pPr>
    </w:p>
    <w:p>
      <w:pPr>
        <w:ind w:right="160" w:firstLine="551"/>
        <w:spacing w:after="0" w:line="255" w:lineRule="auto"/>
        <w:rPr>
          <w:sz w:val="20"/>
          <w:szCs w:val="20"/>
          <w:color w:val="auto"/>
        </w:rPr>
      </w:pPr>
      <w:r>
        <w:rPr>
          <w:rFonts w:ascii="Times New Roman" w:cs="Times New Roman" w:eastAsia="Times New Roman" w:hAnsi="Times New Roman"/>
          <w:sz w:val="18"/>
          <w:szCs w:val="18"/>
          <w:color w:val="auto"/>
        </w:rPr>
        <w:t>We generally enter into agreements with our employees which prohibit our employees,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w:t>
      </w:r>
    </w:p>
    <w:p>
      <w:pPr>
        <w:spacing w:after="0" w:line="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157"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right="60" w:firstLine="551"/>
        <w:spacing w:after="0" w:line="258" w:lineRule="auto"/>
        <w:rPr>
          <w:sz w:val="20"/>
          <w:szCs w:val="20"/>
          <w:color w:val="auto"/>
        </w:rPr>
      </w:pPr>
      <w:r>
        <w:rPr>
          <w:rFonts w:ascii="Times New Roman" w:cs="Times New Roman" w:eastAsia="Times New Roman" w:hAnsi="Times New Roman"/>
          <w:sz w:val="18"/>
          <w:szCs w:val="18"/>
          <w:color w:val="auto"/>
        </w:rPr>
        <w:t>Our management team has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159" w:lineRule="exact"/>
        <w:rPr>
          <w:sz w:val="20"/>
          <w:szCs w:val="20"/>
          <w:color w:val="auto"/>
        </w:rPr>
      </w:pPr>
    </w:p>
    <w:p>
      <w:pPr>
        <w:ind w:right="40" w:firstLine="551"/>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between merchants and local distributors may impede the adoption by merchants of a D2C model and diminish the adoption of our platform and services as a result.</w:t>
      </w:r>
    </w:p>
    <w:p>
      <w:pPr>
        <w:spacing w:after="0" w:line="15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A significant segment of our merchants are international brands with a strategic focus on transitioning to a D2C model through the use of e-commerce. Despite making this transition, some brands maintain contractual relationships with distributors of their products such as wholesalers, local webstore operators, marketplaces and franchises in various geographies which our platform makes accessible for D2C sales. Contractual arrangements between brands and their local distributors that provide for exclusivity terms, volume restrictions on alternate distribution channels or most favored client pricing may slow or restrict adoption of our platform and services. Even absent such contractual obligations, local distributors may still petition the brand to cease its operations through our platform if the brand’s D2C sales adversely impact their local distributor sales. Although we believe that our platform and services provide functionality, tools and advantages that match or outweigh the local distributor model and therefore justify their use on a standalone or supplemental basis, resistance on behalf of such distributors and the resulting friction may slow or restrict adoption of our platform and services by such brands in certain locations and diminish our growth in this segment.</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59"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and we may not be able to obtain debt or equity financing on favorable terms, if at all. If we raise equity financing to fund operations or on an opportunistic basis, our shareholders may experience significant dilution of their ownership interests. If we need additional capital and cannot raise it on acceptable terms, or at all, we may not be able to, among other things:</w:t>
      </w:r>
    </w:p>
    <w:p>
      <w:pPr>
        <w:spacing w:after="0" w:line="183" w:lineRule="exact"/>
        <w:rPr>
          <w:sz w:val="20"/>
          <w:szCs w:val="20"/>
          <w:color w:val="auto"/>
        </w:rPr>
      </w:pPr>
    </w:p>
    <w:p>
      <w:pPr>
        <w:ind w:left="5540" w:right="5520" w:hanging="4965"/>
        <w:spacing w:after="0" w:line="736" w:lineRule="auto"/>
        <w:tabs>
          <w:tab w:leader="none" w:pos="8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integrations, capabilities, and enhancements;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product development, sales, and marketing organizations;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innovative approach, creativity, and teamwork fostered by our culture and our business could be harmed.</w:t>
      </w:r>
    </w:p>
    <w:p>
      <w:pPr>
        <w:spacing w:after="0" w:line="159"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We believe that an important contributor to our success has been our corporate culture, which we believe creates an environment that drives and perpetuates our strategy to create a better, more productive way to work and focuses on driving success for our customers. As we continue to grow, including geographically, and develop the infrastructure of a public company, we may find it difficult to maintain our corporate culture. If we do not maintain and continue to develop our corporate culture as we grow and evolve, it could harm our ability to foster the innovation, craftsmanship, teamwork, curiosity, and diversity, we believe that we need to support our growth. Any failure to preserve our culture could also harm our ability to retain and recruit personnel, innovate and operate effectively, and execute on our business strategy.</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4" w:lineRule="exact"/>
        <w:rPr>
          <w:sz w:val="20"/>
          <w:szCs w:val="20"/>
          <w:color w:val="auto"/>
        </w:rPr>
      </w:pPr>
    </w:p>
    <w:p>
      <w:pPr>
        <w:ind w:firstLine="585"/>
        <w:spacing w:after="0" w:line="253" w:lineRule="auto"/>
        <w:rPr>
          <w:sz w:val="20"/>
          <w:szCs w:val="20"/>
          <w:color w:val="auto"/>
        </w:rPr>
      </w:pPr>
      <w:r>
        <w:rPr>
          <w:rFonts w:ascii="Times New Roman" w:cs="Times New Roman" w:eastAsia="Times New Roman" w:hAnsi="Times New Roman"/>
          <w:sz w:val="18"/>
          <w:szCs w:val="18"/>
          <w:color w:val="auto"/>
        </w:rPr>
        <w:t>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or ERP, system as part of our control environment,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 in this Annual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ordinary shares.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management evaluations and annual independent registered public accounting firm attestation reports regarding the effectiveness of our internal control over financial reporting that we will eventually be required to include in our annual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the Nasdaq Global Select Market, or Nasdaq.</w:t>
      </w:r>
    </w:p>
    <w:p>
      <w:pPr>
        <w:spacing w:after="0" w:line="194"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We are required to furnish a report by management on, among other things, the effectiveness of our internal control over financial reporting pursuant to Section 404(a) of the Sarbanes-Oxley Act of 2002 (the “Sarbanes-Oxley Act”) in the second annual report following the completion of our initial public offering, or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while we remain an emerging growth company, our independent registered public accounting firm is not required to formally attest to the effectiveness of our internal control over financial reporting pursuant to Section 404(b) of the Sarbanes-Oxley Act. At such time, our independent registered public accounting firm may issue a report that is adverse in the event it is not satisfied with the level at which our internal control over financial reporting is documented, designed or operating. We will remain an “emerging growth company” until the earliest of: (1) December 31, 2026, (2) the last day of the first fiscal year in which our annual gross revenue is $1.07 billion or more; (3) the date on which we have, during the previous rolling three-year period, issued more than $1 billion in non-convertible debt securities; and (4) the date we qualify as a “large accelerated filer.”</w:t>
      </w:r>
    </w:p>
    <w:p>
      <w:pPr>
        <w:spacing w:after="0" w:line="190"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spacing w:after="0" w:line="194" w:lineRule="exact"/>
        <w:rPr>
          <w:sz w:val="20"/>
          <w:szCs w:val="20"/>
          <w:color w:val="auto"/>
        </w:rPr>
      </w:pPr>
    </w:p>
    <w:p>
      <w:pPr>
        <w:ind w:right="440" w:firstLine="551"/>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adversely affect our business, financial condition, and results of operations and could cause a decline in the price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“Operating and Financial Review and Prospects.”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share based compensation including the estimation of fair value of ordinary shares, valuation of strategic investments, period of benefit for deferred costs, and uncertain tax positions.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ordinary shares.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to which we are subject could have an adverse effect on us, our merchants or their shoppers and could increase the costs and reduce the attractiveness of our platform and harm our business.</w:t>
      </w:r>
    </w:p>
    <w:p>
      <w:pPr>
        <w:spacing w:after="0" w:line="159" w:lineRule="exact"/>
        <w:rPr>
          <w:sz w:val="20"/>
          <w:szCs w:val="20"/>
          <w:color w:val="auto"/>
        </w:rPr>
      </w:pPr>
    </w:p>
    <w:p>
      <w:pPr>
        <w:ind w:firstLine="551"/>
        <w:spacing w:after="0" w:line="252" w:lineRule="auto"/>
        <w:rPr>
          <w:sz w:val="20"/>
          <w:szCs w:val="20"/>
          <w:color w:val="auto"/>
        </w:rPr>
      </w:pPr>
      <w:r>
        <w:rPr>
          <w:rFonts w:ascii="Times New Roman" w:cs="Times New Roman" w:eastAsia="Times New Roman" w:hAnsi="Times New Roman"/>
          <w:sz w:val="18"/>
          <w:szCs w:val="18"/>
          <w:color w:val="auto"/>
        </w:rPr>
        <w:t>New income, sales, use or other tax laws, regulations, or ordinances could be enacted and new interpretations of existing tax laws, regulations or ordinances could be adopted at any time. Those changes could adversely affect our domestic and international business operations, and our business, results of operations, and financial condition. These events could require us, our merchants or their shoppers to pay additional tax amounts on a prospective or retroactive basis, as well as require us, our merchants or their shoppers to pay fines and/or penalties and interest for past amounts deemed to be due. If we are required to collect such additional tax amounts from either our merchants or their shoppers and are unsuccessful in collecting such taxes due from our merchants or their shoppers, we could be held liable for such costs, thereby adversely affecting our results of operations and harming our business. If we raise our prices to offset the costs of these changes, merchants may elect not to use our platform and services in the future. Additionally, new, changed, modified, or newly interpreted or applied tax laws could increase our merchants’, our shoppers’ and our compliance, operating, and other costs. Further, these events could decrease the capital we have available to operate our business. Any or all of these events could harm our business, results of operations, and financial condition. For example, on July 1, 2021, new VAT e-commerce rules came into effect, which apply to all sales we make to EU shoppers. Among other requirements, the new VAT rules require us to register and operate a new reporting system (commonly known as “IOSS”). Compliance with these new reporting requirements as well as the newly introduced VAT rules required and will continue to require significant resources and we cannot be certain that we have fully complied with or applied the new requirements, and as a result we may face non-compliance assessments, calculation or remittance gaps and other discrepancies. Further, governments, customs agencies and tax authorities may seek heightened scrutiny and enforcement of the new regulations, which could result in delayed clearance, rejections of our tax submissions, refusal to assess taxes in a timely manner and additional audits.</w:t>
      </w:r>
    </w:p>
    <w:p>
      <w:pPr>
        <w:spacing w:after="0" w:line="196"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 withholding requirements apply to us or our subsidiaries or that benefits of tax treaties are not available to us or our subsidiaries, any of which could harm us and our results of operations.</w:t>
      </w:r>
    </w:p>
    <w:p>
      <w:pPr>
        <w:spacing w:after="0" w:line="17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taxes relating to the use of our platform and services in jurisdictions where we have not historically done so.</w:t>
      </w:r>
    </w:p>
    <w:p>
      <w:pPr>
        <w:spacing w:after="0" w:line="159" w:lineRule="exact"/>
        <w:rPr>
          <w:sz w:val="20"/>
          <w:szCs w:val="20"/>
          <w:color w:val="auto"/>
        </w:rPr>
      </w:pPr>
    </w:p>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States and local taxing jurisdictions may impose sales and use taxes, including on services provided electronically or goods sold via the internet. The applicability of sales taxes related to the use of our platform in various jurisdictions is unclear. We collect and remit sales and value-added tax, or VAT or goods and services tax, or GST, in a number of jurisdictions (including in the U.S.). It is possible, however, that we could face sales tax, VAT or GST audits and that our liability for these taxes could exceed our estimates as state tax authorities could still assert that we are obligated to collect additional tax amounts from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audits in U.S. states and non-U.S. jurisdictions for which we have not accrued tax liabilities. A successful assertion that we should be collecting additional sales or other taxes on our services and/or on goods sold in jurisdictions where we have not historically done so and do not accrue for sales taxes could result in substantial tax liabilities for past sales (including substantial interest and penalties), discourage organizations from utilizing our platform and services, or otherwise harm our business, results of operations, and financial condition.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159" w:lineRule="exact"/>
        <w:rPr>
          <w:sz w:val="20"/>
          <w:szCs w:val="20"/>
          <w:color w:val="auto"/>
        </w:rPr>
      </w:pPr>
    </w:p>
    <w:p>
      <w:pPr>
        <w:ind w:right="360" w:firstLine="551"/>
        <w:spacing w:after="0" w:line="266" w:lineRule="auto"/>
        <w:rPr>
          <w:sz w:val="20"/>
          <w:szCs w:val="20"/>
          <w:color w:val="auto"/>
        </w:rPr>
      </w:pPr>
      <w:r>
        <w:rPr>
          <w:rFonts w:ascii="Times New Roman" w:cs="Times New Roman" w:eastAsia="Times New Roman" w:hAnsi="Times New Roman"/>
          <w:sz w:val="18"/>
          <w:szCs w:val="18"/>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76" w:lineRule="exact"/>
        <w:rPr>
          <w:sz w:val="20"/>
          <w:szCs w:val="20"/>
          <w:color w:val="auto"/>
        </w:rPr>
      </w:pPr>
    </w:p>
    <w:p>
      <w:pPr>
        <w:ind w:right="60" w:firstLine="551"/>
        <w:spacing w:after="0" w:line="252" w:lineRule="auto"/>
        <w:rPr>
          <w:sz w:val="20"/>
          <w:szCs w:val="20"/>
          <w:color w:val="auto"/>
        </w:rPr>
      </w:pPr>
      <w:r>
        <w:rPr>
          <w:rFonts w:ascii="Times New Roman" w:cs="Times New Roman" w:eastAsia="Times New Roman" w:hAnsi="Times New Roman"/>
          <w:sz w:val="18"/>
          <w:szCs w:val="18"/>
          <w:color w:val="auto"/>
        </w:rPr>
        <w:t>In 2015, the Organization for Economic Co-operation and Development (the “OECD”) released various reports under its Base Erosion and Profit Shifting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 for example, by signing up to the Multilateral Convention to Implement Tax Treaty Related Measures to Prevent BEPS (the “MLI”) which currently has been signed by over 85 jurisdictions, including Israel who ratified the MLI on September 13, 2018. The MLI implements some of the measures that the BEPS initiative proposes to be transposed into existing treaties of participating states. Such measures include the inclusion in tax treaties of one, or both, of a “limitation-on-benefit” (“LOB”) rule and a “principle purposes test” (“PPT”) rule. The application of the LOB rule or the PPT rule could deny the availability of tax treaty benefits (such as a reduced rate of withholding tax) under tax treaties. There are likely to be significant changes in the tax legislation of various OECD jurisdictions during the period of implementation of BEPS. Such legislative initiatives may materially and adversely affect our plans to expand internationally and may negatively impact our financial condition, tax liability, results of operations and could increase our administrative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Affecting Our Business and Operations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the global economy, e-commerce or particular verticals within e-commerce, could limit our ability to grow our business and negatively affect our results of operations.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merchants. The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and potential profitability of our business depend on demand for our platform and services, as well as demand for the products offered by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merchants. Therefore, current or future economic uncertainties or downturns could adversely affect our business and results of operations. Negative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global economy or individual markets, including changes in gross domestic product growth, financial and credit market fluctuations,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political turmoil, natural catastrophes, warfare and terrorist attacks, could cause a decrease in business investments, consumer spending,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commerce generally and negatively affect our business. A percentage of our merchants are luxury fashion brands, and the adverse impact to our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any of the foregoing factors could be magnified to the extent that it disproportionately affects merchants in verticals from which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merchants derive a significant amount of their GMV.</w:t>
      </w:r>
    </w:p>
    <w:p>
      <w:pPr>
        <w:spacing w:after="0" w:line="207" w:lineRule="exact"/>
        <w:rPr>
          <w:sz w:val="20"/>
          <w:szCs w:val="20"/>
          <w:color w:val="auto"/>
        </w:rPr>
      </w:pPr>
    </w:p>
    <w:p>
      <w:pPr>
        <w:jc w:val="both"/>
        <w:ind w:right="280" w:firstLine="551"/>
        <w:spacing w:after="0" w:line="266" w:lineRule="auto"/>
        <w:rPr>
          <w:sz w:val="20"/>
          <w:szCs w:val="20"/>
          <w:color w:val="auto"/>
        </w:rPr>
      </w:pPr>
      <w:r>
        <w:rPr>
          <w:rFonts w:ascii="Times New Roman" w:cs="Times New Roman" w:eastAsia="Times New Roman" w:hAnsi="Times New Roman"/>
          <w:sz w:val="18"/>
          <w:szCs w:val="18"/>
          <w:color w:val="auto"/>
        </w:rPr>
        <w:t>The COVID-19 pandemic as well as the situation in Ukraine have caused heightened uncertainty in the global economy. If economic conditions further deteriorate, shoppers may not have the financial means to make purchases from our merchants and may delay or reduce discretionary purchases, negatively impacting our merchants and our results of operations.</w:t>
      </w:r>
    </w:p>
    <w:p>
      <w:pPr>
        <w:spacing w:after="0" w:line="176"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Such uncertainties may also cause prospective or existing merchants to defer investment in e-commerce. Our smaller merchants may be more susceptible to general economic conditions than larger businesses, which may have greater liquidity and access to capital. Uncertain and adverse economic conditions also may lead to increased refunds and chargebacks. Since the impact of such uncertainties is ongoing, the effect on the global economy may not be fully reflected in our results of operations until future periods. Volatility in the capital markets has been heightened during recent months and such volatility may continue, which may cause declines in the price of our ordinary shares.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ind w:right="180" w:firstLine="551"/>
        <w:spacing w:after="0" w:line="254" w:lineRule="auto"/>
        <w:rPr>
          <w:sz w:val="20"/>
          <w:szCs w:val="20"/>
          <w:color w:val="auto"/>
        </w:rPr>
      </w:pPr>
      <w:r>
        <w:rPr>
          <w:rFonts w:ascii="Times New Roman" w:cs="Times New Roman" w:eastAsia="Times New Roman" w:hAnsi="Times New Roman"/>
          <w:sz w:val="18"/>
          <w:szCs w:val="18"/>
          <w:color w:val="auto"/>
        </w:rPr>
        <w:t>To the extent our platform is perceived by merchants as costly, or too difficult to launch or migrate to, it would negatively affect our growth. Our revenue may be disproportionately affected by delays or reductions in general IT spending and reduction in investments in cross-border expansion by merchants. Our competition may respond to market conditions by lowering prices or otherwise bundling their competing solutions with other of their offerings which are widely used by merchants in a way that may make it difficult to attract merchants to our platform and services and may offer more competitive prices (including by way of strategic partnerships, collaborations or otherwise), in order to lure away our merchants.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may cause us to incur substantial costs, disrupt our operations, divert management’s attention, or have other material adverse effects on us.</w:t>
      </w:r>
    </w:p>
    <w:p>
      <w:pPr>
        <w:spacing w:after="0" w:line="159" w:lineRule="exact"/>
        <w:rPr>
          <w:sz w:val="20"/>
          <w:szCs w:val="20"/>
          <w:color w:val="auto"/>
        </w:rPr>
      </w:pPr>
    </w:p>
    <w:p>
      <w:pPr>
        <w:ind w:right="180" w:firstLine="551"/>
        <w:spacing w:after="0" w:line="258" w:lineRule="auto"/>
        <w:rPr>
          <w:sz w:val="20"/>
          <w:szCs w:val="20"/>
          <w:color w:val="auto"/>
        </w:rPr>
      </w:pPr>
      <w:r>
        <w:rPr>
          <w:rFonts w:ascii="Times New Roman" w:cs="Times New Roman" w:eastAsia="Times New Roman" w:hAnsi="Times New Roman"/>
          <w:sz w:val="18"/>
          <w:szCs w:val="18"/>
          <w:color w:val="auto"/>
        </w:rPr>
        <w:t>From time to time, activist investors may take a position in our shares. These activist investors may disagree with decisions we have made or may believe that alternative strategies or personnel, either at a management level or at a board level, would produce higher returns. Such activists may or may not be aligned with the views of our other shareholders, may be focused on short-term outcomes, or may be focused on building their reputation in the market. These activists may not have a full understanding of our business and markets and the alternative personnel they may propose may also not have the qualifications or experience necessary to lead the company.</w:t>
      </w:r>
    </w:p>
    <w:p>
      <w:pPr>
        <w:spacing w:after="0" w:line="183"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Responding to advances or actions by activist investors may be costly and time-consuming, may disrupt our operations, and may divert the attention of our board of directors, management team, and employees from running our business and maximizing performance. Such activist activities could also interfere with our ability to execute our strategic plan, disrupt the functioning of our board of directors, or negatively impact our ability to attract and retain qualified executive leadership or board members, who may be unwilling to serve with activist personnel. Uncertainty as to the impact of activist activities may also affect the market price and volatility of our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and may continue to be volatile.</w:t>
      </w:r>
    </w:p>
    <w:p>
      <w:pPr>
        <w:spacing w:after="0" w:line="229" w:lineRule="exact"/>
        <w:rPr>
          <w:sz w:val="20"/>
          <w:szCs w:val="20"/>
          <w:color w:val="auto"/>
        </w:rPr>
      </w:pPr>
    </w:p>
    <w:p>
      <w:pPr>
        <w:ind w:right="560" w:firstLine="551"/>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been and could continue to be highly volatile and may fluctuate substantially as a result of many factors, including:</w:t>
      </w:r>
    </w:p>
    <w:p>
      <w:pPr>
        <w:spacing w:after="0" w:line="162" w:lineRule="exact"/>
        <w:rPr>
          <w:sz w:val="20"/>
          <w:szCs w:val="20"/>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225" w:lineRule="exact"/>
        <w:rPr>
          <w:rFonts w:ascii="Times New Roman" w:cs="Times New Roman" w:eastAsia="Times New Roman" w:hAnsi="Times New Roman"/>
          <w:sz w:val="18"/>
          <w:szCs w:val="18"/>
          <w:color w:val="auto"/>
        </w:rPr>
      </w:pPr>
    </w:p>
    <w:p>
      <w:pPr>
        <w:ind w:left="800" w:right="480" w:hanging="225"/>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direct or indirect competition of significant business developments, changes in service provider relationships, acquisitions or expansion plans;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partners, merchants, and operating results;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of laws or regulations affecting our business;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model;</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actions;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ordinary shares or other securities in the future;</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competition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share ownership with insiders may limit your ability to influence corporate matters, including the ability to influence the outcome of director elections and other matters requiring shareholder approval.</w:t>
      </w:r>
    </w:p>
    <w:p>
      <w:pPr>
        <w:spacing w:after="0" w:line="159" w:lineRule="exact"/>
        <w:rPr>
          <w:sz w:val="20"/>
          <w:szCs w:val="20"/>
          <w:color w:val="auto"/>
        </w:rPr>
      </w:pPr>
    </w:p>
    <w:p>
      <w:pPr>
        <w:ind w:right="60" w:firstLine="551"/>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beneficial owners of greater than 5% of our ordinary shares and affiliated entities together beneficially owned approximately 73% of our ordinary shares outstanding as of December 31, 2021. Certain of such holders also have rights to acquire additional ordinary shares upon the exercise of options and warrants in the future. As a result, these shareholders, acting together, will have control over most matters that require approval by our shareholders, including the appointment and dismissal of directors, the terms of compensation of our directors and chief executive officer, certain other related party transactions, capital increases, and amendments to our amended and restated articles of association. Corporate action might be taken even if other shareholders oppose them. This concentration of ownership might also have the effect of delaying or preventing a change of control of us that other shareholders may view as beneficial.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sustained to provide adequate liquidity.</w:t>
      </w:r>
    </w:p>
    <w:p>
      <w:pPr>
        <w:spacing w:after="0" w:line="229" w:lineRule="exact"/>
        <w:rPr>
          <w:sz w:val="20"/>
          <w:szCs w:val="20"/>
          <w:color w:val="auto"/>
        </w:rPr>
      </w:pPr>
    </w:p>
    <w:p>
      <w:pPr>
        <w:ind w:right="60" w:firstLine="551"/>
        <w:spacing w:after="0" w:line="266" w:lineRule="auto"/>
        <w:rPr>
          <w:sz w:val="20"/>
          <w:szCs w:val="20"/>
          <w:color w:val="auto"/>
        </w:rPr>
      </w:pPr>
      <w:r>
        <w:rPr>
          <w:rFonts w:ascii="Times New Roman" w:cs="Times New Roman" w:eastAsia="Times New Roman" w:hAnsi="Times New Roman"/>
          <w:sz w:val="18"/>
          <w:szCs w:val="18"/>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159"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9" w:name="page40"/>
    <w:bookmarkEnd w:id="3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if the reduced disclosure requirements applicable to emerging growth companies will make our ordinary shares less attractive to investors because we may rely on these reduced disclosure requirements.</w:t>
      </w:r>
    </w:p>
    <w:p>
      <w:pPr>
        <w:spacing w:after="0" w:line="159" w:lineRule="exact"/>
        <w:rPr>
          <w:sz w:val="20"/>
          <w:szCs w:val="20"/>
          <w:color w:val="auto"/>
        </w:rPr>
      </w:pPr>
    </w:p>
    <w:p>
      <w:pPr>
        <w:jc w:val="both"/>
        <w:ind w:firstLine="551"/>
        <w:spacing w:after="0" w:line="289"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Under the JOBS Act, emerging growth companies can delay adopting new or revised financial accounting standards until such time as those standards apply to private companies. We have elected to take advantage of this extended transition period under the JOBS Act for adopting new or revised financial accounting standards.</w:t>
      </w:r>
    </w:p>
    <w:p>
      <w:pPr>
        <w:spacing w:after="0" w:line="158" w:lineRule="exact"/>
        <w:rPr>
          <w:sz w:val="20"/>
          <w:szCs w:val="20"/>
          <w:color w:val="auto"/>
        </w:rPr>
      </w:pPr>
    </w:p>
    <w:p>
      <w:pPr>
        <w:ind w:right="100" w:firstLine="551"/>
        <w:spacing w:after="0" w:line="253"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until December 31, 2026, although circumstances could cause us to lose that status earlier, including if our total annual gross revenue exceeds $1.07 billion, or if we are deemed to be a “large accelerated filer” under U.S. securities laws, which means either if (i) the market value of our ordinary shares that is held by non-affiliates exceeds $700 million as of the end of the prior fiscal year’s second fiscal quarter of if (2) we issue more than $1.0 billion in non-convertible debt securities during any three-year period.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59" w:lineRule="exact"/>
        <w:rPr>
          <w:sz w:val="20"/>
          <w:szCs w:val="20"/>
          <w:color w:val="auto"/>
        </w:rPr>
      </w:pPr>
    </w:p>
    <w:p>
      <w:pPr>
        <w:ind w:right="240" w:firstLine="551"/>
        <w:spacing w:after="0" w:line="272" w:lineRule="auto"/>
        <w:rPr>
          <w:sz w:val="20"/>
          <w:szCs w:val="20"/>
          <w:color w:val="auto"/>
        </w:rPr>
      </w:pPr>
      <w:r>
        <w:rPr>
          <w:rFonts w:ascii="Times New Roman" w:cs="Times New Roman" w:eastAsia="Times New Roman" w:hAnsi="Times New Roman"/>
          <w:sz w:val="17"/>
          <w:szCs w:val="17"/>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w:t>
      </w:r>
    </w:p>
    <w:p>
      <w:pPr>
        <w:spacing w:after="0" w:line="2" w:lineRule="exact"/>
        <w:rPr>
          <w:sz w:val="20"/>
          <w:szCs w:val="20"/>
          <w:color w:val="auto"/>
        </w:rPr>
      </w:pPr>
    </w:p>
    <w:p>
      <w:pPr>
        <w:ind w:right="40" w:firstLine="8"/>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follow certain home country corporate governance practices, our shareholders may not have the same protections afforded to shareholders of companies that are subject to all corporate governance rules of Nasdaq.</w:t>
      </w:r>
    </w:p>
    <w:p>
      <w:pPr>
        <w:spacing w:after="0" w:line="15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Nasdaq rules for shareholder meeting quorums. We may in the future elect to follow home country practices with regard to other matters. As a result, our shareholders may not have the same protections afforded to shareholders of companies that are subject to all corporate governance rules of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issuances and sales of our ordinary shares.</w:t>
      </w:r>
    </w:p>
    <w:p>
      <w:pPr>
        <w:spacing w:after="0" w:line="229" w:lineRule="exact"/>
        <w:rPr>
          <w:sz w:val="20"/>
          <w:szCs w:val="20"/>
          <w:color w:val="auto"/>
        </w:rPr>
      </w:pPr>
    </w:p>
    <w:p>
      <w:pPr>
        <w:ind w:right="60" w:firstLine="551"/>
        <w:spacing w:after="0" w:line="255" w:lineRule="auto"/>
        <w:rPr>
          <w:sz w:val="20"/>
          <w:szCs w:val="20"/>
          <w:color w:val="auto"/>
        </w:rPr>
      </w:pPr>
      <w:r>
        <w:rPr>
          <w:rFonts w:ascii="Times New Roman" w:cs="Times New Roman" w:eastAsia="Times New Roman" w:hAnsi="Times New Roman"/>
          <w:sz w:val="18"/>
          <w:szCs w:val="18"/>
          <w:color w:val="auto"/>
        </w:rPr>
        <w:t>As of December 31, 2021, there were 150,456,501 ordinary shares outstanding, as well as warrants to purchase an aggregate of 7,902,480 ordinary shares at an exercise price of $0.01 per share. As of December 31, 2021, we also had 13,324,236 ordinary shares available for future grant under our equity incentive plans and 10,575,172 ordinary shares that were subject to share awards outstanding (of which 7,955,457 were vested and exercisable as of December 31, 2021).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For example, following the effectiveness of the registration statement and re-sale of a substantial number of our ordinary shares held by certain pre-IPO shareholders in mid-September 2021, our ordinary shares experienced a price volatility.</w:t>
      </w:r>
    </w:p>
    <w:p>
      <w:pPr>
        <w:spacing w:after="0" w:line="189" w:lineRule="exact"/>
        <w:rPr>
          <w:sz w:val="20"/>
          <w:szCs w:val="20"/>
          <w:color w:val="auto"/>
        </w:rPr>
      </w:pPr>
    </w:p>
    <w:p>
      <w:pPr>
        <w:ind w:right="60" w:firstLine="551"/>
        <w:spacing w:after="0" w:line="266" w:lineRule="auto"/>
        <w:rPr>
          <w:sz w:val="20"/>
          <w:szCs w:val="20"/>
          <w:color w:val="auto"/>
        </w:rPr>
      </w:pPr>
      <w:r>
        <w:rPr>
          <w:rFonts w:ascii="Times New Roman" w:cs="Times New Roman" w:eastAsia="Times New Roman" w:hAnsi="Times New Roman"/>
          <w:sz w:val="18"/>
          <w:szCs w:val="18"/>
          <w:color w:val="auto"/>
        </w:rPr>
        <w:t>On May 24, 2021, we filed a registration statement on Form S-8 under the Securities Act to register ordinary shares reserved for issuance under our share option plans. The registration statement became effective automatically upon filing, and the ordinary shares covered by such registration statement are eligible for resale in the public markets, subject to vesting restrictions, lock-up agreements and Rule 144 limitations applicable to affiliates.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ordinary shares.</w:t>
      </w:r>
    </w:p>
    <w:p>
      <w:pPr>
        <w:spacing w:after="0" w:line="159" w:lineRule="exact"/>
        <w:rPr>
          <w:sz w:val="20"/>
          <w:szCs w:val="20"/>
          <w:color w:val="auto"/>
        </w:rPr>
      </w:pPr>
    </w:p>
    <w:p>
      <w:pPr>
        <w:ind w:right="40" w:firstLine="551"/>
        <w:spacing w:after="0" w:line="252" w:lineRule="auto"/>
        <w:rPr>
          <w:sz w:val="20"/>
          <w:szCs w:val="20"/>
          <w:color w:val="auto"/>
        </w:rPr>
      </w:pPr>
      <w:r>
        <w:rPr>
          <w:rFonts w:ascii="Times New Roman" w:cs="Times New Roman" w:eastAsia="Times New Roman" w:hAnsi="Times New Roman"/>
          <w:sz w:val="18"/>
          <w:szCs w:val="18"/>
          <w:color w:val="auto"/>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that we were not a PFIC for the year ended December 31, 2021 and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trading value of our ordinary shares, which could fluctuate significantly. In addition, it is possible that the Internal Revenue Service may take a contrary position with respect to our determination in any particular year, and therefore, there can be no assurance that we were not a PFIC for the year ended December 31, 2021 or will not be classified as a PFIC in the current taxable year or in the future. Certain adverse U.S. federal income tax consequences could apply to a United States Holder (as defined in Item 10.E. “Taxation—U.S. Federal Income Tax Consideration”) if we are treated as a PFIC for any taxable year during which such United States Holder holds our ordinary shares. United States Holders should consult their tax advisors about the potential application of the PFIC rules to their investment in our ordinary shares. For further discussion, see “Taxation—U.S. Federal Income Tax Consideration—Passive Foreign Investment Company” in Item 10.E. below.</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ind w:right="20" w:firstLine="551"/>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5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80" w:lineRule="exact"/>
        <w:rPr>
          <w:sz w:val="20"/>
          <w:szCs w:val="20"/>
          <w:color w:val="auto"/>
        </w:rPr>
      </w:pPr>
    </w:p>
    <w:p>
      <w:pPr>
        <w:ind w:left="800" w:right="140" w:hanging="225"/>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Companies Law, 5759-1999 (the “Companies Law”) regulates mergers and requires that a tender offer be effected when more than a specified percentage of shares in a company are purchased;</w:t>
      </w:r>
    </w:p>
    <w:p>
      <w:pPr>
        <w:spacing w:after="0" w:line="161" w:lineRule="exact"/>
        <w:rPr>
          <w:rFonts w:ascii="Times New Roman" w:cs="Times New Roman" w:eastAsia="Times New Roman" w:hAnsi="Times New Roman"/>
          <w:sz w:val="18"/>
          <w:szCs w:val="18"/>
          <w:color w:val="auto"/>
        </w:rPr>
      </w:pPr>
    </w:p>
    <w:p>
      <w:pPr>
        <w:ind w:left="800" w:right="400" w:hanging="225"/>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requires special approvals for certain transactions involving directors, officers or significant shareholders and regulates other matters that may be relevant to these types of transactions;</w:t>
      </w:r>
    </w:p>
    <w:p>
      <w:pPr>
        <w:spacing w:after="0" w:line="161"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does not provide for shareholder action by written consent for public companies, thereby requiring all shareholder actions to be taken at a general meeting of shareholders;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divide our directors into three classes, each of which is elected once every three years;</w:t>
      </w:r>
    </w:p>
    <w:p>
      <w:pPr>
        <w:spacing w:after="0" w:line="225" w:lineRule="exact"/>
        <w:rPr>
          <w:rFonts w:ascii="Times New Roman" w:cs="Times New Roman" w:eastAsia="Times New Roman" w:hAnsi="Times New Roman"/>
          <w:sz w:val="18"/>
          <w:szCs w:val="18"/>
          <w:color w:val="auto"/>
        </w:rPr>
      </w:pPr>
    </w:p>
    <w:p>
      <w:pPr>
        <w:ind w:left="800" w:right="120" w:hanging="225"/>
        <w:spacing w:after="0" w:line="261"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at least 70% of our voting power;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left="800" w:right="200" w:hanging="225"/>
        <w:spacing w:after="0" w:line="258"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restrict us, subject to certain exceptions, from engaging in certain business combination transactions, with any shareholder who holds 20% or more of our voting power. The transactions subject to such restrictions include mergers, consolidations and dispositions of our assets with a market value of 10% or more of our assets or outstanding shares. Subject to certain exceptions, such restrictions will apply for a period of three years following each time a shareholder became the holder of 20% or more of our voting power;</w:t>
      </w:r>
    </w:p>
    <w:p>
      <w:pPr>
        <w:spacing w:after="0" w:line="183" w:lineRule="exact"/>
        <w:rPr>
          <w:rFonts w:ascii="Times New Roman" w:cs="Times New Roman" w:eastAsia="Times New Roman" w:hAnsi="Times New Roman"/>
          <w:sz w:val="18"/>
          <w:szCs w:val="18"/>
          <w:color w:val="auto"/>
        </w:rPr>
      </w:pPr>
    </w:p>
    <w:p>
      <w:pPr>
        <w:ind w:left="800" w:right="320" w:hanging="225"/>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do not permit a director to be removed except by a vote of the holders of at least 70% of our voting power; and</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provide that director vacancies may be filled by our board of directors.</w:t>
      </w:r>
    </w:p>
    <w:p>
      <w:pPr>
        <w:spacing w:after="0" w:line="225"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229"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Consequently, investors who purchase our ordinary shares may be unable to realize a gain on their investment except by selling sell such shares after price appreciation, which may never occur.</w:t>
      </w:r>
    </w:p>
    <w:p>
      <w:pPr>
        <w:spacing w:after="0" w:line="176" w:lineRule="exact"/>
        <w:rPr>
          <w:sz w:val="20"/>
          <w:szCs w:val="20"/>
          <w:color w:val="auto"/>
        </w:rPr>
      </w:pPr>
    </w:p>
    <w:p>
      <w:pPr>
        <w:jc w:val="both"/>
        <w:ind w:right="380" w:firstLine="551"/>
        <w:spacing w:after="0" w:line="266" w:lineRule="auto"/>
        <w:rPr>
          <w:sz w:val="20"/>
          <w:szCs w:val="20"/>
          <w:color w:val="auto"/>
        </w:rPr>
      </w:pPr>
      <w:r>
        <w:rPr>
          <w:rFonts w:ascii="Times New Roman" w:cs="Times New Roman" w:eastAsia="Times New Roman" w:hAnsi="Times New Roman"/>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dividends may also be subject to Israeli withholding taxes. See “Taxation” in Item 10.E below for additional information.</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192" w:lineRule="exact"/>
        <w:rPr>
          <w:sz w:val="20"/>
          <w:szCs w:val="20"/>
          <w:color w:val="auto"/>
        </w:rPr>
      </w:pPr>
    </w:p>
    <w:p>
      <w:pPr>
        <w:ind w:right="140" w:firstLine="551"/>
        <w:spacing w:after="0" w:line="26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continue to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provide that unless we consent to an alternate forum, the federal district courts of the United States shall be the exclusive forum of resolution of any claims arising under the Securities Act which may impose additional litigation costs on our shareholders.</w:t>
      </w:r>
    </w:p>
    <w:p>
      <w:pPr>
        <w:spacing w:after="0" w:line="175"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the federal district courts of the United States shall be the exclusive forum for the resolution of any claims arising under the Securities Act, the Exchange Act or the rules and regulations promulgated pursuant to such statutes. Notwithstanding the foregoing, we note that holders of our securities cannot waive compliance with the federal securities laws and the rules and regulations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As a result, the exclusive jurisdiction provision may not preclude or contract the scope of exclusive federal or concurrent jurisdiction for actions brought under the Securities Act or the Exchange Act, or the respective rules and regulations promulgated thereunder. While the Federal Forum Provision does not restrict the ability of our shareholders to bring claims under the Securities Act, nor does it affect the remedies available thereunder if such claims are successful, we recognize that it may limit shareholders ability to bring a claim in the judicial forum that they find favorable and may increase certain litigation costs which may discourage the filing of claims against the Company, its directors and officers.</w:t>
      </w:r>
    </w:p>
    <w:p>
      <w:pPr>
        <w:spacing w:after="0" w:line="188" w:lineRule="exact"/>
        <w:rPr>
          <w:sz w:val="20"/>
          <w:szCs w:val="20"/>
          <w:color w:val="auto"/>
        </w:rPr>
      </w:pPr>
    </w:p>
    <w:p>
      <w:pPr>
        <w:ind w:right="6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75"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3"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Incorporation and Location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w:t>
      </w:r>
    </w:p>
    <w:p>
      <w:pPr>
        <w:spacing w:after="0" w:line="229"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Many of our employees, including certain management members operate from our offices that are located in Petah Tikva,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hostilities involving Israel or the interruption or curtailment of trade between Israel and its trading partners could adversely affect our operations and results of operations.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right="340" w:firstLine="551"/>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right="60" w:firstLine="551"/>
        <w:spacing w:after="0" w:line="261"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80"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skilled technical and other personnel in Israel is intense, and as a result we may fail to attract, recruit, retain and develop qualified employees, which could materially and adversely impact our business, financial condition and results of operations.</w:t>
      </w:r>
    </w:p>
    <w:p>
      <w:pPr>
        <w:spacing w:after="0" w:line="159"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We compete in a market marked by rapidly changing technologies and an evolving competitive landscape. In order for us to successfully compete and grow, we must attract, recruit, retain and develop personnel with requisite qualifications to provide expertise across the entire spectrum of our intellectual capital and business needs.</w:t>
      </w:r>
    </w:p>
    <w:p>
      <w:pPr>
        <w:spacing w:after="0" w:line="176"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Our principal research and development as well as significant elements of our general and administrative activities are conducted at our headquarters in Israel, and we face significant competition for suitably skilled employees in Israel. While there has been intense competition for qualified human resources in the Israeli high-tech industry historically, the industry experienced record growth and activity in 2021, both at the earlier stages of venture capital and growth equity financings, and at the exit stage of initial public offerings and mergers and acquisitions. This flurry of growth and activity has caused a sharp increase in job openings in both Israeli high-tech companies and Israeli research and development centers of foreign companies, and intensification of competition between these employers to attract qualified employees in Israel. As a result, the high-tech industry in Israel has experienced significant levels of employee attrition and is currently facing a severe shortage of skilled human capital, including engineering, research and development, sales and customer support personnel. Many of the companies with which we compete for qualified personnel have greater resources than we do, and we may not succeed in recruiting additional experienced or professional personnel, retaining personnel or effectively replacing current personnel who may depart with qualified or effective successors. Failure to retain or attract qualified personnel could have a material adverse effect on our business, financial condition and results of operations.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our officers and directors named in this Annual Report in Israel or the United States, or to assert U.S. securities laws claims in Israel or serve process on our officers and directors.</w:t>
      </w:r>
    </w:p>
    <w:p>
      <w:pPr>
        <w:spacing w:after="0" w:line="159"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94" w:lineRule="exact"/>
        <w:rPr>
          <w:sz w:val="20"/>
          <w:szCs w:val="20"/>
          <w:color w:val="auto"/>
        </w:rPr>
      </w:pPr>
    </w:p>
    <w:p>
      <w:pPr>
        <w:ind w:right="140" w:firstLine="551"/>
        <w:spacing w:after="0" w:line="261"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6"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59"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holders of our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9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provide that unless the Company consents otherwise, the competent courts of Tel Aviv, Israel shall be the sole and exclusive forum for substantially all disputes between the Company and its shareholders under the Companies Law and the Israeli Securities Law, which could limit its shareholders ability to brings claims and proceedings against, as well as obtain favorable judicial forum for disputes with the Company, its directors, officers and other employees.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competent courts of Tel Aviv, Israel shall be the exclusive forum for (i) any derivative action or proceeding brought on behalf of the Company,</w:t>
      </w:r>
    </w:p>
    <w:p>
      <w:pPr>
        <w:spacing w:after="0" w:line="27" w:lineRule="exact"/>
        <w:rPr>
          <w:sz w:val="20"/>
          <w:szCs w:val="20"/>
          <w:color w:val="auto"/>
        </w:rPr>
      </w:pPr>
    </w:p>
    <w:p>
      <w:pPr>
        <w:ind w:right="80" w:firstLine="8"/>
        <w:spacing w:after="0" w:line="251"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This exclusive forum provisions is intended to apply to claims arising under Israeli Law and would not apply to claims brought pursuant to the Securities Act or the Exchange Act or any other claim for which federal courts would have exclusive jurisdiction. Such exclusive forum provision in our amended and restated articles of association will not relieve the Company of its duties to comply with federal securities laws and the rules and regulations thereunder, and shareholders of the Company will not be deemed to have waived the Company’s compliance with these laws, rules and regulations. This exclusive forum provision may limit a shareholders ability to bring a claim in a judicial forum of its choosing for disputes with the Company or its directors or other employees which may discourage lawsuits against the Company, its directors, officers and employees.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Global-E Online Ltd. was incorporated on February 21, 2013 under the Companies Law, or the Companies Law, in the State of Israel and commenced operations at that time. Our commercial name is Global-e. Our principal executive offices are located at 25 Basel Street, Petah Tikva 4951038, Israel. We expect to relocate our principal executive offices during 2022 to a new facility under a long-term lease in Petah Tikva. Our website address</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is www.global-e.com and our telephone number is +972-73-2605078. Information contained on, or that can be accessed through, our website does not constitute a part of this Annual Report and is not incorporated by reference herein. We have included our website address in this Annual Report solely for informational purposes. The SEC maintains an Internet site that contains reports, proxy and information statements, and other information regarding issuers, such as we, that file electronically, with the SEC at www.sec.gov.</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completed the initial public offering of our ordinary shares in the United States in May 2021.</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September 2021, an underwritten secondary follow-on offering of 12,000,000 of our ordinary shares held by certain selling shareholders was consummated and an additional 1,800,000 ordinary shares were sold by such shareholders pursuant to the exercise of an option granted to the underwriters by the selling shareholders. We did not receive any proceeds from the sale of our ordinary shares by the selling shareholders.</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November 24, 2021, we entered into an agreement to acquire Flow through the statutory merger of Flow with Global-e NewCo Inc., our wholly owned indirect subsidiary, with Flow as the surviving corporation and our wholly owned subsidiary. The Flow Merger closed on January 3, 2022 and is expected to strengthen our offering and capabilities, to allow us access to additional addressable market of emerging brands not currently eligible to use our services. The acquisition was for an aggregate purchase price of up to approximately $500 million (in equal portions of cash and our ordinary shares), comprised of a base consideration of approximately $425 million and up to approximately $75 million in potential additional consideration based on certain financial results in 2021. The agreement also contains customary representations, warranties, covenants and indemnification provisions.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see Item 5. “Operating and Financial Review and Prospects.”</w:t>
      </w:r>
    </w:p>
    <w:p>
      <w:pPr>
        <w:spacing w:after="0" w:line="221" w:lineRule="exact"/>
        <w:rPr>
          <w:sz w:val="20"/>
          <w:szCs w:val="20"/>
          <w:color w:val="auto"/>
        </w:rPr>
      </w:pPr>
    </w:p>
    <w:p>
      <w:pPr>
        <w:ind w:right="9160" w:firstLine="318"/>
        <w:spacing w:after="0" w:line="503" w:lineRule="auto"/>
        <w:tabs>
          <w:tab w:leader="none" w:pos="62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left="560"/>
        <w:spacing w:after="0"/>
        <w:rPr>
          <w:sz w:val="20"/>
          <w:szCs w:val="20"/>
          <w:color w:val="auto"/>
        </w:rPr>
      </w:pPr>
      <w:r>
        <w:rPr>
          <w:rFonts w:ascii="Times New Roman" w:cs="Times New Roman" w:eastAsia="Times New Roman" w:hAnsi="Times New Roman"/>
          <w:sz w:val="18"/>
          <w:szCs w:val="18"/>
          <w:color w:val="auto"/>
        </w:rPr>
        <w:t>We have built the world’s leading platform to enable and accelerate global, direct-to-consumer (“D2C”) cross-border e-commerce.</w:t>
      </w:r>
    </w:p>
    <w:p>
      <w:pPr>
        <w:spacing w:after="0" w:line="225"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right="240" w:firstLine="551"/>
        <w:spacing w:after="0" w:line="256" w:lineRule="auto"/>
        <w:rPr>
          <w:sz w:val="20"/>
          <w:szCs w:val="20"/>
          <w:color w:val="auto"/>
        </w:rPr>
      </w:pPr>
      <w:r>
        <w:rPr>
          <w:rFonts w:ascii="Times New Roman" w:cs="Times New Roman" w:eastAsia="Times New Roman" w:hAnsi="Times New Roman"/>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187" w:lineRule="exact"/>
        <w:rPr>
          <w:sz w:val="20"/>
          <w:szCs w:val="20"/>
          <w:color w:val="auto"/>
        </w:rPr>
      </w:pPr>
    </w:p>
    <w:p>
      <w:pPr>
        <w:ind w:right="60" w:firstLine="551"/>
        <w:spacing w:after="0" w:line="256" w:lineRule="auto"/>
        <w:rPr>
          <w:sz w:val="20"/>
          <w:szCs w:val="20"/>
          <w:color w:val="auto"/>
        </w:rPr>
      </w:pPr>
      <w:r>
        <w:rPr>
          <w:rFonts w:ascii="Times New Roman" w:cs="Times New Roman" w:eastAsia="Times New Roman" w:hAnsi="Times New Roman"/>
          <w:sz w:val="18"/>
          <w:szCs w:val="18"/>
          <w:color w:val="auto"/>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187"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30 languages, purchases in more than 100 currencies by over 150 payment methods and a multitude of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188" w:lineRule="exact"/>
        <w:rPr>
          <w:sz w:val="20"/>
          <w:szCs w:val="20"/>
          <w:color w:val="auto"/>
        </w:rPr>
      </w:pPr>
    </w:p>
    <w:p>
      <w:pPr>
        <w:ind w:right="200" w:firstLine="551"/>
        <w:spacing w:after="0" w:line="256" w:lineRule="auto"/>
        <w:rPr>
          <w:sz w:val="20"/>
          <w:szCs w:val="20"/>
          <w:color w:val="auto"/>
        </w:rPr>
      </w:pPr>
      <w:r>
        <w:rPr>
          <w:rFonts w:ascii="Times New Roman" w:cs="Times New Roman" w:eastAsia="Times New Roman" w:hAnsi="Times New Roman"/>
          <w:sz w:val="18"/>
          <w:szCs w:val="18"/>
          <w:color w:val="auto"/>
        </w:rPr>
        <w:t>For merchants, our platform also removes much of the complexity that is associated with cross-border e-commerce. Sales are reconciled and paid for locally and in the currency of the merchant’s 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As of December 31, 2021, we had more than 650 merchants on our platform across diversified verticals and ranging from small, emerging brands to globally-recognized retailers.</w:t>
      </w:r>
    </w:p>
    <w:p>
      <w:pPr>
        <w:spacing w:after="0" w:line="187"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The scale and sophistication of our platform rely on the data and insights we’ve accumulated since our founding more than eight years ago. We refer to the application of our data as “Smart Insights” – country-, price- 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merchants.</w:t>
      </w:r>
    </w:p>
    <w:p>
      <w:pPr>
        <w:spacing w:after="0" w:line="192"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The merchants’ success is our success, and we aspire to become their trusted partner for international sales. The better the outcomes for the merchants and the more revenue and growth they achieve, the greater our own revenue and growth. We believe this alignment of interests with the merchants is core to our long-term success. This is evidenced by our Gross Dollar Retention Rate, which has typically been over 98% since 2018, and our Net Dollar Retention Rate, which has typically been over 140% during the same period. In 2021 our Gross Dollar Retention rate continued to track at over 98% and our Net Dollar Retention Rate was 152%. These retention rates demonstrate both the strong retention we enjoy among our existing merchants and the strong growth of GMV from merchants that use our platform.</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firstLine="551"/>
        <w:spacing w:after="0" w:line="255" w:lineRule="auto"/>
        <w:rPr>
          <w:sz w:val="20"/>
          <w:szCs w:val="20"/>
          <w:color w:val="auto"/>
        </w:rPr>
      </w:pPr>
      <w:r>
        <w:rPr>
          <w:rFonts w:ascii="Times New Roman" w:cs="Times New Roman" w:eastAsia="Times New Roman" w:hAnsi="Times New Roman"/>
          <w:sz w:val="18"/>
          <w:szCs w:val="18"/>
          <w:color w:val="auto"/>
        </w:rPr>
        <w:t>Since launching our platform in 2013, our business has experienced rapid growth. Our GMV amounted to $382 million, $774 million and $1,449 million in 2019, 2020 and 2021, respectively, representing an increase of 103% and 87% in the years ended December 31, 2020 and 2021, respectively. Our revenues were $65.9 million, $136.4 million and $245.3 million in the years ended December 31, 2019, 2020 and 2021, respectively, representing an increase of 107.1% and 79.9% in the years ended December 31, 2020, and 2021 respectively. Our operating efficiency and growing economies of scale have allowed our gross profit growth rates to outpace those of our revenue growth. Our gross profit increased by 133% and 110% in the years ended December 31, 2020 and 2021. Our gross margin has steadily improved from 28.3% in 2019 to 31.9% in 2020, and to 37.3% in 2021. Our Adjusted EBITDA has grown from $(4.6) million in 2019 to $12.6 million in 2020 and $32.4 million in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Opportunity</w:t>
      </w:r>
    </w:p>
    <w:p>
      <w:pPr>
        <w:spacing w:after="0" w:line="229"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We strive to make international sales as simple as domestic ones for our merchants, while also ensuring their shoppers enjoy an intuitive and frictionless shopper journey, making both shoppers and merchants “abroad-agnostic”. We believe that our scalable platform enables our merchants to capture the large and growing cross-border e-commerce market. As of December 31, 2021, we served over 650 merchants across over 15 countries, mainly in the United States, the United Kingdom, France, and other Western European markets; overall, we sell to shoppers in over 200 destination markets worldwide. Forrester expects that by 2023, the cross-border e-commerce market will reach $736 billion. For the year ended December 31, 2020 and 2021, our merchants’ transactions on our platform amounted to a GMV of $774 million and $1,449 million, respectively. We believe that the share of e-commerce merchants that have a meaningful cross-border footprint is limited, thus presenting a significant opportunity for further growth. We believe we have the potential to become an industry-defining player that enables merchants to capture the cross-border e-commerce opportunity.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Global-e Solution</w:t>
      </w:r>
    </w:p>
    <w:p>
      <w:pPr>
        <w:spacing w:after="0" w:line="229" w:lineRule="exact"/>
        <w:rPr>
          <w:sz w:val="20"/>
          <w:szCs w:val="20"/>
          <w:color w:val="auto"/>
        </w:rPr>
      </w:pPr>
    </w:p>
    <w:p>
      <w:pPr>
        <w:ind w:right="220" w:firstLine="551"/>
        <w:spacing w:after="0" w:line="282" w:lineRule="auto"/>
        <w:rPr>
          <w:sz w:val="20"/>
          <w:szCs w:val="20"/>
          <w:color w:val="auto"/>
        </w:rPr>
      </w:pPr>
      <w:r>
        <w:rPr>
          <w:rFonts w:ascii="Times New Roman" w:cs="Times New Roman" w:eastAsia="Times New Roman" w:hAnsi="Times New Roman"/>
          <w:sz w:val="18"/>
          <w:szCs w:val="18"/>
          <w:color w:val="auto"/>
        </w:rPr>
        <w:t>Global-e is a leader in cross-border e-commerce enablement. We offer a full end-to-end platform built on a highly scalable technology stack. Our comprehensive solution provides merchants with mission-critical tools that enable them to sell and scale globally.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offering is a result of a potent combination of key components that will help further fuel the growth of cross-border e-commerce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an intuitive and frictionless shopper journey</w:t>
      </w:r>
    </w:p>
    <w:p>
      <w:pPr>
        <w:spacing w:after="0" w:line="229"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Through a combination of proprietary capabilities and useful third-party integrations, Global-e is able to create a localized and efficient experience for shoppers regardless of the country they are shopping from. Our platform is able to support:</w:t>
      </w:r>
    </w:p>
    <w:p>
      <w:pPr>
        <w:spacing w:after="0" w:line="158" w:lineRule="exact"/>
        <w:rPr>
          <w:sz w:val="20"/>
          <w:szCs w:val="20"/>
          <w:color w:val="auto"/>
        </w:rPr>
      </w:pPr>
    </w:p>
    <w:p>
      <w:pPr>
        <w:ind w:left="800" w:hanging="225"/>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 localized marketing messaging and checkout in over 30 languages.</w:t>
      </w:r>
    </w:p>
    <w:p>
      <w:pPr>
        <w:spacing w:after="0" w:line="225" w:lineRule="exact"/>
        <w:rPr>
          <w:rFonts w:ascii="Times New Roman" w:cs="Times New Roman" w:eastAsia="Times New Roman" w:hAnsi="Times New Roman"/>
          <w:sz w:val="18"/>
          <w:szCs w:val="18"/>
          <w:color w:val="auto"/>
        </w:rPr>
      </w:pPr>
    </w:p>
    <w:p>
      <w:pPr>
        <w:ind w:left="800" w:right="120" w:hanging="225"/>
        <w:spacing w:after="0" w:line="286"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w:t>
      </w:r>
      <w:r>
        <w:rPr>
          <w:rFonts w:ascii="Times New Roman" w:cs="Times New Roman" w:eastAsia="Times New Roman" w:hAnsi="Times New Roman"/>
          <w:sz w:val="18"/>
          <w:szCs w:val="18"/>
          <w:color w:val="auto"/>
        </w:rPr>
        <w:t>–support for more than 100 currencies as well as a sophisticated pricing engine customizable according to the shopper’s location,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retail pricing conventions and the merchant’s pricing strategy.</w:t>
      </w:r>
    </w:p>
    <w:p>
      <w:pPr>
        <w:spacing w:after="0" w:line="154"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Payments </w:t>
      </w:r>
      <w:r>
        <w:rPr>
          <w:rFonts w:ascii="Times New Roman" w:cs="Times New Roman" w:eastAsia="Times New Roman" w:hAnsi="Times New Roman"/>
          <w:sz w:val="18"/>
          <w:szCs w:val="18"/>
          <w:color w:val="auto"/>
        </w:rPr>
        <w:t>– over 150 payment methods, with new payment methods being continuously added.</w:t>
      </w:r>
    </w:p>
    <w:p>
      <w:pPr>
        <w:spacing w:after="0" w:line="225" w:lineRule="exact"/>
        <w:rPr>
          <w:rFonts w:ascii="Times New Roman" w:cs="Times New Roman" w:eastAsia="Times New Roman" w:hAnsi="Times New Roman"/>
          <w:sz w:val="18"/>
          <w:szCs w:val="18"/>
          <w:color w:val="auto"/>
        </w:rPr>
      </w:pPr>
    </w:p>
    <w:p>
      <w:pPr>
        <w:jc w:val="both"/>
        <w:ind w:left="800" w:right="200" w:hanging="225"/>
        <w:spacing w:after="0" w:line="268"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and taxes </w:t>
      </w:r>
      <w:r>
        <w:rPr>
          <w:rFonts w:ascii="Times New Roman" w:cs="Times New Roman" w:eastAsia="Times New Roman" w:hAnsi="Times New Roman"/>
          <w:sz w:val="18"/>
          <w:szCs w:val="18"/>
          <w:color w:val="auto"/>
        </w:rPr>
        <w:t>– the ability to accurately pre-calculate import duties and taxes and remit them in over 170 destination markets, simplifying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customs clearance process and allowing for a guaranteed landed price quote for both the shopper and the merchant. We also ensure we are addressing local market import restrictions.</w:t>
      </w:r>
    </w:p>
    <w:p>
      <w:pPr>
        <w:spacing w:after="0" w:line="170" w:lineRule="exact"/>
        <w:rPr>
          <w:rFonts w:ascii="Times New Roman" w:cs="Times New Roman" w:eastAsia="Times New Roman" w:hAnsi="Times New Roman"/>
          <w:sz w:val="18"/>
          <w:szCs w:val="18"/>
          <w:color w:val="auto"/>
        </w:rPr>
      </w:pPr>
    </w:p>
    <w:p>
      <w:pPr>
        <w:jc w:val="both"/>
        <w:ind w:left="800" w:right="200" w:hanging="225"/>
        <w:spacing w:after="0" w:line="268"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w:t>
      </w:r>
      <w:r>
        <w:rPr>
          <w:rFonts w:ascii="Times New Roman" w:cs="Times New Roman" w:eastAsia="Times New Roman" w:hAnsi="Times New Roman"/>
          <w:sz w:val="18"/>
          <w:szCs w:val="18"/>
          <w:color w:val="auto"/>
        </w:rPr>
        <w:t>– an extensive network of more than 20 shipping carriers, offering multiple shipping modes at attractive rates, including specialized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shipping options such as Pick-Up &amp; Drop-Off where applicable. We have found that shopper preferences for shipping modes and pricing vary significantly among markets, and are an important driver of conversion rates.</w:t>
      </w:r>
    </w:p>
    <w:p>
      <w:pPr>
        <w:spacing w:after="0" w:line="170" w:lineRule="exact"/>
        <w:rPr>
          <w:rFonts w:ascii="Times New Roman" w:cs="Times New Roman" w:eastAsia="Times New Roman" w:hAnsi="Times New Roman"/>
          <w:sz w:val="18"/>
          <w:szCs w:val="18"/>
          <w:color w:val="auto"/>
        </w:rPr>
      </w:pPr>
    </w:p>
    <w:p>
      <w:pPr>
        <w:ind w:left="800" w:right="180" w:hanging="225"/>
        <w:spacing w:after="0" w:line="286"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After-sale support and returns </w:t>
      </w:r>
      <w:r>
        <w:rPr>
          <w:rFonts w:ascii="Times New Roman" w:cs="Times New Roman" w:eastAsia="Times New Roman" w:hAnsi="Times New Roman"/>
          <w:sz w:val="18"/>
          <w:szCs w:val="18"/>
          <w:color w:val="auto"/>
        </w:rPr>
        <w:t>– multi-lingual shopper services and multiple returns options, including pre-paid and local returns in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ind w:right="200" w:firstLine="551"/>
        <w:spacing w:after="0" w:line="261" w:lineRule="auto"/>
        <w:rPr>
          <w:sz w:val="20"/>
          <w:szCs w:val="20"/>
          <w:color w:val="auto"/>
        </w:rPr>
      </w:pPr>
      <w:r>
        <w:rPr>
          <w:rFonts w:ascii="Times New Roman" w:cs="Times New Roman" w:eastAsia="Times New Roman" w:hAnsi="Times New Roman"/>
          <w:sz w:val="18"/>
          <w:szCs w:val="18"/>
          <w:color w:val="auto"/>
        </w:rPr>
        <w:t>The combination of these extensive international capabilities embeds a highly-localized shopper journey into the framework of a merchant’s e-commerce store. This creates benefits for shoppers, who enjoy an efficient and familiar experience, while gaining direct access to the merchant’s full and original e-commerce website. Their positive experience allows us to significantly increase the conversion of our merchants’ international traffic and, consequently, their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Solving the merchants’ needs through our purpose-built end-to-end platform</w:t>
      </w:r>
    </w:p>
    <w:p>
      <w:pPr>
        <w:spacing w:after="0" w:line="229"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Our platform includes mission-critical tools, from local pricing and payments capabilities to after-sales support. We also simplify the international order flow – regardless of shopper and merchant origin, currency and payment method used, whether duties and taxes were pre-paid and which shipping option was chosen – making it as simple to complete as a domestic order.</w:t>
      </w:r>
    </w:p>
    <w:p>
      <w:pPr>
        <w:spacing w:after="0" w:line="172" w:lineRule="exact"/>
        <w:rPr>
          <w:sz w:val="20"/>
          <w:szCs w:val="20"/>
          <w:color w:val="auto"/>
        </w:rPr>
      </w:pPr>
    </w:p>
    <w:p>
      <w:pPr>
        <w:ind w:left="800" w:hanging="225"/>
        <w:spacing w:after="0" w:line="259"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sales conversion: </w:t>
      </w:r>
      <w:r>
        <w:rPr>
          <w:rFonts w:ascii="Times New Roman" w:cs="Times New Roman" w:eastAsia="Times New Roman" w:hAnsi="Times New Roman"/>
          <w:sz w:val="18"/>
          <w:szCs w:val="18"/>
          <w:color w:val="auto"/>
        </w:rPr>
        <w:t>we enable the merchants to scale internationally in a rapid, efficient manner through our platform. We ensure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merchants are able to capitalize on their valuable international shopper traffic and growth potential by eliminating friction to close the gap between international markets’ share of traffic and monetization. This enables the merchants to generate an uplift in sales from the conversion of their international shopper conversion. We have seen merchants experience significant uplift (often exceeding 60%) in international traffic conversion after beginning to use our platform.</w:t>
      </w:r>
    </w:p>
    <w:p>
      <w:pPr>
        <w:spacing w:after="0" w:line="179" w:lineRule="exact"/>
        <w:rPr>
          <w:rFonts w:ascii="Times New Roman" w:cs="Times New Roman" w:eastAsia="Times New Roman" w:hAnsi="Times New Roman"/>
          <w:sz w:val="18"/>
          <w:szCs w:val="18"/>
          <w:color w:val="auto"/>
        </w:rPr>
      </w:pPr>
    </w:p>
    <w:p>
      <w:pPr>
        <w:ind w:left="800" w:right="160" w:hanging="225"/>
        <w:spacing w:after="0" w:line="26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Enabling expansion flexibility: </w:t>
      </w:r>
      <w:r>
        <w:rPr>
          <w:rFonts w:ascii="Times New Roman" w:cs="Times New Roman" w:eastAsia="Times New Roman" w:hAnsi="Times New Roman"/>
          <w:sz w:val="18"/>
          <w:szCs w:val="18"/>
          <w:color w:val="auto"/>
        </w:rPr>
        <w:t>Global-e presents merchants with flexibility to expand where and when they want to, as they seek to capture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cross-border opportunity. We transform what otherwise would have required significant time and financial investments in proprietary development and go-to-market efforts into an efficient expansion solution managed by adjusting mere configurations on the Global-e platform per market.</w:t>
      </w:r>
    </w:p>
    <w:p>
      <w:pPr>
        <w:spacing w:after="0" w:line="176" w:lineRule="exact"/>
        <w:rPr>
          <w:rFonts w:ascii="Times New Roman" w:cs="Times New Roman" w:eastAsia="Times New Roman" w:hAnsi="Times New Roman"/>
          <w:sz w:val="18"/>
          <w:szCs w:val="18"/>
          <w:color w:val="auto"/>
        </w:rPr>
      </w:pPr>
    </w:p>
    <w:p>
      <w:pPr>
        <w:ind w:left="800" w:right="20" w:hanging="225"/>
        <w:spacing w:after="0" w:line="254"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Reducing merchant complexity: </w:t>
      </w:r>
      <w:r>
        <w:rPr>
          <w:rFonts w:ascii="Times New Roman" w:cs="Times New Roman" w:eastAsia="Times New Roman" w:hAnsi="Times New Roman"/>
          <w:sz w:val="18"/>
          <w:szCs w:val="18"/>
          <w:color w:val="auto"/>
        </w:rPr>
        <w:t>Global-e assumes the role of merchant of record (“MoR”) vis-à-vis the shopper. We believe that taking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responsibility significantly reduces legal complexity for the merchants, as we report and forward relevant import taxes and handle import compliance in the local market where a purchase is made, in line with specific market regulations. Our MoR status allows us to handle tax recovery for returned goods, with no hassle to the merchant. We bear certain fraud and foreign exchange risks that would otherwise be borne by the merchants and offer simple access to dozens of local payment methods, which further reduces potential frictions that could deter both merchants and shoppers from engaging in cross-border transactions. We also adapt our systems and operations on an ongoing basis to address the evolving regulatory landscape and technical backdrop. Vis-à-vis the merchant, we streamline order processing by periodically reconciling all international orders in bulk and in the merchant’s native currency. In short, we aim to provide an experience that is akin to a domestic transaction.</w:t>
      </w:r>
    </w:p>
    <w:p>
      <w:pPr>
        <w:spacing w:after="0" w:line="188" w:lineRule="exact"/>
        <w:rPr>
          <w:rFonts w:ascii="Times New Roman" w:cs="Times New Roman" w:eastAsia="Times New Roman" w:hAnsi="Times New Roman"/>
          <w:sz w:val="18"/>
          <w:szCs w:val="18"/>
          <w:color w:val="auto"/>
        </w:rPr>
      </w:pPr>
    </w:p>
    <w:p>
      <w:pPr>
        <w:ind w:left="800" w:right="20" w:hanging="225"/>
        <w:spacing w:after="0" w:line="26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Emphasizing merchant branding</w:t>
      </w:r>
      <w:r>
        <w:rPr>
          <w:rFonts w:ascii="Times New Roman" w:cs="Times New Roman" w:eastAsia="Times New Roman" w:hAnsi="Times New Roman"/>
          <w:sz w:val="18"/>
          <w:szCs w:val="18"/>
          <w:color w:val="auto"/>
        </w:rPr>
        <w:t>: maintaining the direct shopper relationships is of strategic importance to the merchants, and we are deeply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committed to preserving that connection. All throughout the process, the merchants preserve the integrity of the brand experience and enhance their brand equity. Our platform uses minimal Global-e branding – and only where required to do so – so shoppers primarily face the merchant’s existing storefront and brand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Combining our access to data and know-how to generate Smart Insights</w:t>
      </w:r>
    </w:p>
    <w:p>
      <w:pPr>
        <w:spacing w:after="0" w:line="22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are well-positioned to provide insights to our merchants thanks to both the breadth and depth of the data we generate, on the basis of the significant international traffic on our merchants’ websites and the millions of transactions we facilitate on a yearly basis. For the year ended December 31, 2021, there were approximately 620 million visits across our merchants’ e-commerce sites, and we enabled approximately 7 million transactions across over 15 origin countries and over 200 destination markets. We gather extensive data along the entire value chain and lifecycle of an order – from the initial visit to the e-commerce store through the actual purchase, delivery and returns.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firstLine="551"/>
        <w:spacing w:after="0" w:line="261" w:lineRule="auto"/>
        <w:rPr>
          <w:sz w:val="20"/>
          <w:szCs w:val="20"/>
          <w:color w:val="auto"/>
        </w:rPr>
      </w:pPr>
      <w:r>
        <w:rPr>
          <w:rFonts w:ascii="Times New Roman" w:cs="Times New Roman" w:eastAsia="Times New Roman" w:hAnsi="Times New Roman"/>
          <w:sz w:val="18"/>
          <w:szCs w:val="18"/>
          <w:color w:val="auto"/>
        </w:rPr>
        <w:t>Our proprietary models use this wealth of information to generate curated and actionable Smart Insights for our merchants, advising them on how certain changes to their online value proposition would potentially affect shopper conversion rates. We also provide detailed business analytics on a market-per-market basis, leveraging our know-how, tools and data. Such Smart Insights enable the merchants to optimize their offering to the shoppers by location, alleviating the need for trial and error in order to assess customer preferences on a standalone basis.</w:t>
      </w:r>
    </w:p>
    <w:p>
      <w:pPr>
        <w:spacing w:after="0" w:line="180" w:lineRule="exact"/>
        <w:rPr>
          <w:sz w:val="20"/>
          <w:szCs w:val="20"/>
          <w:color w:val="auto"/>
        </w:rPr>
      </w:pPr>
    </w:p>
    <w:p>
      <w:pPr>
        <w:ind w:right="80" w:firstLine="551"/>
        <w:spacing w:after="0" w:line="312" w:lineRule="auto"/>
        <w:rPr>
          <w:sz w:val="20"/>
          <w:szCs w:val="20"/>
          <w:color w:val="auto"/>
        </w:rPr>
      </w:pPr>
      <w:r>
        <w:rPr>
          <w:rFonts w:ascii="Times New Roman" w:cs="Times New Roman" w:eastAsia="Times New Roman" w:hAnsi="Times New Roman"/>
          <w:sz w:val="17"/>
          <w:szCs w:val="17"/>
          <w:color w:val="auto"/>
        </w:rPr>
        <w:t>Our holistic approach – coupling our localization capabilities and market know-how with our data driven Smart Insights – enables the merchants to unlock their potential for cross-border, D2C sales by means of a localized and optimized offering for each individual market, vertical and price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Practices</w:t>
      </w:r>
    </w:p>
    <w:p>
      <w:pPr>
        <w:spacing w:after="0" w:line="229" w:lineRule="exact"/>
        <w:rPr>
          <w:sz w:val="20"/>
          <w:szCs w:val="20"/>
          <w:color w:val="auto"/>
        </w:rPr>
      </w:pPr>
    </w:p>
    <w:p>
      <w:pPr>
        <w:ind w:right="140" w:firstLine="551"/>
        <w:spacing w:after="0" w:line="255" w:lineRule="auto"/>
        <w:rPr>
          <w:sz w:val="20"/>
          <w:szCs w:val="20"/>
          <w:color w:val="auto"/>
        </w:rPr>
      </w:pPr>
      <w:r>
        <w:rPr>
          <w:rFonts w:ascii="Times New Roman" w:cs="Times New Roman" w:eastAsia="Times New Roman" w:hAnsi="Times New Roman"/>
          <w:sz w:val="18"/>
          <w:szCs w:val="18"/>
          <w:color w:val="auto"/>
        </w:rPr>
        <w:t>In consultation with KPMG, an independent consulting firm, and with the support of our legal advisors, we have started to assess our ability to impact ESG practices in the value chain in which we are positioned. To that end, we have started to formulate a working plan to detect key areas of our own activities and potential collaboration opportunities with our value chain partners. We view our position in the e-commerce value chain, and our involvement in global distribution of consumer goods, as an opportunity to potentially impact certain ESG matters that are important to us and to our stakeholders. We believe that we are well-positioned to harness our relationship with other players in the value chain, such as carriers and merchants, to promote and scale their own ESG initiatives, especially those related to climate change and sustainability. We intend to follow the Sustainable Accounting Standards Board standards in assessing, developing and implementing our policies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Merchants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serve a fast-growing and diverse portfolio of merchants around the globe</w:t>
      </w:r>
    </w:p>
    <w:p>
      <w:pPr>
        <w:spacing w:after="0" w:line="22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2021, we had 657 merchants using our platform, up 48.6% from 442 merchants as of December 31, 2020 and 132.2% from 283 merchants as of December 31, 2019. During the year ended December 31, 2021, merchants using our platform made transactions at a total GMV of $1,449 million, up 87% from $774 million in the year ended December 31, 2020. The merchants we serve are highly diverse across:</w:t>
      </w:r>
    </w:p>
    <w:p>
      <w:pPr>
        <w:spacing w:after="0" w:line="172" w:lineRule="exact"/>
        <w:rPr>
          <w:sz w:val="20"/>
          <w:szCs w:val="20"/>
          <w:color w:val="auto"/>
        </w:rPr>
      </w:pPr>
    </w:p>
    <w:p>
      <w:pPr>
        <w:ind w:left="800" w:right="580" w:hanging="225"/>
        <w:spacing w:after="0" w:line="28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origin countries </w:t>
      </w:r>
      <w:r>
        <w:rPr>
          <w:rFonts w:ascii="Times New Roman" w:cs="Times New Roman" w:eastAsia="Times New Roman" w:hAnsi="Times New Roman"/>
          <w:sz w:val="18"/>
          <w:szCs w:val="18"/>
          <w:color w:val="auto"/>
        </w:rPr>
        <w:t>– we serve merchants from the United States, United Kingdom, multiple European markets and other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globally.</w:t>
      </w:r>
    </w:p>
    <w:p>
      <w:pPr>
        <w:spacing w:after="0" w:line="154" w:lineRule="exact"/>
        <w:rPr>
          <w:rFonts w:ascii="Times New Roman" w:cs="Times New Roman" w:eastAsia="Times New Roman" w:hAnsi="Times New Roman"/>
          <w:sz w:val="18"/>
          <w:szCs w:val="18"/>
          <w:color w:val="auto"/>
        </w:rPr>
      </w:pPr>
    </w:p>
    <w:p>
      <w:pPr>
        <w:ind w:left="800" w:right="280" w:hanging="225"/>
        <w:spacing w:after="0" w:line="28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product verticals </w:t>
      </w:r>
      <w:r>
        <w:rPr>
          <w:rFonts w:ascii="Times New Roman" w:cs="Times New Roman" w:eastAsia="Times New Roman" w:hAnsi="Times New Roman"/>
          <w:sz w:val="18"/>
          <w:szCs w:val="18"/>
          <w:color w:val="auto"/>
        </w:rPr>
        <w:t>– fashion and apparel, luxury, footwear, cosmetics, accessories, children’s fashion, watches and jewelry, sporting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consumer electronics, toys and hobbies, automotive spare parts, and others.</w:t>
      </w:r>
    </w:p>
    <w:p>
      <w:pPr>
        <w:spacing w:after="0" w:line="154" w:lineRule="exact"/>
        <w:rPr>
          <w:rFonts w:ascii="Times New Roman" w:cs="Times New Roman" w:eastAsia="Times New Roman" w:hAnsi="Times New Roman"/>
          <w:sz w:val="18"/>
          <w:szCs w:val="18"/>
          <w:color w:val="auto"/>
        </w:rPr>
      </w:pPr>
    </w:p>
    <w:p>
      <w:pPr>
        <w:ind w:left="800" w:right="180" w:hanging="225"/>
        <w:spacing w:after="0" w:line="28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product price points </w:t>
      </w:r>
      <w:r>
        <w:rPr>
          <w:rFonts w:ascii="Times New Roman" w:cs="Times New Roman" w:eastAsia="Times New Roman" w:hAnsi="Times New Roman"/>
          <w:sz w:val="18"/>
          <w:szCs w:val="18"/>
          <w:color w:val="auto"/>
        </w:rPr>
        <w:t>– ranging from everyday fashion retailers such as Forever 21 and Marks and Spencer, to ultra-high-end brands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Hugo Boss, Cartier and Versace.</w:t>
      </w:r>
    </w:p>
    <w:p>
      <w:pPr>
        <w:spacing w:after="0" w:line="154"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merchant sizes </w:t>
      </w:r>
      <w:r>
        <w:rPr>
          <w:rFonts w:ascii="Times New Roman" w:cs="Times New Roman" w:eastAsia="Times New Roman" w:hAnsi="Times New Roman"/>
          <w:sz w:val="18"/>
          <w:szCs w:val="18"/>
          <w:color w:val="auto"/>
        </w:rPr>
        <w:t>– from multi-billion dollar global high-street brands to niche small and medium businesses.</w:t>
      </w:r>
    </w:p>
    <w:p>
      <w:pPr>
        <w:spacing w:after="0" w:line="225" w:lineRule="exact"/>
        <w:rPr>
          <w:rFonts w:ascii="Times New Roman" w:cs="Times New Roman" w:eastAsia="Times New Roman" w:hAnsi="Times New Roman"/>
          <w:sz w:val="18"/>
          <w:szCs w:val="18"/>
          <w:color w:val="auto"/>
        </w:rPr>
      </w:pPr>
    </w:p>
    <w:p>
      <w:pPr>
        <w:ind w:left="800" w:right="480" w:hanging="225"/>
        <w:spacing w:after="0" w:line="286"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merchant types </w:t>
      </w:r>
      <w:r>
        <w:rPr>
          <w:rFonts w:ascii="Times New Roman" w:cs="Times New Roman" w:eastAsia="Times New Roman" w:hAnsi="Times New Roman"/>
          <w:sz w:val="18"/>
          <w:szCs w:val="18"/>
          <w:color w:val="auto"/>
        </w:rPr>
        <w:t>– from traditional bricks-and-mortar retailers who have been transitioning to the digital D2C realm to emerging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digital-native brands.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large and highly diverse portfolio of merchants presents several key advantages:</w:t>
      </w:r>
    </w:p>
    <w:p>
      <w:pPr>
        <w:spacing w:after="0" w:line="225" w:lineRule="exact"/>
        <w:rPr>
          <w:sz w:val="20"/>
          <w:szCs w:val="20"/>
          <w:color w:val="auto"/>
        </w:rPr>
      </w:pPr>
    </w:p>
    <w:p>
      <w:pPr>
        <w:ind w:left="800" w:hanging="225"/>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rich, diverse and fast-growing data asset of international transactions, enabling us to produce Smart Insights.</w:t>
      </w:r>
    </w:p>
    <w:p>
      <w:pPr>
        <w:spacing w:after="0" w:line="225" w:lineRule="exact"/>
        <w:rPr>
          <w:rFonts w:ascii="Times New Roman" w:cs="Times New Roman" w:eastAsia="Times New Roman" w:hAnsi="Times New Roman"/>
          <w:sz w:val="18"/>
          <w:szCs w:val="18"/>
          <w:color w:val="auto"/>
        </w:rPr>
      </w:pPr>
    </w:p>
    <w:p>
      <w:pPr>
        <w:ind w:left="800" w:right="160" w:hanging="225"/>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Vertical-level as well as geographical expertise, yielding a competitive advantage when approaching prospective merchants as part of our sales process.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800" w:hanging="225"/>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network and word-of-mouth effects within specific verticals and/or geographies.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business resilience due to steadily decreasing merchant concentration.</w:t>
      </w:r>
    </w:p>
    <w:p>
      <w:pPr>
        <w:spacing w:after="0" w:line="225" w:lineRule="exact"/>
        <w:rPr>
          <w:rFonts w:ascii="Times New Roman" w:cs="Times New Roman" w:eastAsia="Times New Roman" w:hAnsi="Times New Roman"/>
          <w:sz w:val="18"/>
          <w:szCs w:val="18"/>
          <w:color w:val="auto"/>
        </w:rPr>
      </w:pPr>
    </w:p>
    <w:p>
      <w:pPr>
        <w:ind w:left="800" w:right="520" w:hanging="225"/>
        <w:spacing w:after="0" w:line="282"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level of built-in “natural currency hedge” as a result of our business activity being conducted in a large number of different base currencies.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highly efficient sales and go-to-market strategy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establish partnerships with new merchants through several sales channels:</w:t>
      </w:r>
    </w:p>
    <w:p>
      <w:pPr>
        <w:spacing w:after="0" w:line="221" w:lineRule="exact"/>
        <w:rPr>
          <w:sz w:val="20"/>
          <w:szCs w:val="20"/>
          <w:color w:val="auto"/>
        </w:rPr>
      </w:pPr>
    </w:p>
    <w:p>
      <w:pPr>
        <w:ind w:left="800" w:right="480" w:hanging="225"/>
        <w:spacing w:after="0" w:line="286"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sales </w:t>
      </w:r>
      <w:r>
        <w:rPr>
          <w:rFonts w:ascii="Times New Roman" w:cs="Times New Roman" w:eastAsia="Times New Roman" w:hAnsi="Times New Roman"/>
          <w:sz w:val="18"/>
          <w:szCs w:val="18"/>
          <w:color w:val="auto"/>
        </w:rPr>
        <w:t>– We have a dedicated team of sales executives that use various data sources to screen, qualify, identify and directly approach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prospective merchants.</w:t>
      </w:r>
    </w:p>
    <w:p>
      <w:pPr>
        <w:spacing w:after="0" w:line="154" w:lineRule="exact"/>
        <w:rPr>
          <w:rFonts w:ascii="Times New Roman" w:cs="Times New Roman" w:eastAsia="Times New Roman" w:hAnsi="Times New Roman"/>
          <w:sz w:val="18"/>
          <w:szCs w:val="18"/>
          <w:color w:val="auto"/>
        </w:rPr>
      </w:pPr>
    </w:p>
    <w:p>
      <w:pPr>
        <w:ind w:left="800" w:right="300" w:hanging="225"/>
        <w:spacing w:after="0" w:line="268"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Inbound and word-of-mouth </w:t>
      </w:r>
      <w:r>
        <w:rPr>
          <w:rFonts w:ascii="Times New Roman" w:cs="Times New Roman" w:eastAsia="Times New Roman" w:hAnsi="Times New Roman"/>
          <w:sz w:val="18"/>
          <w:szCs w:val="18"/>
          <w:color w:val="auto"/>
        </w:rPr>
        <w:t>– As our scale and the number of merchants we have in each individual market grows, so does our own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This leads to more inbound prospects as well as stronger word-of-mouth-based sales, whereby an existing Global-e merchant recommends our solution to other players in the market.</w:t>
      </w:r>
    </w:p>
    <w:p>
      <w:pPr>
        <w:spacing w:after="0" w:line="170" w:lineRule="exact"/>
        <w:rPr>
          <w:rFonts w:ascii="Times New Roman" w:cs="Times New Roman" w:eastAsia="Times New Roman" w:hAnsi="Times New Roman"/>
          <w:sz w:val="18"/>
          <w:szCs w:val="18"/>
          <w:color w:val="auto"/>
        </w:rPr>
      </w:pPr>
    </w:p>
    <w:p>
      <w:pPr>
        <w:ind w:left="800" w:hanging="225"/>
        <w:spacing w:after="0" w:line="257"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Channel partnerships </w:t>
      </w:r>
      <w:r>
        <w:rPr>
          <w:rFonts w:ascii="Times New Roman" w:cs="Times New Roman" w:eastAsia="Times New Roman" w:hAnsi="Times New Roman"/>
          <w:sz w:val="18"/>
          <w:szCs w:val="18"/>
          <w:color w:val="auto"/>
        </w:rPr>
        <w:t>– We have established mutually-beneficial strategic partnerships with a range of third parties, including leading e-commerce and technology platforms, shipping providers, third-party logistics providers, payment providers, system integrators and others. In the context of such relationships, our partners pass on leads to our sales teams and provide us with access to merchants. In 2021 we entered into the 2021 Shopify Agreement with Shopify to jointly cooperate in offering e-commerce cross-border solutions to Shopify merchants and in January 2022 we extended our partnership with Shopify and entered into the 2022 Shopify Agreement with Flow and Shopify, for the offering of certain natively integrated cross-border solutions for Shopify’s merchants, especially catering to small and emerging brands.</w:t>
      </w:r>
    </w:p>
    <w:p>
      <w:pPr>
        <w:spacing w:after="0" w:line="186" w:lineRule="exact"/>
        <w:rPr>
          <w:sz w:val="20"/>
          <w:szCs w:val="20"/>
          <w:color w:val="auto"/>
        </w:rPr>
      </w:pPr>
    </w:p>
    <w:p>
      <w:pPr>
        <w:ind w:right="120" w:firstLine="596"/>
        <w:spacing w:after="0" w:line="261" w:lineRule="auto"/>
        <w:rPr>
          <w:sz w:val="20"/>
          <w:szCs w:val="20"/>
          <w:color w:val="auto"/>
        </w:rPr>
      </w:pPr>
      <w:r>
        <w:rPr>
          <w:rFonts w:ascii="Times New Roman" w:cs="Times New Roman" w:eastAsia="Times New Roman" w:hAnsi="Times New Roman"/>
          <w:sz w:val="18"/>
          <w:szCs w:val="18"/>
          <w:color w:val="auto"/>
        </w:rPr>
        <w:t>Sale cycle length depends on several parameters, such as merchant size, vertical, and type of technical integration but takes between three weeks and six months. Once the sales cycle is completed, implementation periods vary, depending on technical complexity, level of granularity of the merchant’s intended international marketing proposition and operational complexity. Implementation projects for large merchants take approximately 12-16 weeks on average while implementation for small businesses take approximately three to six weeks depending on the client internal team engagement.</w:t>
      </w:r>
    </w:p>
    <w:p>
      <w:pPr>
        <w:spacing w:after="0" w:line="180" w:lineRule="exact"/>
        <w:rPr>
          <w:sz w:val="20"/>
          <w:szCs w:val="20"/>
          <w:color w:val="auto"/>
        </w:rPr>
      </w:pPr>
    </w:p>
    <w:p>
      <w:pPr>
        <w:ind w:right="80" w:firstLine="551"/>
        <w:spacing w:after="0" w:line="258" w:lineRule="auto"/>
        <w:rPr>
          <w:sz w:val="20"/>
          <w:szCs w:val="20"/>
          <w:color w:val="auto"/>
        </w:rPr>
      </w:pPr>
      <w:r>
        <w:rPr>
          <w:rFonts w:ascii="Times New Roman" w:cs="Times New Roman" w:eastAsia="Times New Roman" w:hAnsi="Times New Roman"/>
          <w:sz w:val="18"/>
          <w:szCs w:val="18"/>
          <w:color w:val="auto"/>
        </w:rPr>
        <w:t>Our consistent historical performance yields high merchant satisfaction levels, as evident from our strong retention rates. Since 2018, our Net Dollar Retention Rate has typically been over 140%, and our Gross Dollar Retention Rate has typically been over 98%. High merchant retention, coupled with our reliance on multiple and robust sales channels, generates a highly efficient sales and marketing operation. For merchants acquired in the year ended December 31, 2020, our payback period, which measures the amount of time required to recover merchant acquisition costs in a given year from the merchants acquired in that year, based on the gross profit realized from such merchants in the following year, was less than six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9" w:lineRule="exact"/>
        <w:rPr>
          <w:sz w:val="20"/>
          <w:szCs w:val="20"/>
          <w:color w:val="auto"/>
        </w:rPr>
      </w:pPr>
    </w:p>
    <w:p>
      <w:pPr>
        <w:ind w:right="160" w:firstLine="551"/>
        <w:spacing w:after="0" w:line="261" w:lineRule="auto"/>
        <w:rPr>
          <w:sz w:val="20"/>
          <w:szCs w:val="20"/>
          <w:color w:val="auto"/>
        </w:rPr>
      </w:pPr>
      <w:r>
        <w:rPr>
          <w:rFonts w:ascii="Times New Roman" w:cs="Times New Roman" w:eastAsia="Times New Roman" w:hAnsi="Times New Roman"/>
          <w:sz w:val="18"/>
          <w:szCs w:val="18"/>
          <w:color w:val="auto"/>
        </w:rPr>
        <w:t>We believe that we have built a leading platform to address merchants’ cross-border e-commerce needs, creating a competitive advantage for our business. We believe our combination of capabilities and expertise uniquely positions us to cater to shoppers globally, driving significant uplifts in international sales conversion rates and revenue growth for our merchants, while also removing much of the complexity and many of the costs inherent to cross-border e-commerce.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elements of our competitive advantage include the following: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Purpose-built, end-to-end platform</w:t>
      </w:r>
    </w:p>
    <w:p>
      <w:pPr>
        <w:spacing w:after="0" w:line="22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understand the challenges and the strategic objectives of our merchants engaging in cross-border e-commerce. We provide merchants with the capabilities required for effective cross-border D2C trade, using a potent combination of our proprietary technology and third-party providers. Our solution is easy to integrate, platform-agnostic, scalable and able to support merchants of all sizes from small, emerging brands to the world’s largest retailers. We aspire to be inclusive and far-reaching in scope. We thus enable our merchants to expand internationally effectively, and to do so much more efficiently than previously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True global cross-border enabler at scale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believe we are uniquely positioned to capture the cross-border e-commerce opportunity as a stand-out global, cross-border e-commerce enabler.</w:t>
      </w:r>
    </w:p>
    <w:p>
      <w:pPr>
        <w:spacing w:after="0" w:line="237"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We believe we are the only player with truly global scale. We have an extensive footprint in North America, the United Kingdom and across the EU, and we are penetrating the Asia Pacific (“APAC”) region. We are diversified by vertical and end-market. Our wide-reaching scale enables us to provide a solution to merchants across the globe. This scale, coupled with strong brand recognition gained since inception, has allowed us to acquire some of the largest merchants in the world as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Differentiated and growing data asset driving flywheel effects</w:t>
      </w:r>
    </w:p>
    <w:p>
      <w:pPr>
        <w:spacing w:after="0" w:line="229" w:lineRule="exact"/>
        <w:rPr>
          <w:sz w:val="20"/>
          <w:szCs w:val="20"/>
          <w:color w:val="auto"/>
        </w:rPr>
      </w:pPr>
    </w:p>
    <w:p>
      <w:pPr>
        <w:ind w:right="100" w:firstLine="551"/>
        <w:spacing w:after="0" w:line="289" w:lineRule="auto"/>
        <w:rPr>
          <w:sz w:val="20"/>
          <w:szCs w:val="20"/>
          <w:color w:val="auto"/>
        </w:rPr>
      </w:pPr>
      <w:r>
        <w:rPr>
          <w:rFonts w:ascii="Times New Roman" w:cs="Times New Roman" w:eastAsia="Times New Roman" w:hAnsi="Times New Roman"/>
          <w:sz w:val="17"/>
          <w:szCs w:val="17"/>
          <w:color w:val="auto"/>
        </w:rPr>
        <w:t>The Global-e platform is based on more than a technical solution and associated capabilities. It is based on data-driven know-how. Data permeates every layer of the Global-e platform. Data drives how we make decisions, how we develop and improve our offering, and how we make the shopper experience efficient and intuitive. We refer to this as “Smart Insights”, which enjoy strong flywheel effects as we continue to grow at pace driven by:</w:t>
      </w:r>
    </w:p>
    <w:p>
      <w:pPr>
        <w:spacing w:after="0" w:line="154" w:lineRule="exact"/>
        <w:rPr>
          <w:sz w:val="20"/>
          <w:szCs w:val="20"/>
          <w:color w:val="auto"/>
        </w:rPr>
      </w:pPr>
    </w:p>
    <w:p>
      <w:pPr>
        <w:ind w:left="800" w:right="260" w:hanging="225"/>
        <w:spacing w:after="0" w:line="268"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“Economies of scale” </w:t>
      </w:r>
      <w:r>
        <w:rPr>
          <w:rFonts w:ascii="Times New Roman" w:cs="Times New Roman" w:eastAsia="Times New Roman" w:hAnsi="Times New Roman"/>
          <w:sz w:val="18"/>
          <w:szCs w:val="18"/>
          <w:color w:val="auto"/>
        </w:rPr>
        <w:t>– Our platform facilitates millions of international transactions each year across hundreds of merchants, spread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multiple geographies, product verticals, price levels, and shopper demographics. We thus accumulate a vast and rich data set and are able to benefit from </w:t>
      </w:r>
      <w:r>
        <w:rPr>
          <w:rFonts w:ascii="Times New Roman" w:cs="Times New Roman" w:eastAsia="Times New Roman" w:hAnsi="Times New Roman"/>
          <w:sz w:val="18"/>
          <w:szCs w:val="18"/>
          <w:i w:val="1"/>
          <w:iCs w:val="1"/>
          <w:color w:val="auto"/>
        </w:rPr>
        <w:t>economies of scale.</w:t>
      </w:r>
    </w:p>
    <w:p>
      <w:pPr>
        <w:spacing w:after="0" w:line="170" w:lineRule="exact"/>
        <w:rPr>
          <w:rFonts w:ascii="Times New Roman" w:cs="Times New Roman" w:eastAsia="Times New Roman" w:hAnsi="Times New Roman"/>
          <w:sz w:val="18"/>
          <w:szCs w:val="18"/>
          <w:color w:val="auto"/>
        </w:rPr>
      </w:pPr>
    </w:p>
    <w:p>
      <w:pPr>
        <w:ind w:left="800" w:right="60" w:hanging="225"/>
        <w:spacing w:after="0" w:line="268"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“Economies of skill” </w:t>
      </w:r>
      <w:r>
        <w:rPr>
          <w:rFonts w:ascii="Times New Roman" w:cs="Times New Roman" w:eastAsia="Times New Roman" w:hAnsi="Times New Roman"/>
          <w:sz w:val="18"/>
          <w:szCs w:val="18"/>
          <w:color w:val="auto"/>
        </w:rPr>
        <w:t>– Our massive and fast-growing data is a key asset due to the “richness” of its content. Based on this data, and coupled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our operational experience accumulated over years, we are able to generate what we call </w:t>
      </w:r>
      <w:r>
        <w:rPr>
          <w:rFonts w:ascii="Times New Roman" w:cs="Times New Roman" w:eastAsia="Times New Roman" w:hAnsi="Times New Roman"/>
          <w:sz w:val="18"/>
          <w:szCs w:val="18"/>
          <w:i w:val="1"/>
          <w:iCs w:val="1"/>
          <w:color w:val="auto"/>
        </w:rPr>
        <w:t>economies of skill</w:t>
      </w:r>
      <w:r>
        <w:rPr>
          <w:rFonts w:ascii="Times New Roman" w:cs="Times New Roman" w:eastAsia="Times New Roman" w:hAnsi="Times New Roman"/>
          <w:sz w:val="18"/>
          <w:szCs w:val="18"/>
          <w:color w:val="auto"/>
        </w:rPr>
        <w:t>, which enable us to ensure that cross-border sales are optimized for the merchants on a market-by-market basis.</w:t>
      </w:r>
    </w:p>
    <w:p>
      <w:pPr>
        <w:spacing w:after="0" w:line="170" w:lineRule="exact"/>
        <w:rPr>
          <w:rFonts w:ascii="Times New Roman" w:cs="Times New Roman" w:eastAsia="Times New Roman" w:hAnsi="Times New Roman"/>
          <w:sz w:val="18"/>
          <w:szCs w:val="18"/>
          <w:color w:val="auto"/>
        </w:rPr>
      </w:pPr>
    </w:p>
    <w:p>
      <w:pPr>
        <w:ind w:left="800" w:hanging="225"/>
        <w:spacing w:after="0" w:line="26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Flywheel Effects</w:t>
      </w:r>
      <w:r>
        <w:rPr>
          <w:rFonts w:ascii="Times New Roman" w:cs="Times New Roman" w:eastAsia="Times New Roman" w:hAnsi="Times New Roman"/>
          <w:sz w:val="18"/>
          <w:szCs w:val="18"/>
          <w:color w:val="auto"/>
        </w:rPr>
        <w:t>. Our rich data serves as the basis for a powerful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flywheel effect</w:t>
      </w:r>
      <w:r>
        <w:rPr>
          <w:rFonts w:ascii="Times New Roman" w:cs="Times New Roman" w:eastAsia="Times New Roman" w:hAnsi="Times New Roman"/>
          <w:sz w:val="18"/>
          <w:szCs w:val="18"/>
          <w:color w:val="auto"/>
        </w:rPr>
        <w:t>: the uplift we generate for our merchants drives more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 Our data engine gets “smarter” with each new site visit, each merchant and each new shopper.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network fueling our differentiated go-to-market strategy</w:t>
      </w:r>
    </w:p>
    <w:p>
      <w:pPr>
        <w:spacing w:after="0" w:line="229" w:lineRule="exact"/>
        <w:rPr>
          <w:sz w:val="20"/>
          <w:szCs w:val="20"/>
          <w:color w:val="auto"/>
        </w:rPr>
      </w:pPr>
    </w:p>
    <w:p>
      <w:pPr>
        <w:ind w:right="120" w:firstLine="551"/>
        <w:spacing w:after="0" w:line="255" w:lineRule="auto"/>
        <w:rPr>
          <w:sz w:val="20"/>
          <w:szCs w:val="20"/>
          <w:color w:val="auto"/>
        </w:rPr>
      </w:pPr>
      <w:r>
        <w:rPr>
          <w:rFonts w:ascii="Times New Roman" w:cs="Times New Roman" w:eastAsia="Times New Roman" w:hAnsi="Times New Roman"/>
          <w:sz w:val="18"/>
          <w:szCs w:val="18"/>
          <w:color w:val="auto"/>
        </w:rPr>
        <w:t>Our go-to-market strategy targets merchants that want to establish or expand their cross-border e-commerce business. The effectiveness, prominence and stickiness of our platform have enabled us to acquire many of our merchants organically, supplementing the efforts of our professional salesforce. Many of our new merchants are referrals from existing merchants, which serve as brand ambassadors for Global-e. In addition, our commerce enabler, marketing, payments, shipping and logistics and social media partners, which include global and regional players, act as a meaningful source of referrals and lead generation. Our ability to leverage these relationships is an important source of inbound interest. This is further complemented by our highly efficient sales and marketing efforts. Our salespeople and account managers build intimate relationships with our merchant partners and are crucial in further expanding our merchant network.</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Robust business model with sticky customers</w:t>
      </w:r>
    </w:p>
    <w:p>
      <w:pPr>
        <w:spacing w:after="0" w:line="229"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Global-e is a cross-border e-commerce enabler covering the entire shopper journey. Our platform is deeply integrated within merchants’ existing technology stack providing the core tools to power their day-to-day cross-border operations. As a result, we retain significant “stickiness” within our customer base. Not only do we retain our merchants – our merchants also grow with our platform, and we grow with them. Merchants process large and growing order volumes through our platform as we become increasingly integral to their daily business operations and as they realize the benefits of using the Global-e platform. An important component of our growth is our existing merchant base, which grows organically each year. Due to our consistently high retention rates, we have strong visibility into the subsequent year’s revenue by looking to our current merchants, in a given period. Attracting new merchants is also critical to the scale of our platform. We have developed a highly efficient marketing model. For the year ended December 31, 2020, our payback period, or the amount of time required to recover merchant acquisition costs in a given year from the merchants acquired in that year, based on the gross profit realized from such merchants in the following year, was less than six months. We continue to build our capabilities to further strengthen our model.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Founder-led management team</w:t>
      </w:r>
    </w:p>
    <w:p>
      <w:pPr>
        <w:spacing w:after="0" w:line="229" w:lineRule="exact"/>
        <w:rPr>
          <w:sz w:val="20"/>
          <w:szCs w:val="20"/>
          <w:color w:val="auto"/>
        </w:rPr>
      </w:pPr>
    </w:p>
    <w:p>
      <w:pPr>
        <w:ind w:right="260" w:firstLine="551"/>
        <w:spacing w:after="0" w:line="282" w:lineRule="auto"/>
        <w:rPr>
          <w:sz w:val="20"/>
          <w:szCs w:val="20"/>
          <w:color w:val="auto"/>
        </w:rPr>
      </w:pPr>
      <w:r>
        <w:rPr>
          <w:rFonts w:ascii="Times New Roman" w:cs="Times New Roman" w:eastAsia="Times New Roman" w:hAnsi="Times New Roman"/>
          <w:sz w:val="18"/>
          <w:szCs w:val="18"/>
          <w:color w:val="auto"/>
        </w:rPr>
        <w:t>We are a founder-led management team with a strong corporate culture. We are privileged to be led by our founders, Amir Schlachet, Nir Debbi, and Shahar Tamari, who set the tone for our people:</w:t>
      </w:r>
    </w:p>
    <w:p>
      <w:pPr>
        <w:spacing w:after="0" w:line="158" w:lineRule="exact"/>
        <w:rPr>
          <w:sz w:val="20"/>
          <w:szCs w:val="20"/>
          <w:color w:val="auto"/>
        </w:rPr>
      </w:pPr>
    </w:p>
    <w:p>
      <w:pPr>
        <w:ind w:left="800" w:hanging="225"/>
        <w:spacing w:after="0" w:line="26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Customer-Obsessed: </w:t>
      </w:r>
      <w:r>
        <w:rPr>
          <w:rFonts w:ascii="Times New Roman" w:cs="Times New Roman" w:eastAsia="Times New Roman" w:hAnsi="Times New Roman"/>
          <w:sz w:val="18"/>
          <w:szCs w:val="18"/>
          <w:color w:val="auto"/>
        </w:rPr>
        <w:t>We are firm believers in putting our customers first in everything we do. This is a principal tenet of our business. We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merchants as long-term partners and hold their satisfaction as our guiding principle. Our customer success teams have invaluable tools and data to support the merchants’ ongoing needs, as well as direct access to the senior leadership team, including our founders, to leverage on behalf of our merchant partners.</w:t>
      </w:r>
    </w:p>
    <w:p>
      <w:pPr>
        <w:spacing w:after="0" w:line="176" w:lineRule="exact"/>
        <w:rPr>
          <w:rFonts w:ascii="Times New Roman" w:cs="Times New Roman" w:eastAsia="Times New Roman" w:hAnsi="Times New Roman"/>
          <w:sz w:val="18"/>
          <w:szCs w:val="18"/>
          <w:color w:val="auto"/>
        </w:rPr>
      </w:pPr>
    </w:p>
    <w:p>
      <w:pPr>
        <w:ind w:left="800" w:right="100" w:hanging="225"/>
        <w:spacing w:after="0" w:line="26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Initiative and innovation driven: </w:t>
      </w:r>
      <w:r>
        <w:rPr>
          <w:rFonts w:ascii="Times New Roman" w:cs="Times New Roman" w:eastAsia="Times New Roman" w:hAnsi="Times New Roman"/>
          <w:sz w:val="18"/>
          <w:szCs w:val="18"/>
          <w:color w:val="auto"/>
        </w:rPr>
        <w:t>Our goal is to enable merchants to break geographic boundaries and become globally successful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such, we invest millions in research and development each year, track trends in the e-commerce world across geographies and constantly improve our product offering. Similarly, we encourage our employees to expand the scope of their defined roles, to take initiative, and to elevate Global-e to the next level – every employee can, and does make a difference.</w:t>
      </w:r>
    </w:p>
    <w:p>
      <w:pPr>
        <w:spacing w:after="0" w:line="17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Team-Focused: </w:t>
      </w:r>
      <w:r>
        <w:rPr>
          <w:rFonts w:ascii="Times New Roman" w:cs="Times New Roman" w:eastAsia="Times New Roman" w:hAnsi="Times New Roman"/>
          <w:sz w:val="18"/>
          <w:szCs w:val="18"/>
          <w:color w:val="auto"/>
        </w:rPr>
        <w:t>We are a team. We believe in collaboration, from our founding team that has been working together since our inception to our</w:t>
      </w:r>
    </w:p>
    <w:p>
      <w:pPr>
        <w:spacing w:after="0" w:line="31" w:lineRule="exact"/>
        <w:rPr>
          <w:rFonts w:ascii="Times New Roman" w:cs="Times New Roman" w:eastAsia="Times New Roman" w:hAnsi="Times New Roman"/>
          <w:sz w:val="18"/>
          <w:szCs w:val="18"/>
          <w:color w:val="auto"/>
        </w:rPr>
      </w:pPr>
    </w:p>
    <w:p>
      <w:pPr>
        <w:ind w:left="80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across all our offices worldwide. Our hiring decisions are based on attracting people whose values align with ours: creating real, meaningful and sustainable value for our merchants.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within our existing portfolio of merchants</w:t>
      </w:r>
    </w:p>
    <w:p>
      <w:pPr>
        <w:spacing w:after="0" w:line="229" w:lineRule="exact"/>
        <w:rPr>
          <w:sz w:val="20"/>
          <w:szCs w:val="20"/>
          <w:color w:val="auto"/>
        </w:rPr>
      </w:pPr>
    </w:p>
    <w:p>
      <w:pPr>
        <w:ind w:right="140" w:firstLine="551"/>
        <w:spacing w:after="0" w:line="255" w:lineRule="auto"/>
        <w:rPr>
          <w:sz w:val="20"/>
          <w:szCs w:val="20"/>
          <w:color w:val="auto"/>
        </w:rPr>
      </w:pPr>
      <w:r>
        <w:rPr>
          <w:rFonts w:ascii="Times New Roman" w:cs="Times New Roman" w:eastAsia="Times New Roman" w:hAnsi="Times New Roman"/>
          <w:sz w:val="18"/>
          <w:szCs w:val="18"/>
          <w:color w:val="auto"/>
        </w:rPr>
        <w:t>The merchants’ success is our success. We help merchants both grow revenues in their existing markets as well as expand into additional ones. As our merchants’ cross-border sales generated through our platform grow, attributed either to improved conversion or by expanding their offering into additional geographies, our revenues grow in tandem. Thus, we increase the “stickiness” of our solutions and become increasingly integral to our merchants’ daily businesses as they realize the benefits of using the Global-e platform. We also have a strong track record of merchants acting as ambassadors for Global-e, referring us to other portfolio brands, as applicable, and more generally, to other potential merchants. We intend to continue deepening our relationships with existing merchants through service and performance of the highest quality, allowing them to continue to serve as our brand ambassadors within and outside their organizations.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 new merchants within existing geographies and verticals</w:t>
      </w:r>
    </w:p>
    <w:p>
      <w:pPr>
        <w:spacing w:after="0" w:line="229" w:lineRule="exact"/>
        <w:rPr>
          <w:sz w:val="20"/>
          <w:szCs w:val="20"/>
          <w:color w:val="auto"/>
        </w:rPr>
      </w:pPr>
    </w:p>
    <w:p>
      <w:pPr>
        <w:ind w:right="180" w:firstLine="551"/>
        <w:spacing w:after="0" w:line="258" w:lineRule="auto"/>
        <w:rPr>
          <w:sz w:val="20"/>
          <w:szCs w:val="20"/>
          <w:color w:val="auto"/>
        </w:rPr>
      </w:pPr>
      <w:r>
        <w:rPr>
          <w:rFonts w:ascii="Times New Roman" w:cs="Times New Roman" w:eastAsia="Times New Roman" w:hAnsi="Times New Roman"/>
          <w:sz w:val="18"/>
          <w:szCs w:val="18"/>
          <w:color w:val="auto"/>
        </w:rPr>
        <w:t>We have a significant opportunity to continue acquiring new merchants over time. Our merchant acquisition is highly efficient, leading to very attractive returns on marketing expense of less than six months. Further, we have proven the ability to rapidly integrate potential merchants with implementation cycles of 12 to 16 weeks on average, and as short as three weeks. We will continue to invest in our marketing and sales teams to enhance awareness of our solutions and to drive lead generation with our strategic partners. We see significant opportunities across multiple existing geographies and brand segments that we believe we are well-positioned to capture.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Expand into additional geographies, verticals and brand segments</w:t>
      </w:r>
    </w:p>
    <w:p>
      <w:pPr>
        <w:spacing w:after="0" w:line="229"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We will seek to further expand our geographic footprint and boost our presence across merchant verticals, as well as brand segments. We believe that markets in the vicinity of regions where we already have a strong presence, in particular Europe and North America, and newer markets, such as APAC, are highly relevant for our business. As such, during 2021 we established an office in Tokyo, Japan, our first in the APAC region, and in Q1 of 2022 we recruited our first employee in Melbourne, Australia. In addition, during 2021 we have established strategic collaborations with Australia Post and transcosmos Japan through which we aim to accelerate our penetration into the Australian and Japanese markets.</w:t>
      </w:r>
    </w:p>
    <w:p>
      <w:pPr>
        <w:spacing w:after="0" w:line="183"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While historically we have held a strong position in the mass market beauty and fashion segments, we have also achieved significant success with merchants in other segments, in particular, within the luxury segment, that we believe we can continue to capitalize on. As we continue to grow and expand into new geographies, through both new merchant acquisition and our existing portfolio of merchants expanding their offerings into additional geographies, we have the ability to reach new audiences in terms of sizes and verticals. Our growing brand recognition and know-how across our trading markets, enables us to acquire additional merchants more efficiently within current markets as well as new geographies.</w:t>
      </w:r>
    </w:p>
    <w:p>
      <w:pPr>
        <w:spacing w:after="0" w:line="183" w:lineRule="exact"/>
        <w:rPr>
          <w:sz w:val="20"/>
          <w:szCs w:val="20"/>
          <w:color w:val="auto"/>
        </w:rPr>
      </w:pPr>
    </w:p>
    <w:p>
      <w:pPr>
        <w:jc w:val="both"/>
        <w:ind w:right="280" w:firstLine="551"/>
        <w:spacing w:after="0" w:line="266" w:lineRule="auto"/>
        <w:rPr>
          <w:sz w:val="20"/>
          <w:szCs w:val="20"/>
          <w:color w:val="auto"/>
        </w:rPr>
      </w:pPr>
      <w:r>
        <w:rPr>
          <w:rFonts w:ascii="Times New Roman" w:cs="Times New Roman" w:eastAsia="Times New Roman" w:hAnsi="Times New Roman"/>
          <w:sz w:val="18"/>
          <w:szCs w:val="18"/>
          <w:color w:val="auto"/>
        </w:rPr>
        <w:t>The latest vertical we expanded our activity in is global consumer electronics brands. In order to provide the necessary level of support for these global brands, we have built new multi-local capabilities, allowing us to enable localized D2C sales for such brands while also enabling them to utilize their existing local infrastructure, inventory and fulfilment capabilities in multiple destination markets.</w:t>
      </w:r>
    </w:p>
    <w:p>
      <w:pPr>
        <w:spacing w:after="0" w:line="176"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Additionally, we will seek to better support small and emerging merchants with a best-in-class solution, tailored to the needs of such merchants, with a lightweight integration effort and advanced self-service capabilities leveraging the robust API-based technology developed by Flow, which we acquired in January 2022. In addition to enhancing our offering for small and emerging merchants, the acquisition will also allow us to offer our solutions to an additional addressable market of small merchants by means of a white-labeled solution, marketed by channel partners, such as e-commerce platforms. We are already at work on implementing the first such white-label channel partnership agreement with Shopify.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continuous innovation on our platform</w:t>
      </w:r>
    </w:p>
    <w:p>
      <w:pPr>
        <w:spacing w:after="0" w:line="229" w:lineRule="exact"/>
        <w:rPr>
          <w:sz w:val="20"/>
          <w:szCs w:val="20"/>
          <w:color w:val="auto"/>
        </w:rPr>
      </w:pPr>
    </w:p>
    <w:p>
      <w:pPr>
        <w:ind w:right="80" w:firstLine="551"/>
        <w:spacing w:after="0" w:line="254" w:lineRule="auto"/>
        <w:rPr>
          <w:sz w:val="20"/>
          <w:szCs w:val="20"/>
          <w:color w:val="auto"/>
        </w:rPr>
      </w:pPr>
      <w:r>
        <w:rPr>
          <w:rFonts w:ascii="Times New Roman" w:cs="Times New Roman" w:eastAsia="Times New Roman" w:hAnsi="Times New Roman"/>
          <w:sz w:val="18"/>
          <w:szCs w:val="18"/>
          <w:color w:val="auto"/>
        </w:rPr>
        <w:t>We will continue to invest in research and development and operate with an agile approach to address our merchants’ and shoppers’ constantly-evolving needs. We will strive to continue developing new capabilities and add-on offerings, as well as opportunistically look to complement our existing platform and offering through M&amp;A opportunities, to maintain Global-e’s position as a leading holistic platform for cross-border e-commerce, enabling efficient selling and purchasing processes for our stakeholders. For example, Global-e introduced to shoppers payment options such as the ability to pay with cash upon delivery of the ordered goods or to collect shipped items at the merchant’s local store, or ability to defer or split payments through third-party buy-now-pay-later solutions. In addition, we have developed the capabilities and infrastructure to support merchants’ multi-local fulfillment offering whereby select markets are serviced from locally-existing inventory, thereby giving the merchant better utilization of its stock and improving the customer offering. Our ability to provide preferred payment and delivery methods in select geographies, contributes to higher conversion rates of shoppers from these geographies.</w:t>
      </w:r>
    </w:p>
    <w:p>
      <w:pPr>
        <w:spacing w:after="0" w:line="188"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We also believe that our differentiated data capabilities and constantly-improving data models will allow us to stay at the forefront of e-commerce solutions. We believe our unique, big data-driven Smart Insights enable us to help our merchants deliver more precise, targeted, localized shopper experiences driving conversion and revenues and also manage their operations more efficiently through our superior ability to forecast and predict trends. We believe that data will be a key driver of future optimization and shopper monetization.</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and expand our strategic partnerships</w:t>
      </w:r>
    </w:p>
    <w:p>
      <w:pPr>
        <w:spacing w:after="0" w:line="229"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color w:val="auto"/>
        </w:rPr>
        <w:t>We have established mutually beneficial strategic partnerships with a range of key players in the broader e-commerce ecosystem, including global technology groups, e-commerce platforms, shipping providers, third-party logistics providers, payment providers and system integrators. Our channel partners have been an important lead generation engine providing our sales team with a strong pipeline of prospective merchants. We intend to further strengthen our existing relationships, such as our partnership with Shopify which was recently expanded as part of our acquisition of Flow, and build new strategic partnerships with other key players across the value chain and in the different markets in which we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29" w:lineRule="exact"/>
        <w:rPr>
          <w:sz w:val="20"/>
          <w:szCs w:val="20"/>
          <w:color w:val="auto"/>
        </w:rPr>
      </w:pPr>
    </w:p>
    <w:p>
      <w:pPr>
        <w:ind w:right="300" w:firstLine="551"/>
        <w:spacing w:after="0" w:line="266" w:lineRule="auto"/>
        <w:rPr>
          <w:sz w:val="20"/>
          <w:szCs w:val="20"/>
          <w:color w:val="auto"/>
        </w:rPr>
      </w:pPr>
      <w:r>
        <w:rPr>
          <w:rFonts w:ascii="Times New Roman" w:cs="Times New Roman" w:eastAsia="Times New Roman" w:hAnsi="Times New Roman"/>
          <w:sz w:val="18"/>
          <w:szCs w:val="18"/>
          <w:color w:val="auto"/>
        </w:rPr>
        <w:t>Our end-to-end platform helps merchants remove cross-border e-commerce complexity by empowering merchants with powerful and extensive localization capabilities embedded directly within their websites. Our technology creates a highly-localized shopper experience, which in turn drives increased sales conversion and revenue growth.</w:t>
      </w:r>
    </w:p>
    <w:p>
      <w:pPr>
        <w:spacing w:after="0" w:line="176" w:lineRule="exact"/>
        <w:rPr>
          <w:sz w:val="20"/>
          <w:szCs w:val="20"/>
          <w:color w:val="auto"/>
        </w:rPr>
      </w:pPr>
    </w:p>
    <w:p>
      <w:pPr>
        <w:ind w:right="220" w:firstLine="551"/>
        <w:spacing w:after="0" w:line="282" w:lineRule="auto"/>
        <w:rPr>
          <w:sz w:val="20"/>
          <w:szCs w:val="20"/>
          <w:color w:val="auto"/>
        </w:rPr>
      </w:pPr>
      <w:r>
        <w:rPr>
          <w:rFonts w:ascii="Times New Roman" w:cs="Times New Roman" w:eastAsia="Times New Roman" w:hAnsi="Times New Roman"/>
          <w:sz w:val="18"/>
          <w:szCs w:val="18"/>
          <w:color w:val="auto"/>
        </w:rPr>
        <w:t>The platform is built on a highly scalable tech stack which is powered by a robust layer of application programming interfaces (“APIs”) and data models, powering the shopper journey and allowing us to support a fast-growing and rapidly expanding merchant base.</w:t>
      </w:r>
    </w:p>
    <w:p>
      <w:pPr>
        <w:spacing w:after="0" w:line="162" w:lineRule="exact"/>
        <w:rPr>
          <w:sz w:val="20"/>
          <w:szCs w:val="20"/>
          <w:color w:val="auto"/>
        </w:rPr>
      </w:pPr>
    </w:p>
    <w:p>
      <w:pPr>
        <w:ind w:firstLine="551"/>
        <w:spacing w:after="0" w:line="277" w:lineRule="auto"/>
        <w:rPr>
          <w:sz w:val="20"/>
          <w:szCs w:val="20"/>
          <w:color w:val="auto"/>
        </w:rPr>
      </w:pPr>
      <w:r>
        <w:rPr>
          <w:rFonts w:ascii="Times New Roman" w:cs="Times New Roman" w:eastAsia="Times New Roman" w:hAnsi="Times New Roman"/>
          <w:sz w:val="17"/>
          <w:szCs w:val="17"/>
          <w:color w:val="auto"/>
        </w:rPr>
        <w:t>Through a single, frictionless integration, the merchants’ websites can leverage the power of our platform. The integration technology, either through pre-fabricated e-commerce platform plug-ins, through the implementation of our API’s or through our generic script-based integration, which we refer to as Global-e Module, is based on a simple lightweight integration effort. Such integration effort ranges from a code snippet that is placed into a merchant’s existing online platform enabling us to deploy and integrate with minimal friction, to installation of our plug-ins and/or the implementation of a few of our API’s. After integration, shoppers continue to face the merchant’s existing storefront, and Global-e remains as a “white label” in the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118110</wp:posOffset>
            </wp:positionV>
            <wp:extent cx="5186045" cy="2108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8604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Shopping experience features</w:t>
      </w:r>
    </w:p>
    <w:p>
      <w:pPr>
        <w:spacing w:after="0" w:line="225" w:lineRule="exact"/>
        <w:rPr>
          <w:sz w:val="20"/>
          <w:szCs w:val="20"/>
          <w:color w:val="auto"/>
        </w:rPr>
      </w:pPr>
    </w:p>
    <w:p>
      <w:pPr>
        <w:ind w:left="800" w:hanging="225"/>
        <w:spacing w:after="0" w:line="268"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Localized browsing </w:t>
      </w:r>
      <w:r>
        <w:rPr>
          <w:rFonts w:ascii="Times New Roman" w:cs="Times New Roman" w:eastAsia="Times New Roman" w:hAnsi="Times New Roman"/>
          <w:sz w:val="18"/>
          <w:szCs w:val="18"/>
          <w:color w:val="auto"/>
        </w:rPr>
        <w:t>– We offer localized browsing features, such as a configurable welcome message or a top-line marketing banner that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customized by market and presented in the local language. Customization breeds familiarity, reducing bounce rates, increasing conversion and improving shopper confidence through a local shopping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122555</wp:posOffset>
            </wp:positionV>
            <wp:extent cx="2700020" cy="1808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0002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0" w:right="320" w:hanging="225"/>
        <w:spacing w:after="0" w:line="26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 market pricing </w:t>
      </w:r>
      <w:r>
        <w:rPr>
          <w:rFonts w:ascii="Times New Roman" w:cs="Times New Roman" w:eastAsia="Times New Roman" w:hAnsi="Times New Roman"/>
          <w:sz w:val="18"/>
          <w:szCs w:val="18"/>
          <w:color w:val="auto"/>
        </w:rPr>
        <w:t>– We offer dynamic price translation to the shopper’s local currency based on market-specific business goals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local pricing conventions (e.g. presenting prices in “dollar-ninety-nine” terms, such as $4.99 instead of $5.00, in relevant markets). Global-e offers support for payment in 100 global currencies, and we have found that more than 95% of shoppers choose to pay in their local currency when given the option. The below image shows examples of localized pricing in markets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125730</wp:posOffset>
            </wp:positionV>
            <wp:extent cx="5186045" cy="1551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604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7" w:name="page58"/>
    <w:bookmarkEnd w:id="57"/>
    <w:p>
      <w:pPr>
        <w:ind w:left="225" w:right="180" w:hanging="225"/>
        <w:spacing w:after="0" w:line="259" w:lineRule="auto"/>
        <w:tabs>
          <w:tab w:leader="none" w:pos="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Localized checkout </w:t>
      </w:r>
      <w:r>
        <w:rPr>
          <w:rFonts w:ascii="Times New Roman" w:cs="Times New Roman" w:eastAsia="Times New Roman" w:hAnsi="Times New Roman"/>
          <w:sz w:val="18"/>
          <w:szCs w:val="18"/>
          <w:color w:val="auto"/>
        </w:rPr>
        <w:t>– Embedded within the brand’s e-commerce store, the Global-e checkout system supports over 30 different languages,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enabling shoppers to switch the checkout language to their own native tongue for a more customized and local experience. We have found that in some markets, approximately 20% of shoppers choose to switch to their local language at checkout, even if their native language wasn’t supported during browsing. Further, shoppers checkout within the merchant website without being redirected to a third-party site. The below image shows an example of a language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127635</wp:posOffset>
            </wp:positionV>
            <wp:extent cx="5186045" cy="2160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86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5" w:hanging="225"/>
        <w:spacing w:after="0" w:line="275" w:lineRule="auto"/>
        <w:tabs>
          <w:tab w:leader="none" w:pos="22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Guaranteed landed cost </w:t>
      </w:r>
      <w:r>
        <w:rPr>
          <w:rFonts w:ascii="Times New Roman" w:cs="Times New Roman" w:eastAsia="Times New Roman" w:hAnsi="Times New Roman"/>
          <w:sz w:val="17"/>
          <w:szCs w:val="17"/>
          <w:color w:val="auto"/>
        </w:rPr>
        <w:t>– We provide shoppers with a “no-surprises” and guaranteed fully-landed cost. We offer multiple options, configurable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market, for handling import duties and taxes. For example, shoppers may select the option to prepay duties and/or taxes at checkout. We have found that on average more than 80% of shoppers from developed markets choose to pre-pay when given such option, despite the fact that it requires payment of a higher price at checkout. Alternatively, our platform has the capability to already embed this cost into the product price within the browsing journey (in full or partially), in order to facilitate an intuitive and frictionless smooth and user-friendly shopper journey. We believe this feature and options are critical in achieving high conversion rates across markets and promoting repeat shoppers.</w:t>
      </w:r>
    </w:p>
    <w:p>
      <w:pPr>
        <w:spacing w:after="0" w:line="172" w:lineRule="exact"/>
        <w:rPr>
          <w:rFonts w:ascii="Times New Roman" w:cs="Times New Roman" w:eastAsia="Times New Roman" w:hAnsi="Times New Roman"/>
          <w:sz w:val="17"/>
          <w:szCs w:val="17"/>
          <w:color w:val="auto"/>
        </w:rPr>
      </w:pPr>
    </w:p>
    <w:p>
      <w:pPr>
        <w:ind w:left="225" w:right="3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achieving shopper confidence, pre-collection of import duties and taxes enables orders to be dispatched to shoppers under a “Delivery Duties Paid” scheme through relevant shipping carriers. This serves to greatly simplify and streamline the process of releasing the goods from customs at the destination market, in turn contributing to a quicker and simpler delivery experience for the shopper.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260350</wp:posOffset>
            </wp:positionV>
            <wp:extent cx="4406265" cy="2614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0626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549" w:right="339" w:bottom="1440" w:gutter="0" w:footer="0" w:header="0"/>
        </w:sectPr>
      </w:pPr>
    </w:p>
    <w:bookmarkStart w:id="58" w:name="page59"/>
    <w:bookmarkEnd w:id="58"/>
    <w:p>
      <w:pPr>
        <w:ind w:left="225" w:hanging="225"/>
        <w:spacing w:after="0" w:line="262" w:lineRule="auto"/>
        <w:tabs>
          <w:tab w:leader="none" w:pos="2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shipping options </w:t>
      </w:r>
      <w:r>
        <w:rPr>
          <w:rFonts w:ascii="Times New Roman" w:cs="Times New Roman" w:eastAsia="Times New Roman" w:hAnsi="Times New Roman"/>
          <w:sz w:val="18"/>
          <w:szCs w:val="18"/>
          <w:color w:val="auto"/>
        </w:rPr>
        <w:t>– Global-e’s platform allows merchants to choose from a menu of shipping options, offering shoppers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alternatives, depending on the destination market: mail, express courier, Cash-on-Delivery, store delivery, drop point delivery and more. As part of its market-specific value proposition, merchants can decide which shipping methods to offer and how to price them, based on Global-e’s competitive shipping rates or through their own contracted shipping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125730</wp:posOffset>
            </wp:positionV>
            <wp:extent cx="3848735" cy="237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4873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5" w:right="100" w:hanging="225"/>
        <w:spacing w:after="0" w:line="257"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Localized alternative payment methods </w:t>
      </w:r>
      <w:r>
        <w:rPr>
          <w:rFonts w:ascii="Times New Roman" w:cs="Times New Roman" w:eastAsia="Times New Roman" w:hAnsi="Times New Roman"/>
          <w:sz w:val="18"/>
          <w:szCs w:val="18"/>
          <w:color w:val="auto"/>
        </w:rPr>
        <w:t>– Preferred payment methods of shoppers differ from market to market. In some markets,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United Kingdom, the use of global cards (Visa, MasterCard, etc.) is the most common payment method used. In others, local card, or universal alternative payment methods, such as PayPal, prevail. There are markets, both in developed and developing countries, where alternative payment methods are used more frequently than cards. For example, iDeal has the largest market share in the Netherlands; while the majority of online payments in China are carried out through AliPay, WeChatPay, and the UnionPay card scheme. In other countries, payment options such as Cash-On-Delivery or Buy-Now-Pay-Later are popular.</w:t>
      </w:r>
    </w:p>
    <w:p>
      <w:pPr>
        <w:spacing w:after="0" w:line="362"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333" w:right="339" w:bottom="1440" w:gutter="0" w:footer="0" w:header="0"/>
        </w:sectPr>
      </w:pPr>
    </w:p>
    <w:bookmarkStart w:id="59" w:name="page60"/>
    <w:bookmarkEnd w:id="59"/>
    <w:p>
      <w:pPr>
        <w:ind w:left="205" w:right="340"/>
        <w:spacing w:after="0" w:line="282" w:lineRule="auto"/>
        <w:rPr>
          <w:sz w:val="20"/>
          <w:szCs w:val="20"/>
          <w:color w:val="auto"/>
        </w:rPr>
      </w:pPr>
      <w:r>
        <w:rPr>
          <w:rFonts w:ascii="Times New Roman" w:cs="Times New Roman" w:eastAsia="Times New Roman" w:hAnsi="Times New Roman"/>
          <w:sz w:val="18"/>
          <w:szCs w:val="18"/>
          <w:color w:val="auto"/>
        </w:rPr>
        <w:t>In order to remove payment friction and ensure higher conversion rates, Global-e supports over 150 payment methods globally, granting shoppers in each market the ability to pay with their preferred local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114300</wp:posOffset>
            </wp:positionV>
            <wp:extent cx="1320165" cy="2417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01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5" w:hanging="225"/>
        <w:spacing w:after="0" w:line="259" w:lineRule="auto"/>
        <w:tabs>
          <w:tab w:leader="none" w:pos="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Real-time anti-fraud screening </w:t>
      </w:r>
      <w:r>
        <w:rPr>
          <w:rFonts w:ascii="Times New Roman" w:cs="Times New Roman" w:eastAsia="Times New Roman" w:hAnsi="Times New Roman"/>
          <w:sz w:val="18"/>
          <w:szCs w:val="18"/>
          <w:color w:val="auto"/>
        </w:rPr>
        <w:t>– Each order is scanned in real-time for potential payment fraud. Global-e utilizes advanced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 services, coupled with proprietary algorithms and processes – all managed by a team of anti-fraud specialists. These capabilities enable Global-e to achieve high payment acceptance rates and low chargeback rates across international markets. The authorization/rejection decision is made in real time without the delays and costs associated with manual or semi-automatic transaction screening. This further contributes to a streamlined and satisfying shopper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127635</wp:posOffset>
            </wp:positionV>
            <wp:extent cx="3291840" cy="2143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918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55"/>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5"/>
          </w:cols>
          <w:pgMar w:left="895" w:top="553" w:right="639" w:bottom="1440" w:gutter="0" w:footer="0" w:header="0"/>
        </w:sectPr>
      </w:pPr>
    </w:p>
    <w:bookmarkStart w:id="60" w:name="page61"/>
    <w:bookmarkEnd w:id="60"/>
    <w:p>
      <w:pPr>
        <w:ind w:left="800" w:right="180" w:hanging="225"/>
        <w:spacing w:after="0" w:line="259"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customer services </w:t>
      </w:r>
      <w:r>
        <w:rPr>
          <w:rFonts w:ascii="Times New Roman" w:cs="Times New Roman" w:eastAsia="Times New Roman" w:hAnsi="Times New Roman"/>
          <w:sz w:val="18"/>
          <w:szCs w:val="18"/>
          <w:color w:val="auto"/>
        </w:rPr>
        <w:t>– Global-e operates a branded self-service and multi-lingual online customer service portal, which contains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answers to many frequently-asked questions that are typically raised post-sale by international shoppers regarding their orders. In addition, Global-e operates a manned contact center that serves to augment the brand’s own customer services team. Global-e’s contact center can provide either “behind the scenes” support for the merchant’s customer services team, or it can be in touch directly with the brand’s shoppers to handle their queries.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127635</wp:posOffset>
            </wp:positionV>
            <wp:extent cx="3308985" cy="21088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898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0" w:right="20" w:hanging="225"/>
        <w:spacing w:after="0" w:line="259" w:lineRule="auto"/>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Returns process </w:t>
      </w:r>
      <w:r>
        <w:rPr>
          <w:rFonts w:ascii="Times New Roman" w:cs="Times New Roman" w:eastAsia="Times New Roman" w:hAnsi="Times New Roman"/>
          <w:sz w:val="18"/>
          <w:szCs w:val="18"/>
          <w:color w:val="auto"/>
        </w:rPr>
        <w:t>– Global-e offers a comprehensive and efficient solution for product return management. Through Global-e’s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and multi-lingual returns portal, shoppers are presented with multiple return options, according to the various returns services that the merchant enables for a given market. Returns options include self-postage, local return addresses, pre-paid postal labels and courier pick-ups. In addition, merchants set for each option an associated cost. Global-e deducts the return cost from the amount refunded to the shopper once merchants confirm successful receipt of the returned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127635</wp:posOffset>
            </wp:positionV>
            <wp:extent cx="3282950" cy="2228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8295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and pricing</w:t>
      </w:r>
    </w:p>
    <w:p>
      <w:pPr>
        <w:spacing w:after="0" w:line="200" w:lineRule="exact"/>
        <w:rPr>
          <w:sz w:val="20"/>
          <w:szCs w:val="20"/>
          <w:color w:val="auto"/>
        </w:rPr>
      </w:pPr>
    </w:p>
    <w:p>
      <w:pPr>
        <w:spacing w:after="0" w:line="245" w:lineRule="exact"/>
        <w:rPr>
          <w:sz w:val="20"/>
          <w:szCs w:val="20"/>
          <w:color w:val="auto"/>
        </w:rPr>
      </w:pPr>
    </w:p>
    <w:p>
      <w:pPr>
        <w:ind w:right="360" w:firstLine="551"/>
        <w:spacing w:after="0" w:line="266" w:lineRule="auto"/>
        <w:rPr>
          <w:sz w:val="20"/>
          <w:szCs w:val="20"/>
          <w:color w:val="auto"/>
        </w:rPr>
      </w:pPr>
      <w:r>
        <w:rPr>
          <w:rFonts w:ascii="Times New Roman" w:cs="Times New Roman" w:eastAsia="Times New Roman" w:hAnsi="Times New Roman"/>
          <w:sz w:val="18"/>
          <w:szCs w:val="18"/>
          <w:color w:val="auto"/>
        </w:rPr>
        <w:t>We support merchants of all sizes, and at various lifecycles, from small, emerging brands to the world’s globally-recognized retailers and high-end brands. Our platform offers a range of differentiated service levels, enabling us to cater to the different – and constantly evolving – needs of the merchants we 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infrastructure and operations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designed our platform with enterprise-grade security, reliability, and scalability as top priorities. Core contributors to our strengths in these areas include:</w:t>
      </w:r>
    </w:p>
    <w:p>
      <w:pPr>
        <w:spacing w:after="0" w:line="158" w:lineRule="exact"/>
        <w:rPr>
          <w:sz w:val="20"/>
          <w:szCs w:val="20"/>
          <w:color w:val="auto"/>
        </w:rPr>
      </w:pPr>
    </w:p>
    <w:p>
      <w:pPr>
        <w:ind w:left="800" w:hanging="225"/>
        <w:spacing w:after="0" w:line="286"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architecture</w:t>
      </w:r>
      <w:r>
        <w:rPr>
          <w:rFonts w:ascii="Times New Roman" w:cs="Times New Roman" w:eastAsia="Times New Roman" w:hAnsi="Times New Roman"/>
          <w:sz w:val="18"/>
          <w:szCs w:val="18"/>
          <w:color w:val="auto"/>
        </w:rPr>
        <w:t>. We operate a proprietary and modern technology platform, organically developed by our in-house R&amp;D teams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period of seven years, leveraging leading third-party software where applicable.</w:t>
      </w:r>
    </w:p>
    <w:p>
      <w:pPr>
        <w:sectPr>
          <w:pgSz w:w="11900" w:h="16838" w:orient="portrait"/>
          <w:cols w:equalWidth="0" w:num="1">
            <w:col w:w="11200"/>
          </w:cols>
          <w:pgMar w:left="320" w:top="333" w:right="379" w:bottom="1440" w:gutter="0" w:footer="0" w:header="0"/>
        </w:sect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61" w:name="page62"/>
    <w:bookmarkEnd w:id="61"/>
    <w:p>
      <w:pPr>
        <w:ind w:left="800" w:right="620" w:hanging="225"/>
        <w:spacing w:after="0" w:line="286"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r>
        <w:rPr>
          <w:rFonts w:ascii="Times New Roman" w:cs="Times New Roman" w:eastAsia="Times New Roman" w:hAnsi="Times New Roman"/>
          <w:sz w:val="18"/>
          <w:szCs w:val="18"/>
          <w:color w:val="auto"/>
        </w:rPr>
        <w:t>. Our platform is deployed via market standard cloud computing infrastructure, allowing us to easily scale our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globally while maintaining optimal performance.</w:t>
      </w:r>
    </w:p>
    <w:p>
      <w:pPr>
        <w:spacing w:after="0" w:line="154" w:lineRule="exact"/>
        <w:rPr>
          <w:rFonts w:ascii="Times New Roman" w:cs="Times New Roman" w:eastAsia="Times New Roman" w:hAnsi="Times New Roman"/>
          <w:sz w:val="18"/>
          <w:szCs w:val="18"/>
          <w:color w:val="auto"/>
        </w:rPr>
      </w:pPr>
    </w:p>
    <w:p>
      <w:pPr>
        <w:ind w:left="800" w:right="360" w:hanging="225"/>
        <w:spacing w:after="0" w:line="286"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Disaster Recovery</w:t>
      </w:r>
      <w:r>
        <w:rPr>
          <w:rFonts w:ascii="Times New Roman" w:cs="Times New Roman" w:eastAsia="Times New Roman" w:hAnsi="Times New Roman"/>
          <w:sz w:val="18"/>
          <w:szCs w:val="18"/>
          <w:color w:val="auto"/>
        </w:rPr>
        <w:t>. We maintain a secondary cloud-based data center, holding a full stack of updated applications, which is fully tested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once a year, with the aim of ensuring the highest reliability for our shoppers.</w:t>
      </w:r>
    </w:p>
    <w:p>
      <w:pPr>
        <w:spacing w:after="0" w:line="154" w:lineRule="exact"/>
        <w:rPr>
          <w:rFonts w:ascii="Times New Roman" w:cs="Times New Roman" w:eastAsia="Times New Roman" w:hAnsi="Times New Roman"/>
          <w:sz w:val="18"/>
          <w:szCs w:val="18"/>
          <w:color w:val="auto"/>
        </w:rPr>
      </w:pPr>
    </w:p>
    <w:p>
      <w:pPr>
        <w:ind w:left="800" w:right="40" w:hanging="225"/>
        <w:spacing w:after="0" w:line="268"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We employ a multi-layer security approach utilizing both cloud infrastructure security and endpoint protection to enforce the highest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degree of security. We adhere with all major security standards, including: PCI/DSS, and GDPR. We perform penetration tests continuously throughout the year by external vendors to identify any vulnerabilities.</w:t>
      </w:r>
    </w:p>
    <w:p>
      <w:pPr>
        <w:spacing w:after="0" w:line="170" w:lineRule="exact"/>
        <w:rPr>
          <w:rFonts w:ascii="Times New Roman" w:cs="Times New Roman" w:eastAsia="Times New Roman" w:hAnsi="Times New Roman"/>
          <w:sz w:val="18"/>
          <w:szCs w:val="18"/>
          <w:color w:val="auto"/>
        </w:rPr>
      </w:pPr>
    </w:p>
    <w:p>
      <w:pPr>
        <w:ind w:left="800" w:hanging="225"/>
        <w:spacing w:after="0" w:line="286"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Uptime</w:t>
      </w:r>
      <w:r>
        <w:rPr>
          <w:rFonts w:ascii="Times New Roman" w:cs="Times New Roman" w:eastAsia="Times New Roman" w:hAnsi="Times New Roman"/>
          <w:sz w:val="18"/>
          <w:szCs w:val="18"/>
          <w:color w:val="auto"/>
        </w:rPr>
        <w:t>. Our platform maintains excellent service levels. Across all sites, our platform achieved over 99.9% average uptime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80" w:firstLine="551"/>
        <w:spacing w:after="0" w:line="261" w:lineRule="auto"/>
        <w:rPr>
          <w:sz w:val="20"/>
          <w:szCs w:val="20"/>
          <w:color w:val="auto"/>
        </w:rPr>
      </w:pPr>
      <w:r>
        <w:rPr>
          <w:rFonts w:ascii="Times New Roman" w:cs="Times New Roman" w:eastAsia="Times New Roman" w:hAnsi="Times New Roman"/>
          <w:sz w:val="18"/>
          <w:szCs w:val="18"/>
          <w:color w:val="auto"/>
        </w:rPr>
        <w:t>The market for cross-border e-commerce enablement solutions is competitive, rapidly-evolving, fragmented, and subject to changing regulation, technology, merchant preferences and shopper demands. Our solution and platform compete with other online and offline services, and other solutions. While among them exist several direct competing solutions, many of these solutions and services only handle a specific section of the cross-border e-commerce value chain.</w:t>
      </w:r>
    </w:p>
    <w:p>
      <w:pPr>
        <w:spacing w:after="0" w:line="180" w:lineRule="exact"/>
        <w:rPr>
          <w:sz w:val="20"/>
          <w:szCs w:val="20"/>
          <w:color w:val="auto"/>
        </w:rPr>
      </w:pPr>
    </w:p>
    <w:p>
      <w:pPr>
        <w:ind w:right="120" w:firstLine="551"/>
        <w:spacing w:after="0" w:line="266" w:lineRule="auto"/>
        <w:rPr>
          <w:sz w:val="20"/>
          <w:szCs w:val="20"/>
          <w:color w:val="auto"/>
        </w:rPr>
      </w:pPr>
      <w:r>
        <w:rPr>
          <w:rFonts w:ascii="Times New Roman" w:cs="Times New Roman" w:eastAsia="Times New Roman" w:hAnsi="Times New Roman"/>
          <w:sz w:val="18"/>
          <w:szCs w:val="18"/>
          <w:color w:val="auto"/>
        </w:rPr>
        <w:t>As such, we believe that our existing direct competition fails to offer the same holistic solution based on our combination of global reach, end-to-end advanced feature set, number of merchant partners, accumulated data and insights, quality-of-service and local expertise as embedded in our platform. We are the chosen partner of some globally-recognized retailers and brands as well as some rapidly-growing emerging brands.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consider the following categories of services and solutions to be our primary and direct competition:</w:t>
      </w:r>
    </w:p>
    <w:p>
      <w:pPr>
        <w:spacing w:after="0" w:line="221" w:lineRule="exact"/>
        <w:rPr>
          <w:sz w:val="20"/>
          <w:szCs w:val="20"/>
          <w:color w:val="auto"/>
        </w:rPr>
      </w:pPr>
    </w:p>
    <w:p>
      <w:pPr>
        <w:ind w:left="800" w:right="40" w:hanging="225"/>
        <w:spacing w:after="0" w:line="257"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D2C. </w:t>
      </w:r>
      <w:r>
        <w:rPr>
          <w:rFonts w:ascii="Times New Roman" w:cs="Times New Roman" w:eastAsia="Times New Roman" w:hAnsi="Times New Roman"/>
          <w:sz w:val="18"/>
          <w:szCs w:val="18"/>
          <w:color w:val="auto"/>
        </w:rPr>
        <w:t>Some merchants have built and managed international stores and prefer to maintain these operations in-house supported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cross-border components. This DIY approach is expensive and complex to maintain, while also lacking the flexibility and know-how of local preferences that a specialized cross-border provider, such as Global-e, can provide. We believe that with the growing importance to merchants of cross-border D2C, coupled with market awareness of the advantages of using reputable and experienced cross border third parties, such as Global-e, the trend of shifting towards a third-party cross-border enabler will accelerate – with Global-e as the distinguished front runner.</w:t>
      </w:r>
    </w:p>
    <w:p>
      <w:pPr>
        <w:spacing w:after="0" w:line="182" w:lineRule="exact"/>
        <w:rPr>
          <w:rFonts w:ascii="Times New Roman" w:cs="Times New Roman" w:eastAsia="Times New Roman" w:hAnsi="Times New Roman"/>
          <w:sz w:val="18"/>
          <w:szCs w:val="18"/>
          <w:color w:val="auto"/>
        </w:rPr>
      </w:pPr>
    </w:p>
    <w:p>
      <w:pPr>
        <w:ind w:left="800" w:right="80" w:hanging="225"/>
        <w:spacing w:after="0" w:line="259"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Alternative, Cross-Border End-to-End Platforms. </w:t>
      </w:r>
      <w:r>
        <w:rPr>
          <w:rFonts w:ascii="Times New Roman" w:cs="Times New Roman" w:eastAsia="Times New Roman" w:hAnsi="Times New Roman"/>
          <w:sz w:val="18"/>
          <w:szCs w:val="18"/>
          <w:color w:val="auto"/>
        </w:rPr>
        <w:t>There are a limited number of cross-border platforms offering solutions similar in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breadth to those offered by Global-e. However, we believe that none of these providers have the combination of track record, variety of merchants, scale, feature set and data, to match Global-e’s overall offering. The level of sophistication embedded in our platform and solutions stemming from executing millions of transactions annually, across merchants in over 200 destination markets, is what makes us a leader in the world of cross-border ecommerce.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Though to a lesser extent, we believe our platform also indirectly competes with two primary categories of services and providers:</w:t>
      </w:r>
    </w:p>
    <w:p>
      <w:pPr>
        <w:spacing w:after="0" w:line="221" w:lineRule="exact"/>
        <w:rPr>
          <w:sz w:val="20"/>
          <w:szCs w:val="20"/>
          <w:color w:val="auto"/>
        </w:rPr>
      </w:pPr>
    </w:p>
    <w:p>
      <w:pPr>
        <w:ind w:left="800" w:hanging="225"/>
        <w:spacing w:after="0" w:line="254"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Legacy Players and Local Distributors. </w:t>
      </w:r>
      <w:r>
        <w:rPr>
          <w:rFonts w:ascii="Times New Roman" w:cs="Times New Roman" w:eastAsia="Times New Roman" w:hAnsi="Times New Roman"/>
          <w:sz w:val="18"/>
          <w:szCs w:val="18"/>
          <w:color w:val="auto"/>
        </w:rPr>
        <w:t>Merchants expanding abroad may partner with local distributors, granting them licenses to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given market. Licenses typically include an arrangement to sell goods through bricks-and-mortar locations as well as digital rights to the brand, effectively allowing the local licensee to manage the full client-facing relationship with international shoppers. This may cause frustration among shoppers, as local selection may be limited to best-selling products, and interactions with the merchant are routed through a middle-man. As merchants increasingly understand the value of their digital channels and leverage social media to interact directly with shoppers, we believe wide-ranging agreements with local distributors will continue to become less common, especially for digital D2C e-</w:t>
      </w:r>
    </w:p>
    <w:p>
      <w:pPr>
        <w:spacing w:after="0" w:line="3" w:lineRule="exact"/>
        <w:rPr>
          <w:rFonts w:ascii="Times New Roman" w:cs="Times New Roman" w:eastAsia="Times New Roman" w:hAnsi="Times New Roman"/>
          <w:sz w:val="18"/>
          <w:szCs w:val="18"/>
          <w:color w:val="auto"/>
        </w:rPr>
      </w:pPr>
    </w:p>
    <w:p>
      <w:pPr>
        <w:ind w:left="80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commerce. Nevertheless, some merchants are constrained by long-term, legacy agreements with distributors, preventing the merchant from directly selling to and interacting with shoppers in select (or all) foreign markets, at least for a certain period of time.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ind w:left="800" w:right="20" w:hanging="225"/>
        <w:spacing w:after="0" w:line="254"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Non-D2C Online Channels. </w:t>
      </w:r>
      <w:r>
        <w:rPr>
          <w:rFonts w:ascii="Times New Roman" w:cs="Times New Roman" w:eastAsia="Times New Roman" w:hAnsi="Times New Roman"/>
          <w:sz w:val="18"/>
          <w:szCs w:val="18"/>
          <w:color w:val="auto"/>
        </w:rPr>
        <w:t>Non-D2C online channels, such as marketplaces, represent digital alternatives to the traditional distributor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model. Such online channels are varied, ranging from local, multi-local, regional and global platforms. They generate online traffic from shoppers by marketing </w:t>
      </w:r>
      <w:r>
        <w:rPr>
          <w:rFonts w:ascii="Times New Roman" w:cs="Times New Roman" w:eastAsia="Times New Roman" w:hAnsi="Times New Roman"/>
          <w:sz w:val="18"/>
          <w:szCs w:val="18"/>
          <w:i w:val="1"/>
          <w:iCs w:val="1"/>
          <w:color w:val="auto"/>
        </w:rPr>
        <w:t>under the marketplace’s own brand</w:t>
      </w:r>
      <w:r>
        <w:rPr>
          <w:rFonts w:ascii="Times New Roman" w:cs="Times New Roman" w:eastAsia="Times New Roman" w:hAnsi="Times New Roman"/>
          <w:sz w:val="18"/>
          <w:szCs w:val="18"/>
          <w:color w:val="auto"/>
        </w:rPr>
        <w:t xml:space="preserve"> and command a fee, or “take rate” that may represent a meaningful percentage of the merchant’s revenue. To facilitate the transaction between shopper and seller, online channels may provide complimentary services such as payment acquiring, fraud protection, order management, and access to shipping providers. Merchants do not have direct access to shoppers; rather, they must list their products through the intermediary – i.e., the marketplace – to gain exposure. As such, by selling through non-</w:t>
      </w:r>
    </w:p>
    <w:p>
      <w:pPr>
        <w:spacing w:after="0" w:line="3" w:lineRule="exact"/>
        <w:rPr>
          <w:rFonts w:ascii="Times New Roman" w:cs="Times New Roman" w:eastAsia="Times New Roman" w:hAnsi="Times New Roman"/>
          <w:sz w:val="18"/>
          <w:szCs w:val="18"/>
          <w:color w:val="auto"/>
        </w:rPr>
      </w:pPr>
    </w:p>
    <w:p>
      <w:pPr>
        <w:ind w:left="80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D2C online channels, merchants often expose their brand to direct competition from other brands sold in parallel through such online channels (e.g. a common feature of marketplaces is “people who bought this also bought this” lists which may include different brands).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“Operating and Financial Review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551"/>
        <w:spacing w:after="0" w:line="277" w:lineRule="auto"/>
        <w:rPr>
          <w:sz w:val="20"/>
          <w:szCs w:val="20"/>
          <w:color w:val="auto"/>
        </w:rPr>
      </w:pPr>
      <w:r>
        <w:rPr>
          <w:rFonts w:ascii="Times New Roman" w:cs="Times New Roman" w:eastAsia="Times New Roman" w:hAnsi="Times New Roman"/>
          <w:sz w:val="17"/>
          <w:szCs w:val="17"/>
          <w:color w:val="auto"/>
        </w:rPr>
        <w:t>We consider our intellectual property rights, including those in our know-how and the software code of our proprietary technology, to be, in the aggregate, material to our business. We rely on a combination of contractual commitments and statutory and common law rights to protect our intellectual property rights in our technology and know-how. We seek to control access to our trade secrets and other confidential information related to our proprietary technology by entering into confidentiality agreements with our employees, consultants, merchants, vendors and business partners who have access to our confidential information, and we maintain policies and procedures designed to control access to and distribution of our confidential information.</w:t>
      </w:r>
    </w:p>
    <w:p>
      <w:pPr>
        <w:spacing w:after="0" w:line="168" w:lineRule="exact"/>
        <w:rPr>
          <w:sz w:val="20"/>
          <w:szCs w:val="20"/>
          <w:color w:val="auto"/>
        </w:rPr>
      </w:pPr>
    </w:p>
    <w:p>
      <w:pPr>
        <w:ind w:right="360" w:firstLine="551"/>
        <w:spacing w:after="0" w:line="276" w:lineRule="auto"/>
        <w:rPr>
          <w:sz w:val="20"/>
          <w:szCs w:val="20"/>
          <w:color w:val="auto"/>
        </w:rPr>
      </w:pPr>
      <w:r>
        <w:rPr>
          <w:rFonts w:ascii="Times New Roman" w:cs="Times New Roman" w:eastAsia="Times New Roman" w:hAnsi="Times New Roman"/>
          <w:sz w:val="17"/>
          <w:szCs w:val="17"/>
          <w:color w:val="auto"/>
        </w:rPr>
        <w:t>Our know-how is an important element of our business. The development and management of our platform requires sophisticated coordination among many skilled and specialized employees. Despite our efforts to protect our intellectual property rights in our technology and know-</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how, unauthorized parties may attempt to copy or obtain and use our technology to develop products and services with the same functionality as our platform. Policing unauthorized access to and use of our technology is difficult. Our competition could also independently develop technologies like ours, and our intellectual property rights may not be broad enough for us to prevent our competition from selling products and services incorporating those technologies. For more information, see “Risk Factors—Risks Relating to our Business and Industry—If we fail to adequately maintain, protect or enforce our intellectual property rights, our competitive position could be impaired and we may lose valuable assets, generate reduced revenue, and incur costly litigation to protect our rights.”</w:t>
      </w:r>
    </w:p>
    <w:p>
      <w:pPr>
        <w:spacing w:after="0" w:line="190" w:lineRule="exact"/>
        <w:rPr>
          <w:sz w:val="20"/>
          <w:szCs w:val="20"/>
          <w:color w:val="auto"/>
        </w:rPr>
      </w:pPr>
    </w:p>
    <w:p>
      <w:pPr>
        <w:ind w:right="220" w:firstLine="551"/>
        <w:spacing w:after="0" w:line="261" w:lineRule="auto"/>
        <w:rPr>
          <w:sz w:val="20"/>
          <w:szCs w:val="20"/>
          <w:color w:val="auto"/>
        </w:rPr>
      </w:pPr>
      <w:r>
        <w:rPr>
          <w:rFonts w:ascii="Times New Roman" w:cs="Times New Roman" w:eastAsia="Times New Roman" w:hAnsi="Times New Roman"/>
          <w:sz w:val="18"/>
          <w:szCs w:val="18"/>
          <w:color w:val="auto"/>
        </w:rPr>
        <w:t>We own and use unregistered common law marks and service marks on or in connection with our proprietary technology and related services. While most of the intellectual property we use is owned by us, we have obtained rights to use intellectual property of third parties through licenses and services agreements. Although we believe these licenses are sufficient for the operation of our business, these licenses typically limit our use of the third parties’ intellectual property to specific uses and for specific time periods.</w:t>
      </w:r>
    </w:p>
    <w:p>
      <w:pPr>
        <w:spacing w:after="0" w:line="180" w:lineRule="exact"/>
        <w:rPr>
          <w:sz w:val="20"/>
          <w:szCs w:val="20"/>
          <w:color w:val="auto"/>
        </w:rPr>
      </w:pPr>
    </w:p>
    <w:p>
      <w:pPr>
        <w:ind w:right="200" w:firstLine="551"/>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challenges to the validity of our intellectual property rights and claims of intellectual property infringement. For more information, see “Risk Factors—Risks Relating to our Business and Industry—We may incur costs to defend against, face liability for or be vulnerable to intellectual property infringement claims brought against us by others.” We are not presently and have never been a party to any such legal proceedings that, in the opinion of our management, would individually or taken together have a material adverse effect on our business, financial condition, results of operations or cash flows.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551"/>
        <w:spacing w:after="0" w:line="256" w:lineRule="auto"/>
        <w:rPr>
          <w:sz w:val="20"/>
          <w:szCs w:val="20"/>
          <w:color w:val="auto"/>
        </w:rPr>
      </w:pPr>
      <w:r>
        <w:rPr>
          <w:rFonts w:ascii="Times New Roman" w:cs="Times New Roman" w:eastAsia="Times New Roman" w:hAnsi="Times New Roman"/>
          <w:sz w:val="18"/>
          <w:szCs w:val="18"/>
          <w:color w:val="auto"/>
        </w:rPr>
        <w:t>As with any company operating on the internet,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content regulation, intellectual property ownership and infringement, anti-money laundering, anti-corruption, product liability, consumer protection and export control. Changes to such laws and regulations could cause us or third-party partners on which we rely to incur additional costs and change our or their respective business practices in order to comply.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27" w:lineRule="exact"/>
        <w:rPr>
          <w:sz w:val="20"/>
          <w:szCs w:val="20"/>
          <w:color w:val="auto"/>
        </w:rPr>
      </w:pPr>
    </w:p>
    <w:p>
      <w:pPr>
        <w:ind w:right="120" w:firstLine="551"/>
        <w:spacing w:after="0" w:line="261" w:lineRule="auto"/>
        <w:rPr>
          <w:sz w:val="20"/>
          <w:szCs w:val="20"/>
          <w:color w:val="auto"/>
        </w:rPr>
      </w:pPr>
      <w:r>
        <w:rPr>
          <w:rFonts w:ascii="Times New Roman" w:cs="Times New Roman" w:eastAsia="Times New Roman" w:hAnsi="Times New Roman"/>
          <w:sz w:val="18"/>
          <w:szCs w:val="18"/>
          <w:color w:val="auto"/>
        </w:rPr>
        <w:t>We are subject to laws across several jurisdictions regarding privacy and protection of data, in particular, in Israel, the European Union, the United States and other jurisdictions. Data protection, privacy, cybersecurity, consumer protection, content regulation,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180"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For example, we are subject to Israel’s Privacy Protection Act, 5741-1981 (the “Privacy Protection Act”), and the more recent Privacy Protection Regulations (Data Security) 2017,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18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For further information on the laws regarding privacy and data protection which we are subject to, see “Risk Factors—Risks Relating to our Business and Industry—We are subject to stringent and changing laws, regulations, standards and contractual obligations related to privacy, data protection, and data security. Our actual or perceived failure to comply with such obligations could harm our business.”</w:t>
      </w:r>
    </w:p>
    <w:p>
      <w:pPr>
        <w:spacing w:after="0" w:line="176"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While it is generally the laws of the jurisdiction in which a business is located that apply, there is a risk that data protection regulators of other countries may seek jurisdiction over our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192" w:lineRule="exact"/>
        <w:rPr>
          <w:sz w:val="20"/>
          <w:szCs w:val="20"/>
          <w:color w:val="auto"/>
        </w:rPr>
      </w:pPr>
    </w:p>
    <w:p>
      <w:pPr>
        <w:ind w:right="160" w:firstLine="551"/>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related to payments which are complex and vary across different jurisdictions. We are also subject to payment card association operating rules, certification requirements, and rules governing electronic funds transfers, including the PCI DSS, which could change or be reinterpreted to make it more difficult for us to comply. Any failure to comply with these rules or requirements may subject us to higher transaction fees, fines, penalties, damages, and civil liability, and may result in the loss of our ability to accept credit and debit card payments. Depending on how our platform evolves, we may be subject to additional laws in other jurisdictions across the world.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4" w:name="page65"/>
    <w:bookmarkEnd w:id="64"/>
    <w:p>
      <w:pPr>
        <w:ind w:left="560"/>
        <w:spacing w:after="0"/>
        <w:rPr>
          <w:sz w:val="20"/>
          <w:szCs w:val="20"/>
          <w:color w:val="auto"/>
        </w:rPr>
      </w:pPr>
      <w:r>
        <w:rPr>
          <w:rFonts w:ascii="Times New Roman" w:cs="Times New Roman" w:eastAsia="Times New Roman" w:hAnsi="Times New Roman"/>
          <w:sz w:val="18"/>
          <w:szCs w:val="18"/>
          <w:i w:val="1"/>
          <w:iCs w:val="1"/>
          <w:color w:val="auto"/>
        </w:rPr>
        <w:t>Anti-Corruption and Sanctions</w:t>
      </w:r>
    </w:p>
    <w:p>
      <w:pPr>
        <w:spacing w:after="0" w:line="227"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of the jurisdictions in which we operate, including the United States, United Kingdom, EU and Israel, that govern or restrict our business and activities in certain countries and with certain persons, including the economic sanctions regulations administered by the U.S. Treasury Department’s Office of Foreign Assets Control, and the export control laws administered by the U.S. Commerce Department’s Bureau of Industry and Security and the U.S. State Department’s Directorate of Defense Trade Controls. See “Risk Factors—Risks Relating to our Business and Industry—We are subject to governmental export controls that may subject us to liability if we are not in full compliance with applicable economic sanctions and export control laws.”</w:t>
      </w:r>
    </w:p>
    <w:p>
      <w:pPr>
        <w:spacing w:after="0" w:line="187"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Additionally, we are subject to anti-corruption, anti-bribery, anti-money laundering and similar laws, such as the FCPA, U.S. domestic bribery statute contained in 18 U.S.C. 201, U.S. Travel Act, the USA PATRIOT Act, the U.K. Bribery Act 2010, Chapter 9 (sub-chapter 5) of the Israeli Penal Law, 1977, the Israeli Prohibition on Money Laundering Law–2000 and other applicable laws in the jurisdictions in which we operate. Historically, technology companies have been the target of FCPA and other anti-corruption investigations and penalties. See “Risk Factors—Risks Relating to our Business and Industry—We are subject to anti-corruption, anti-bribery, anti-money laundering and similar laws, and non-compliance with such laws can subject us to criminal penalties or significant fines and harm our business and reputation.”</w:t>
      </w:r>
    </w:p>
    <w:p>
      <w:pPr>
        <w:spacing w:after="0" w:line="187" w:lineRule="exact"/>
        <w:rPr>
          <w:sz w:val="20"/>
          <w:szCs w:val="20"/>
          <w:color w:val="auto"/>
        </w:rPr>
      </w:pPr>
    </w:p>
    <w:p>
      <w:pPr>
        <w:jc w:val="both"/>
        <w:ind w:right="260" w:firstLine="551"/>
        <w:spacing w:after="0" w:line="266" w:lineRule="auto"/>
        <w:rPr>
          <w:sz w:val="20"/>
          <w:szCs w:val="20"/>
          <w:color w:val="auto"/>
        </w:rPr>
      </w:pPr>
      <w:r>
        <w:rPr>
          <w:rFonts w:ascii="Times New Roman" w:cs="Times New Roman" w:eastAsia="Times New Roman" w:hAnsi="Times New Roman"/>
          <w:sz w:val="18"/>
          <w:szCs w:val="18"/>
          <w:color w:val="auto"/>
        </w:rPr>
        <w:t>Further, we are currently subject to a variety of laws and regulations related specifically to payment processing, including those governing cross-border and domestic money transmission, gift cards and other prepaid access instruments, electronic funds transfers, foreign exchange, counter-terrorist financing, banking and import and export restrictions.</w:t>
      </w:r>
    </w:p>
    <w:p>
      <w:pPr>
        <w:spacing w:after="0" w:line="176"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Concern about the use of e-commerce platforms for illegal conduct, such as money laundering or to support terrorist activities, may in the future result in legislation or other governmental action that could require changes to our platform or impose additional compliance burdens and costs on us. See “Risk Factors—Risks Related to our Business and Industry—Changes in laws and regulations related to the internet or changes in the internet infrastructure itself may diminish the demand for our platform and services, and could harm our business.”</w:t>
      </w:r>
    </w:p>
    <w:p>
      <w:pPr>
        <w:spacing w:after="0" w:line="180" w:lineRule="exact"/>
        <w:rPr>
          <w:sz w:val="20"/>
          <w:szCs w:val="20"/>
          <w:color w:val="auto"/>
        </w:rPr>
      </w:pPr>
    </w:p>
    <w:p>
      <w:pPr>
        <w:ind w:right="220" w:firstLine="551"/>
        <w:spacing w:after="0" w:line="282" w:lineRule="auto"/>
        <w:rPr>
          <w:sz w:val="20"/>
          <w:szCs w:val="20"/>
          <w:color w:val="auto"/>
        </w:rPr>
      </w:pPr>
      <w:r>
        <w:rPr>
          <w:rFonts w:ascii="Times New Roman" w:cs="Times New Roman" w:eastAsia="Times New Roman" w:hAnsi="Times New Roman"/>
          <w:sz w:val="18"/>
          <w:szCs w:val="18"/>
          <w:color w:val="auto"/>
        </w:rPr>
        <w:t>Depending on how our platform evolves, we may become subject to additional laws in the United States, the United Kingdom, the EU, Israel and elsewhere.</w:t>
      </w:r>
    </w:p>
    <w:p>
      <w:pPr>
        <w:spacing w:after="0" w:line="15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illustrates our corporate structure as of the date of this Annual Report. All ownership is 100%.</w:t>
      </w:r>
    </w:p>
    <w:p>
      <w:pPr>
        <w:spacing w:after="0" w:line="225" w:lineRule="exact"/>
        <w:rPr>
          <w:rFonts w:ascii="Times New Roman" w:cs="Times New Roman" w:eastAsia="Times New Roman" w:hAnsi="Times New Roman"/>
          <w:sz w:val="18"/>
          <w:szCs w:val="18"/>
          <w:b w:val="1"/>
          <w:bCs w:val="1"/>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online Pte Ltd (Singapore)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UK Limited (England)</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Global Apparel and Equipment Trading L.L.C (UAE)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Middle East FZCO Dubai Branch (UAE, Jebel Ali Free Zone)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Middle East FZCO (DAFZA) (UAE, Dubai Airport Free Zone)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Commerce Globale Middle East FZCO (UAE, Dubai Commercity Free Zone)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Canada e-commerce Ltd. (Canada)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CH AG (Switzerland)</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NL B.V (Netherlands)</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Japan KK (Japan)</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France SAS (France)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Olami E-Commerce Solutions Ireland Limited (Ireland)</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Australia Pty Ltd. (Australia)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Spain S.L (Spain)</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HK Limited (Hong Kong)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5" w:name="page66"/>
    <w:bookmarkEnd w:id="65"/>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(Beijing) Technology Co., Ltd. (China)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US Inc. (Delaware, USA).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Panama Inc. (Panama, Colon Free Zone)</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Solutions Ltd. (Israel)</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Global-e South Africa (PTY) Ltd. (South Africa)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Commerce Inc. (Delaware, USA)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Commerce Limited (Ireland)</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Commerce Australia Pty Ltd. (Australia)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Commerce Canada Inc. (Canada)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Trading Shanghai Company Limited (China)</w:t>
      </w:r>
    </w:p>
    <w:p>
      <w:pPr>
        <w:spacing w:after="0" w:line="225"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 Commerce UK LTD (England)</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We are headquartered in Petah-Tikva, Israel, where we occupy approximately 17,425 square feet of office space pursuant to a lease that expires on September 30, 2023. On August 1, 2021, we entered into a new lease for office space in Petah-Tikva, Israel, for a total of 73,948 square feet, which office space will replace our existing office in Petah-Tikva and which we expect to move into in the upcoming months. We currently lease additional office space in Israel, the UK and the U.S., and we are party to agreements whereby we have access to and the right to use certain office space in the U.S., France and Japan. We do not own any real property. We intend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ind w:right="320" w:firstLine="551"/>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“Selected Consolidated Financial Data” and the consolidated financial statements and related notes included elsewhere in this Annual Report. This discussion contains forward-looking statements regarding industry outlook and our expectations regarding our future performance, liquidity and capital resources, as well as other non-historical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built the world’s leading platform to enable and accelerate global, direct-to-consumer cross-border e-commerce.</w:t>
      </w:r>
    </w:p>
    <w:p>
      <w:pPr>
        <w:spacing w:after="0" w:line="225"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efforts to make international transactions as seamless as domestic ones.</w:t>
      </w: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6" w:name="page67"/>
    <w:bookmarkEnd w:id="66"/>
    <w:p>
      <w:pPr>
        <w:ind w:right="240" w:firstLine="551"/>
        <w:spacing w:after="0" w:line="256" w:lineRule="auto"/>
        <w:rPr>
          <w:sz w:val="20"/>
          <w:szCs w:val="20"/>
          <w:color w:val="auto"/>
        </w:rPr>
      </w:pPr>
      <w:r>
        <w:rPr>
          <w:rFonts w:ascii="Times New Roman" w:cs="Times New Roman" w:eastAsia="Times New Roman" w:hAnsi="Times New Roman"/>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187"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We operate at the forefront of global e-commerce, which is being transformed by technology, internet adoption and the rise of social networks connecting the world. Shopper buying habits are shifting online and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consumer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187"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30 languages, purchases in more than 100 currencies by over 150 payment methods and a multitude of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188"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For merchants, our platform also removes much of the complexity that is associated with cross-border e-commerce. Sales are reconciled and paid for locally and in the merchant’s native currency.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As of December 31, 2021, we had more than 650 merchants on our platform across diversified verticals and ranging from small emerging brands to globally-recognized retailers.</w:t>
      </w:r>
    </w:p>
    <w:p>
      <w:pPr>
        <w:spacing w:after="0" w:line="187"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The scale and sophistication of our platform rely on the data and insights we have accumulated since our founding more than eight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our merchants.</w:t>
      </w:r>
    </w:p>
    <w:p>
      <w:pPr>
        <w:spacing w:after="0" w:line="192"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The merchants’ success is our success, and we aspire to become their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has typically been over 98% since 2018, and our Net Dollar Retention Rate, which has typically been over 140% during the same period.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our launch in 2013, we have achieved several key business, operational, and financial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291465</wp:posOffset>
            </wp:positionV>
            <wp:extent cx="4406265" cy="2400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0626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right="140" w:firstLine="551"/>
        <w:spacing w:after="0" w:line="258" w:lineRule="auto"/>
        <w:rPr>
          <w:sz w:val="20"/>
          <w:szCs w:val="20"/>
          <w:color w:val="auto"/>
        </w:rPr>
      </w:pPr>
      <w:r>
        <w:rPr>
          <w:rFonts w:ascii="Times New Roman" w:cs="Times New Roman" w:eastAsia="Times New Roman" w:hAnsi="Times New Roman"/>
          <w:sz w:val="18"/>
          <w:szCs w:val="18"/>
          <w:color w:val="auto"/>
        </w:rPr>
        <w:t>We have an attractive volume-based revenue model, driven by shopper order activity on our merchants’ websites. As a result, our revenues, which are generated from the fees charged for the use of our integrated platform solution and provision of fulfillment services, are correlated with the level of GMV (as defined under “—Key Performance Indicators and Other Operating Metrics”) that flows through our platform. We offer a fully integrated platform solution to merchants, and derive revenues by charging fees that vary depending on the transaction volume processed, outbound countries and destination markets, level of customer service provided and shipping options, among other variables.</w:t>
      </w:r>
    </w:p>
    <w:p>
      <w:pPr>
        <w:spacing w:after="0" w:line="183"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Service fees revenue is generated as a percentage of the GMV that flows through our platform. Fulfillment services revenue is generated through our offerings of shipping and handling. We mandatorily bundle components of our integrated platform solution that we believe are essential to achieving improved sales conversion of our merchants’ international traffic. Our fulfillment services are offered on an optional basis, and thus merchants may choose to utilize or cease utilizing our fulfillment services, either in whole or for select markets, at any time and from time to time. Many merchants use our fulfillment services alongside our integrated platform solution due to convenience and competitive pricing achieved due to our economies of scale, while some merchants choose to use our integrated platform solution on a standalone basis. Service fees revenue generated from the use of our integrated platform solution on a standalone basis has increased over time, equaling $1.0 million (or 4.3% of service fees revenue), $2.6 million (or 5.2% of service fees revenue) and $8.4 million (or 8.7% of service fee revenues) for the years ended December 31, 2019, 2020 and 2021, respectively.</w:t>
      </w:r>
    </w:p>
    <w:p>
      <w:pPr>
        <w:spacing w:after="0" w:line="192" w:lineRule="exact"/>
        <w:rPr>
          <w:sz w:val="20"/>
          <w:szCs w:val="20"/>
          <w:color w:val="auto"/>
        </w:rPr>
      </w:pPr>
    </w:p>
    <w:p>
      <w:pPr>
        <w:ind w:right="280" w:firstLine="551"/>
        <w:spacing w:after="0" w:line="261" w:lineRule="auto"/>
        <w:rPr>
          <w:sz w:val="20"/>
          <w:szCs w:val="20"/>
          <w:color w:val="auto"/>
        </w:rPr>
      </w:pPr>
      <w:r>
        <w:rPr>
          <w:rFonts w:ascii="Times New Roman" w:cs="Times New Roman" w:eastAsia="Times New Roman" w:hAnsi="Times New Roman"/>
          <w:sz w:val="18"/>
          <w:szCs w:val="18"/>
          <w:color w:val="auto"/>
        </w:rPr>
        <w:t>Over and above the revenues generated, we view shopper traffic and GMV as critical to our success because they generate valuable data, further fueling our Smart Insights. These data-driven insights are an integral part of the integrated solutions we provide to our merchants and a key driver in the growth of their cross-border revenue. During the year ended December 31, 2021 shoppers that visited e-commerce websites powered by our platform generated 7.0 million orders which translated to $245.3 million of revenue.</w:t>
      </w:r>
    </w:p>
    <w:p>
      <w:pPr>
        <w:spacing w:after="0" w:line="180"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An important component of our revenue growth is the retention and expansion of our existing merchant base. Our revenue model is driven by the ability to retain and grow our business with existing merchants and attract new merchants from new geographies, segments and verticals. Revenue from our existing merchant base has grown significantly over time as our merchants’ cross-border revenues have grown, the volume of transactions that our merchants process through our platform has increased and we have expanded to additional geographic corridors. The revenue growth from our existing merchants that continue to process transactions on our platform has historically exceeded any lost revenue from merchants that discontinued their use of our platform. We measure the revenue growth from our existing merchant base using Net Dollar Retention Rate, and we measure the lost revenue from merchants that discontinue their use of our platform using Gross Dollar Retention Rate.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ind w:right="40" w:firstLine="551"/>
        <w:spacing w:after="0" w:line="255" w:lineRule="auto"/>
        <w:rPr>
          <w:sz w:val="20"/>
          <w:szCs w:val="20"/>
          <w:color w:val="auto"/>
        </w:rPr>
      </w:pPr>
      <w:r>
        <w:rPr>
          <w:rFonts w:ascii="Times New Roman" w:cs="Times New Roman" w:eastAsia="Times New Roman" w:hAnsi="Times New Roman"/>
          <w:sz w:val="18"/>
          <w:szCs w:val="18"/>
          <w:color w:val="auto"/>
        </w:rPr>
        <w:t>We aim to sign contracts with merchants for a minimum term of 12 months and with a minimum committed monthly volume. The vast majority of our merchants choose to stay on our platform beyond the initial term and trade at larger volumes than the contractually agreed minimum. The chart below demonstrates the GMV for each annual merchant cohort from 2016 to 2021. Each annual merchant cohort is comprised of merchants that completed their first shopper transaction on our platform during the corresponding year (except for the 2016 cohort which includes GMV from merchants that have onboarded our platform from inception through and including 2016). For example, the 2020 merchant cohort includes all merchants that completed their first shopper transaction on our platform between January 1, 2020 and December 31, 2020. Our GMV from these merchants grew 218% for the year ended December 31, 2021 relative to our GMV from these same merchants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666105" cy="2811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610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40" w:firstLine="551"/>
        <w:spacing w:after="0" w:line="261" w:lineRule="auto"/>
        <w:rPr>
          <w:sz w:val="20"/>
          <w:szCs w:val="20"/>
          <w:color w:val="auto"/>
        </w:rPr>
      </w:pPr>
      <w:r>
        <w:rPr>
          <w:rFonts w:ascii="Times New Roman" w:cs="Times New Roman" w:eastAsia="Times New Roman" w:hAnsi="Times New Roman"/>
          <w:sz w:val="18"/>
          <w:szCs w:val="18"/>
          <w:color w:val="auto"/>
        </w:rPr>
        <w:t>Our existing merchant base is critical to our success, generating approximately 85% and 81% of our GMV in the year ended December 31, 2020 and 2021, respectively. Our Net Dollar Retention Rate for the years ended December 31, 2020 and 2021 was 172% and 152%, respectively. Our high Net Dollar Retention Rate is driven both by strong retention and by the growth of our merchants’ transaction volumes processed on our platform. We believe this highlights the mission-critical nature of our platform for merchants that continue to grow with us over time.</w:t>
      </w:r>
    </w:p>
    <w:p>
      <w:pPr>
        <w:spacing w:after="0" w:line="180"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As of December 31, 2021, we had a diversified base of 657 merchants, up 48.6% from 442 merchants and up 132.2% from 283 merchants as of December 31, 2020 and December 31, 2019, respectively. These merchants range from globally-recognized retailers to small, emerging brands located across 15 countries. Our largest merchant represented approximately 15% and 10% of total GMV for the years ended December 31, 2020 and 2021, respectively. Such merchant generated 18% and 13% of our total revenues for the years ended December 31, 2020 and 2021, respectively, while our top ten merchants represented 37% and 31% of our total revenues for the years ended December 31, 2020 and 2021, respectively. We expect the percentage of our revenue represented by our largest merchant to continue decreasing in future years as our existing merchants continue to grow and we onboard additional merchants.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9" w:name="page70"/>
    <w:bookmarkEnd w:id="69"/>
    <w:p>
      <w:pPr>
        <w:ind w:firstLine="551"/>
        <w:spacing w:after="0" w:line="252" w:lineRule="auto"/>
        <w:rPr>
          <w:sz w:val="20"/>
          <w:szCs w:val="20"/>
          <w:color w:val="auto"/>
        </w:rPr>
      </w:pPr>
      <w:r>
        <w:rPr>
          <w:rFonts w:ascii="Times New Roman" w:cs="Times New Roman" w:eastAsia="Times New Roman" w:hAnsi="Times New Roman"/>
          <w:sz w:val="18"/>
          <w:szCs w:val="18"/>
          <w:color w:val="auto"/>
        </w:rPr>
        <w:t>Our significant scale and growth mean we also enjoy increasing geographic diversification in terms of both “outbound” sales, which term refers to sales from the merchant’s country of origin, and “destination market” sales, which term refers to sales made to shoppers in various markets. The United Kingdom has historically been our largest outbound market. However, outbound sales from the United Kingdom as a percentage of total revenue have been decreasing over time as we developed additional outbound markets, namely the United States and the EU. For the year ended December 31, 2021, the United Kingdom represented 47% of our revenues, with North America, the EU, and Israel representing 29%, 23% and 0.4%, respectively. While we expect our outbound sales from the United Kingdom to continue growing in absolute terms, we expect that outbound sales from the United Kingdom as a percentage of total revenue will continue to decrease in future periods. We expect to continue attracting new merchants in geographies outside of the United Kingdom, including countries in which we have existing operations as well as new markets. For example, we are beginning to establish a presence in the Asia-Pacific (“APAC”) region, which we believe represents a significant opportunity. Of the 657 merchants served by our platform as of December 31, 2021, 47.9% were located in the United Kingdom, while 35.6% and 14.9% were located in North America and Europe, respectively, and 1.5% were located in other geographies. With regards to the destination markets from which shoppers make purchases through our platform, the United States, the largest destination market, represented 16% and 13% of our total revenue for the year ended December 31, 2020 and 2021, respectively, Australia represented 11% of our total revenue for the year ended December 31, 2021 and no other destination market represented more than 10% of our total revenue for either period.</w:t>
      </w:r>
    </w:p>
    <w:p>
      <w:pPr>
        <w:spacing w:after="0" w:line="197"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In addition to retaining and growing our existing merchant base, we are able to efficiently acquire new merchants. We have developed an effective go-to-market strategy leveraging a dedicated team of sales executives. We also plan to continue leveraging our mutually-beneficial channel partnerships, which broaden our merchant base and generate significant leads for our sales team. For example, we entered into the Shopify Agreements to jointly cooperate in offering e-commerce cross-border solutions to Shopify merchants. As our scale grows, so does our own brand equity, which leads to more inbound prospects as well as stronger word-of-mouth-based sales whereby an existing Global-e merchant recommends our solution to other players in the market. We view our ability to efficiently acquire merchants at scale as a differentiated competitive advantage. We measure the efficiency of our merchant acquisition strategy by tracking payback period, or the amount of time required to recover merchant acquisition costs in a given year from the merchants acquired in that year, based on the gross profit realized from such merchants in the following year. For merchants acquired in the year ended December 31, 2020, our payback period was less than six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Other Operating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w:t>
      </w:r>
    </w:p>
    <w:p>
      <w:pPr>
        <w:spacing w:after="0" w:line="162" w:lineRule="exact"/>
        <w:rPr>
          <w:sz w:val="20"/>
          <w:szCs w:val="20"/>
          <w:color w:val="auto"/>
        </w:rPr>
      </w:pPr>
    </w:p>
    <w:p>
      <w:pPr>
        <w:ind w:right="12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performance indicators that we use to evaluate our business for the years ended December 31, 2019, 2020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Merchandise Value</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Dollar Retention Rate</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245.3</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91.4</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 of Revenue</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 of Revenue</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tcPr>
          <w:p>
            <w:pPr>
              <w:spacing w:after="0"/>
              <w:rPr>
                <w:sz w:val="18"/>
                <w:szCs w:val="18"/>
                <w:color w:val="auto"/>
              </w:rPr>
            </w:pPr>
          </w:p>
        </w:tc>
      </w:tr>
      <w:tr>
        <w:trPr>
          <w:trHeight w:val="824"/>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1"/>
        </w:trPr>
        <w:tc>
          <w:tcPr>
            <w:tcW w:w="66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70" w:name="page71"/>
    <w:bookmarkEnd w:id="70"/>
    <w:p>
      <w:pPr>
        <w:ind w:firstLine="53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Gross Merchandise Value</w:t>
      </w:r>
      <w:r>
        <w:rPr>
          <w:rFonts w:ascii="Times New Roman" w:cs="Times New Roman" w:eastAsia="Times New Roman" w:hAnsi="Times New Roman"/>
          <w:sz w:val="18"/>
          <w:szCs w:val="18"/>
          <w:color w:val="auto"/>
        </w:rPr>
        <w:t>. We derive the substantial part of our revenue from fees we charge for the use of our integrated platform solution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fulfillment services. These fees are generally correlated with the total value of transactions processed through our platform. We assess the growth in transaction volume using a metric we refer to as Gross Merchandise Value (“GMV”) which is defined as the combined amount we collect from the shopper and the merchant for all components of a given transaction, including products, duties and taxes and shipping. GMV does not represent revenue earned by us; however, the GMV processed through our platform is an indicator of the volume of cross-border transactions processed through our platform by our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129540</wp:posOffset>
            </wp:positionV>
            <wp:extent cx="5374640" cy="2528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7464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(GMV, USD in millions)</w:t>
      </w:r>
    </w:p>
    <w:p>
      <w:pPr>
        <w:spacing w:after="0" w:line="200" w:lineRule="exact"/>
        <w:rPr>
          <w:sz w:val="20"/>
          <w:szCs w:val="20"/>
          <w:color w:val="auto"/>
        </w:rPr>
      </w:pPr>
    </w:p>
    <w:p>
      <w:pPr>
        <w:spacing w:after="0" w:line="237"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Net Dollar Retention Rate</w:t>
      </w:r>
      <w:r>
        <w:rPr>
          <w:rFonts w:ascii="Times New Roman" w:cs="Times New Roman" w:eastAsia="Times New Roman" w:hAnsi="Times New Roman"/>
          <w:sz w:val="18"/>
          <w:szCs w:val="18"/>
          <w:color w:val="auto"/>
        </w:rPr>
        <w:t>. We assess our performance in retaining and expanding relationships with our existing merchant base using a metric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refer to as Net Dollar Retention Rate, which compares our GMV from the same set of merchants across comparable periods. We calculate Net Dollar Retention Rate for a given period as the GMV in that period divided by the GMV in the comparable period in the prior year, in each case, from merchants that processed transactions on our platform in the earlier of the two periods. Our Net Dollar Retention Rate therefore includes the effect on GMV of any merchant renewals, expansion, contraction and churn but excludes the effect of revenue from merchants that contributed to our GMV in the current period but not in the earlier period. A Net Dollar Retention Rate greater than 100% for a given period implies overall growth in GMV from merchants that were already processing transactions on our platform prior to that period.</w:t>
      </w:r>
    </w:p>
    <w:p>
      <w:pPr>
        <w:spacing w:after="0" w:line="187"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Our Net Dollar Retention Rate has typically been over 140% since 2018, and for the years ended December 31, 2019, 2020 and 2021 was 134% 172% and 152%, respectively. Our Net Dollar Retention Rate may fluctuate in future periods due to a number of factors, including the expansion of our revenue base, the level of penetration within our merchant base, enhancements made to our existing platform and our ability to retain our existing merchant base.</w:t>
      </w:r>
    </w:p>
    <w:p>
      <w:pPr>
        <w:spacing w:after="0" w:line="176" w:lineRule="exact"/>
        <w:rPr>
          <w:sz w:val="20"/>
          <w:szCs w:val="20"/>
          <w:color w:val="auto"/>
        </w:rPr>
      </w:pPr>
    </w:p>
    <w:p>
      <w:pPr>
        <w:ind w:right="6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We generate revenues by charging merchants fees for the use of our end-to-end cross-border solution. Our revenues are correlated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level of GMV that flows through our platform. We have experienced rapid revenue growth in recent years, growing 107.1% and 79.9% in the years ended December 31, 2020 and 2021, respectively.</w:t>
      </w:r>
    </w:p>
    <w:p>
      <w:pPr>
        <w:spacing w:after="0" w:line="171" w:lineRule="exact"/>
        <w:rPr>
          <w:sz w:val="20"/>
          <w:szCs w:val="20"/>
          <w:color w:val="auto"/>
        </w:rPr>
      </w:pPr>
    </w:p>
    <w:p>
      <w:pPr>
        <w:ind w:right="18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r>
        <w:rPr>
          <w:rFonts w:ascii="Times New Roman" w:cs="Times New Roman" w:eastAsia="Times New Roman" w:hAnsi="Times New Roman"/>
          <w:sz w:val="18"/>
          <w:szCs w:val="18"/>
          <w:color w:val="auto"/>
        </w:rPr>
        <w:t>. Our cost of revenue consists primarily of costs associated with payment acquiring fees, shipping and logistic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and operational merchant support expenses, such as customer service. Our gross profit represents our revenue less our cost of revenue. In recent years, we have consistently increased our gross profit as a percentage of revenue, or our gross margin, mainly due to economies of scale resulting from growth in GMV and revenue, as well as efficiencies stemming from our optimization. For the years ended December 31, 2019, 2020 and 2021, our gross margin was 28.3%, 31.9% and 37.3%, respectively.</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1" w:name="page72"/>
    <w:bookmarkEnd w:id="71"/>
    <w:p>
      <w:pPr>
        <w:ind w:right="10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Adjusted EBITDA is defined as operating profit (loss) adjusted for depreciation and amortization,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offering related expenses and merger and acquisition expenses. Adjusted EBITDA is a non-GAAP financial metric. Our Adjusted EBITDA grew from $12.6 million for the year ended December 31, 2020 to $32.4 million for the year ended December 31, 2021. This increase was primarily driven by growth in revenues and gross margin, as well as operating leverage.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Metrics</w:t>
      </w:r>
    </w:p>
    <w:p>
      <w:pPr>
        <w:spacing w:after="0" w:line="225" w:lineRule="exact"/>
        <w:rPr>
          <w:sz w:val="20"/>
          <w:szCs w:val="20"/>
          <w:color w:val="auto"/>
        </w:rPr>
      </w:pPr>
    </w:p>
    <w:p>
      <w:pPr>
        <w:ind w:right="4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Gross Dollar Retention Rate</w:t>
      </w:r>
      <w:r>
        <w:rPr>
          <w:rFonts w:ascii="Times New Roman" w:cs="Times New Roman" w:eastAsia="Times New Roman" w:hAnsi="Times New Roman"/>
          <w:sz w:val="18"/>
          <w:szCs w:val="18"/>
          <w:color w:val="auto"/>
        </w:rPr>
        <w:t>. In addition to tracking our key performance indicators above, we also periodically measure our Gross Dollar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Retention Rate to further assess our performance in retaining our existing customer base. Gross Dollar Retention Rate measures revenue lost from merchants that discontinue their use of our platform, but does not reflect the benefit of customer expansion, contraction or additions. Gross Dollar Retention Rate may therefore never exceed 100%. We believe our high gross retention rates demonstrate that we serve a vital role for our merchants, as the vast majority of our merchants continue to use our platform.</w:t>
      </w:r>
    </w:p>
    <w:p>
      <w:pPr>
        <w:spacing w:after="0" w:line="183"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To calculate the Gross Dollar Retention Rate for a particular quarter, we first calculate the total seasonality adjusted annualized GMV for that quarter. We then calculate the value of GMV from any merchants who discontinued their use of our platform during that quarter, or churned, based on their total GMV from the four quarters preceding such quarter, which we refer to as churned GMV. We then divide (a) the churned GMV by (b) the total seasonality adjusted annualized GMV to calculate the percentage churn for that quarter. Gross Dollar Retention Rate for a particular year is calculated by aggregating the percentage churn of the four quarters within that year and subtracting the result from 100%.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Gross Dollar Retention Rate has consistently been over 98% since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future performance will continue to depend on many factors, including the following:</w:t>
      </w:r>
    </w:p>
    <w:p>
      <w:pPr>
        <w:spacing w:after="0" w:line="221" w:lineRule="exact"/>
        <w:rPr>
          <w:sz w:val="20"/>
          <w:szCs w:val="20"/>
          <w:color w:val="auto"/>
        </w:rPr>
      </w:pPr>
    </w:p>
    <w:p>
      <w:pPr>
        <w:ind w:left="800" w:right="40" w:hanging="225"/>
        <w:spacing w:after="0" w:line="259" w:lineRule="auto"/>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Growth in Cross-Border E-commerce: </w:t>
      </w:r>
      <w:r>
        <w:rPr>
          <w:rFonts w:ascii="Times New Roman" w:cs="Times New Roman" w:eastAsia="Times New Roman" w:hAnsi="Times New Roman"/>
          <w:sz w:val="18"/>
          <w:szCs w:val="18"/>
          <w:color w:val="auto"/>
        </w:rPr>
        <w:t>We expect to benefit from significant tailwinds including growth in global e-commerce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the continued rise in the influence of social media on shopper spending habits worldwide, the increasing relevance of D2C, as well as increased cross-border e-commerce. The rise in complexity of cross-border trade, stemming from constantly-changing regulations and technology, serves as an additional tailwind by driving merchant demand for third-party solutions with the relevant expertise and infrastructure, such as Global-e.</w:t>
      </w:r>
    </w:p>
    <w:p>
      <w:pPr>
        <w:spacing w:after="0" w:line="179" w:lineRule="exact"/>
        <w:rPr>
          <w:rFonts w:ascii="Times New Roman" w:cs="Times New Roman" w:eastAsia="Times New Roman" w:hAnsi="Times New Roman"/>
          <w:sz w:val="18"/>
          <w:szCs w:val="18"/>
          <w:color w:val="auto"/>
        </w:rPr>
      </w:pPr>
    </w:p>
    <w:p>
      <w:pPr>
        <w:ind w:left="800" w:hanging="225"/>
        <w:spacing w:after="0" w:line="256" w:lineRule="auto"/>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Existing Merchant Retention and Expansion: </w:t>
      </w:r>
      <w:r>
        <w:rPr>
          <w:rFonts w:ascii="Times New Roman" w:cs="Times New Roman" w:eastAsia="Times New Roman" w:hAnsi="Times New Roman"/>
          <w:sz w:val="18"/>
          <w:szCs w:val="18"/>
          <w:color w:val="auto"/>
        </w:rPr>
        <w:t>We care deeply about the merchants we serve. Our commitment to their success,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increases retention and likelihood of expanding their activity on our platform. Supporting our merchants begins with enhancing both the shopper and the merchant experience; as such, we focus our efforts on developing products and functionality to ease the complexity they face when engaging in cross-border e-commerce. We provide customer support services to their shoppers, take full responsibility for processing duties and taxes, employ dedicated teams to optimize their offering and increase their sales conversion and continue to take steps to boost retention. Our effectiveness in retaining and expanding our existing merchants’ sales is a critical component of our revenue growth and operating results.</w:t>
      </w:r>
    </w:p>
    <w:p>
      <w:pPr>
        <w:spacing w:after="0" w:line="182" w:lineRule="exact"/>
        <w:rPr>
          <w:rFonts w:ascii="Times New Roman" w:cs="Times New Roman" w:eastAsia="Times New Roman" w:hAnsi="Times New Roman"/>
          <w:sz w:val="18"/>
          <w:szCs w:val="18"/>
          <w:color w:val="auto"/>
        </w:rPr>
      </w:pPr>
    </w:p>
    <w:p>
      <w:pPr>
        <w:ind w:left="800" w:hanging="225"/>
        <w:spacing w:after="0" w:line="257" w:lineRule="auto"/>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new merchants and add their GMV to our platform.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past seven years, we have experienced substantial expansion in the number of merchants served by our platform, which totaled 657 and 442 as of December 31, 2021 and December 31, 2020, respectively. New merchant acquisition is a key to scaling our platform. We have historically achieved efficient payback periods driven by a combination of direct sales, inbound inquiries, word-of-mouth referrals and channel partnerships. Continuing to add merchants to our platform in an efficient manner is a key component of our ability to grow our revenues. As a result of the recently signed expansion of our partnership with Shopify, we expect that we will be able to accelerate the growth of our merchant base.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2" w:name="page73"/>
    <w:bookmarkEnd w:id="72"/>
    <w:p>
      <w:pPr>
        <w:ind w:left="225" w:right="80" w:hanging="225"/>
        <w:spacing w:after="0" w:line="259"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around the world, as it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merchants, regardless of geography, to expand their market footprint to more shoppers by selling globally. In order to successfully acquire merchants across geographies, Global-e has local sales teams in the United States, the United Kingdom and the EU, and recently also Japan and Australia as part of our efforts to expand our business within the APAC region. We plan to add local sales support in further select international markets over time to support our growth.</w:t>
      </w:r>
    </w:p>
    <w:p>
      <w:pPr>
        <w:spacing w:after="0" w:line="179" w:lineRule="exact"/>
        <w:rPr>
          <w:rFonts w:ascii="Times New Roman" w:cs="Times New Roman" w:eastAsia="Times New Roman" w:hAnsi="Times New Roman"/>
          <w:sz w:val="18"/>
          <w:szCs w:val="18"/>
          <w:color w:val="auto"/>
        </w:rPr>
      </w:pPr>
    </w:p>
    <w:p>
      <w:pPr>
        <w:ind w:left="225" w:right="40" w:hanging="225"/>
        <w:spacing w:after="0" w:line="254"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to Scale Our Platform and Merchant Base: </w:t>
      </w:r>
      <w:r>
        <w:rPr>
          <w:rFonts w:ascii="Times New Roman" w:cs="Times New Roman" w:eastAsia="Times New Roman" w:hAnsi="Times New Roman"/>
          <w:sz w:val="18"/>
          <w:szCs w:val="18"/>
          <w:color w:val="auto"/>
        </w:rPr>
        <w:t>We have made, and will continue to make, significant investments in our platform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and scale our merchant base and enhance their experiences. In the years ended December 31, 2019, 2020 and 2021, excluding stock based compensation, we spent $12.0 million (or 18.2% of revenue), $14.9 million (or 10.9% of revenue) and $25.6 million (or 10.4% of revenue), respectively, on research and development. These amounts represent year over year increases of 24.6% and 71.7% in the years ended December 31, 2020 and 2021, respectively. In the years ended December 31, 2019, 2020 and 2021, excluding the amortization of the Shopify warrants related asset and stock based compensation, we spent $4.6 million (or 6.9% of revenue), $9.4 million (or 6.9% of revenue) and $19.1 million (or 7.8% of revenue), respectively, on sales and marketing. These amounts represent year over year increases of 105.6% and</w:t>
      </w:r>
    </w:p>
    <w:p>
      <w:pPr>
        <w:ind w:left="225"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 in the years ended December 31, 2020 and 2021, respectively. Overall research and development expenses were $12.0 million, $15.4 million and $29.8 million in the years ended December 31, 2019, 2020 and 2021, respectively. Overall sales and marketing expenses were $4.6 million, $9.8 million and $104.7 million in the years ended December 31, 2019, 2020 and 2021, respectively. We plan to continue to invest significantly in go-to-market and innovation to address the needs of merchants. We also plan to increase headcount. The resources we commit to, and the investments we make in, our platform are designed to retain and expand the sales of our merchants, expand into new geographies and acquire new merchants, fuel our “Smart Insights” data set and improve our operating results in the long term.</w:t>
      </w:r>
    </w:p>
    <w:p>
      <w:pPr>
        <w:spacing w:after="0" w:line="185" w:lineRule="exact"/>
        <w:rPr>
          <w:rFonts w:ascii="Times New Roman" w:cs="Times New Roman" w:eastAsia="Times New Roman" w:hAnsi="Times New Roman"/>
          <w:sz w:val="18"/>
          <w:szCs w:val="18"/>
          <w:color w:val="auto"/>
        </w:rPr>
      </w:pPr>
    </w:p>
    <w:p>
      <w:pPr>
        <w:ind w:left="225" w:right="20" w:hanging="225"/>
        <w:spacing w:after="0" w:line="259"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Seasonality</w:t>
      </w:r>
      <w:r>
        <w:rPr>
          <w:rFonts w:ascii="Times New Roman" w:cs="Times New Roman" w:eastAsia="Times New Roman" w:hAnsi="Times New Roman"/>
          <w:sz w:val="18"/>
          <w:szCs w:val="18"/>
          <w:color w:val="auto"/>
        </w:rPr>
        <w:t>: Our revenue is correlated with the level of GMV that our merchants generate through our platform. Our merchants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process additional GMV each year in the fourth quarter, which includes Black Friday, Cyber Monday and the holiday season, driven by an uptick in e-commerce sales. As a result, we historically have generated higher revenues in the fourth quarter than in other quarters. In the years ended December 31, 2019, 2020 and 2021, fourth quarter GMV represented approximately 38%, 39% and 35%, respectively, of our total GMV. We believe that similar seasonality trends will affect our future quarterly performance.</w:t>
      </w:r>
    </w:p>
    <w:p>
      <w:pPr>
        <w:spacing w:after="0" w:line="179" w:lineRule="exact"/>
        <w:rPr>
          <w:rFonts w:ascii="Times New Roman" w:cs="Times New Roman" w:eastAsia="Times New Roman" w:hAnsi="Times New Roman"/>
          <w:sz w:val="18"/>
          <w:szCs w:val="18"/>
          <w:color w:val="auto"/>
        </w:rPr>
      </w:pPr>
    </w:p>
    <w:p>
      <w:pPr>
        <w:ind w:left="225" w:right="160" w:hanging="225"/>
        <w:spacing w:after="0" w:line="262"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Efficiency from Economies of Scale</w:t>
      </w:r>
      <w:r>
        <w:rPr>
          <w:rFonts w:ascii="Times New Roman" w:cs="Times New Roman" w:eastAsia="Times New Roman" w:hAnsi="Times New Roman"/>
          <w:sz w:val="18"/>
          <w:szCs w:val="18"/>
          <w:color w:val="auto"/>
        </w:rPr>
        <w:t>: as our GMV scales, we can achieve margin expansion due to operating leverage.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larger size allows us to negotiate better terms with our suppliers allowing us to further optimize our cost base. As the number of merchants on our platform grows, we also generate increasing amounts of data which in turn enable smarter decisions and optimizations that further increase efficiency.</w:t>
      </w:r>
    </w:p>
    <w:p>
      <w:pPr>
        <w:spacing w:after="0" w:line="176" w:lineRule="exact"/>
        <w:rPr>
          <w:rFonts w:ascii="Times New Roman" w:cs="Times New Roman" w:eastAsia="Times New Roman" w:hAnsi="Times New Roman"/>
          <w:sz w:val="18"/>
          <w:szCs w:val="18"/>
          <w:color w:val="auto"/>
        </w:rPr>
      </w:pPr>
    </w:p>
    <w:p>
      <w:pPr>
        <w:ind w:left="225" w:hanging="225"/>
        <w:spacing w:after="0" w:line="254"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The global pandemic resulting from the spread of COVID-19 increased e-commerce volumes, a trend that we believe has had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positive impact on our business. Lockdown restrictions contributed to an increased shift of shoppers to online retail activity. In addition, store closures and social distancing requirements accelerated the transition of merchants to focusing on D2C e-commerce in general, and cross-border e-commerce in particular. Our platform remained active, with no material outages or service disruptions. We successfully navigated elevated global order volumes as well as the need to rapidly adapt to changing circumstances such as temporary closures due to lockdowns, demonstrating our platform’s resilience, flexibility and effectiveness during the period of global volatility. We expect e-commerce growth rates to normalize in the short-term, as physical stores re-open and social distance requirements ease. However, we continue to witness the accelerated transition of merchants to D2C e-commerce in general and cross-border e-commerce in particular, which we believe is a long-term direction due to the clear advantages of D2C.</w:t>
      </w:r>
    </w:p>
    <w:p>
      <w:pPr>
        <w:spacing w:after="0" w:line="188" w:lineRule="exact"/>
        <w:rPr>
          <w:rFonts w:ascii="Times New Roman" w:cs="Times New Roman" w:eastAsia="Times New Roman" w:hAnsi="Times New Roman"/>
          <w:sz w:val="18"/>
          <w:szCs w:val="18"/>
          <w:color w:val="auto"/>
        </w:rPr>
      </w:pPr>
    </w:p>
    <w:p>
      <w:pPr>
        <w:ind w:left="225" w:right="540" w:hanging="225"/>
        <w:spacing w:after="0" w:line="286"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macro-economics</w:t>
      </w:r>
      <w:r>
        <w:rPr>
          <w:rFonts w:ascii="Times New Roman" w:cs="Times New Roman" w:eastAsia="Times New Roman" w:hAnsi="Times New Roman"/>
          <w:sz w:val="18"/>
          <w:szCs w:val="18"/>
          <w:color w:val="auto"/>
        </w:rPr>
        <w:t>: Inflationary pressures and rising interest rates in key markets, coupled with potential impact of the belligerent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 in Ukraine may influence consumer sentiment and may have a negative effect on consumer spend.</w:t>
      </w:r>
    </w:p>
    <w:p>
      <w:pPr>
        <w:spacing w:after="0" w:line="334"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is comprised of service fees and fulfillment services fees.</w:t>
      </w:r>
    </w:p>
    <w:p>
      <w:pPr>
        <w:spacing w:after="0" w:line="227"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18"/>
          <w:szCs w:val="18"/>
          <w:color w:val="auto"/>
        </w:rPr>
        <w:t>Service fees revenue is generated as a percentage of the GMV that flows through our platform. Fulfillment services revenue is generated through the Company’s offerings of shipping and handling services. Revenue is recognized at the time the related performance obligation is satisfied by transferring the promised product or delivery of service. The amount of revenue recognized reflects the consideration that the Company expects to receive in exchange for these products or services.</w:t>
      </w:r>
    </w:p>
    <w:p>
      <w:pPr>
        <w:spacing w:after="0" w:line="178" w:lineRule="exact"/>
        <w:rPr>
          <w:sz w:val="20"/>
          <w:szCs w:val="20"/>
          <w:color w:val="auto"/>
        </w:rPr>
      </w:pPr>
    </w:p>
    <w:p>
      <w:pPr>
        <w:ind w:right="20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primarily consists of payment acquiring fees, fulfillment costs, including shipping and logistic costs,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merchant support expenses, such as customer service, payroll and allocated overhead. Overhead is allocated to cost of revenue based on applicable headcount. We expect cost of revenue to increase in absolute dollars in future periods due to our expected expansion. The level and timing of all of these items could fluctuate and affect our cost of revenue in the future.</w:t>
      </w:r>
    </w:p>
    <w:p>
      <w:pPr>
        <w:spacing w:after="0" w:line="180" w:lineRule="exact"/>
        <w:rPr>
          <w:sz w:val="20"/>
          <w:szCs w:val="20"/>
          <w:color w:val="auto"/>
        </w:rPr>
      </w:pPr>
    </w:p>
    <w:p>
      <w:pPr>
        <w:jc w:val="both"/>
        <w:ind w:right="16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Our gross profit and gross margin may fluctuate from period to period. Such fluctuations may be influenced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including the seasonality of our revenues, changes in cost of goods sold, our continued investments in our platform, our expected expansion into additional geographies and the growth of our merchant base.</w:t>
      </w:r>
    </w:p>
    <w:p>
      <w:pPr>
        <w:spacing w:after="0" w:line="173" w:lineRule="exact"/>
        <w:rPr>
          <w:sz w:val="20"/>
          <w:szCs w:val="20"/>
          <w:color w:val="auto"/>
        </w:rPr>
      </w:pPr>
    </w:p>
    <w:p>
      <w:pPr>
        <w:ind w:right="220" w:firstLine="551"/>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include personnel-related expenses associated with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responsible for the design, development and testing of Company products, other development-related expenses, including cost of development environments and tools, and allocated overhead. Research and development costs are expensed as incurred. We expect these costs to increase as we continue to hire new employees in order to support the growing scale and feature set of our platform. We believe continued investments in research and development are important to attain our strategic objectives and maintain our market leadership position. As such, we expect research and development costs to increase in absolute dollars, but this expense is expected to decrease as a percentage of total revenue.</w:t>
      </w:r>
    </w:p>
    <w:p>
      <w:pPr>
        <w:spacing w:after="0" w:line="182"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primarily consist of costs of our marketing and merchant success personnel,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marketing activities, merchant acquisition costs and allocated overhead. Overhead is allocated to sales and marketing based on applicable headcount. We intend to continue to invest in our sales and marketing capabilities in the future to continue to increase our brand awareness and to grow our merchant base. We expect these costs to increase as we grow our business.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As a result of our entry into the Shopify Agreements and the related issuance of warrants to purchase ordinary shares to Shopify, we recognize a commercial agreement asset upon the vesting of the warrants, and we amortize such asset over time.</w:t>
      </w:r>
    </w:p>
    <w:p>
      <w:pPr>
        <w:spacing w:after="0" w:line="183" w:lineRule="exact"/>
        <w:rPr>
          <w:sz w:val="20"/>
          <w:szCs w:val="20"/>
          <w:color w:val="auto"/>
        </w:rPr>
      </w:pPr>
    </w:p>
    <w:p>
      <w:pPr>
        <w:ind w:right="240"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primarily consist of costs of personnel-related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compensation, associated primarily with our finance, legal, human resources and other operational and administrative functions, external professional services and allocated overhead. We expect that our general and administrative expenses will increase in absolute dollars for the foreseeable future as we increase the size of our general and administrative function to support the growth of our business, as well as to cover the additional cost and expenses associated with becoming a publicly listed company.</w:t>
      </w:r>
    </w:p>
    <w:p>
      <w:pPr>
        <w:spacing w:after="0" w:line="183" w:lineRule="exact"/>
        <w:rPr>
          <w:sz w:val="20"/>
          <w:szCs w:val="20"/>
          <w:color w:val="auto"/>
        </w:rPr>
      </w:pPr>
    </w:p>
    <w:p>
      <w:pPr>
        <w:ind w:right="12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expenses, net. </w:t>
      </w:r>
      <w:r>
        <w:rPr>
          <w:rFonts w:ascii="Times New Roman" w:cs="Times New Roman" w:eastAsia="Times New Roman" w:hAnsi="Times New Roman"/>
          <w:sz w:val="18"/>
          <w:szCs w:val="18"/>
          <w:color w:val="auto"/>
        </w:rPr>
        <w:t>Financial expenses, net primarily includes interest income (expense), currency conversion and other bank related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gains (losses) from foreign exchange fluctuations.</w:t>
      </w:r>
    </w:p>
    <w:p>
      <w:pPr>
        <w:spacing w:after="0" w:line="158"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consist primarily of income taxes related to the jurisdictions in which we conduct business. Our effective tax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tax rates in jurisdictions and the relative amounts of income we earn in those jurisdictions, changes in the valuation of our deferred tax assets and liabilities, applicability of any valuation allowances, and changes in tax laws in jurisdictions in which we operate. Our net operating loss carry forwards for Israeli tax purposes amounted to approximately $103.8 million as of December 31, 2021.</w:t>
      </w:r>
    </w:p>
    <w:p>
      <w:pPr>
        <w:spacing w:after="0" w:line="182"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We expect to realize net losses in future periods as a result of the significant increase in sales and marketing expenses in connection with the vesting of the warrants issued to Shopify.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  Operating Results</w:t>
            </w: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13"/>
          </w:tcPr>
          <w:p>
            <w:pPr>
              <w:ind w:left="5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in U.S. dollars and as a percentage of revenue for the periods indicated: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1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65,852</w:t>
            </w:r>
          </w:p>
        </w:tc>
        <w:tc>
          <w:tcPr>
            <w:tcW w:w="3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136,375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245,274</w:t>
            </w:r>
          </w:p>
        </w:tc>
      </w:tr>
      <w:tr>
        <w:trPr>
          <w:trHeight w:val="223"/>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revenue</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92,902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153,841</w:t>
            </w:r>
          </w:p>
        </w:tc>
      </w:tr>
      <w:tr>
        <w:trPr>
          <w:trHeight w:val="216"/>
        </w:trPr>
        <w:tc>
          <w:tcPr>
            <w:tcW w:w="4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91,433</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29,761</w:t>
            </w: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104,687</w:t>
            </w: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22,643</w:t>
            </w:r>
          </w:p>
        </w:tc>
      </w:tr>
      <w:tr>
        <w:trPr>
          <w:trHeight w:val="27"/>
        </w:trPr>
        <w:tc>
          <w:tcPr>
            <w:tcW w:w="416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35,060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157,091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(65,658)</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Financial expenses, net</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8,570</w:t>
            </w: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(74,228)</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5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4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1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2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r>
      <w:tr>
        <w:trPr>
          <w:trHeight w:val="27"/>
        </w:trPr>
        <w:tc>
          <w:tcPr>
            <w:tcW w:w="416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r>
      <w:tr>
        <w:trPr>
          <w:trHeight w:val="27"/>
        </w:trPr>
        <w:tc>
          <w:tcPr>
            <w:tcW w:w="4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Financial expenses, net</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r>
      <w:tr>
        <w:trPr>
          <w:trHeight w:val="27"/>
        </w:trPr>
        <w:tc>
          <w:tcPr>
            <w:tcW w:w="416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7"/>
        </w:trPr>
        <w:tc>
          <w:tcPr>
            <w:tcW w:w="4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r>
      <w:tr>
        <w:trPr>
          <w:trHeight w:val="25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601"/>
        </w:trPr>
        <w:tc>
          <w:tcPr>
            <w:tcW w:w="416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41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4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Reconciliation to adjusted EBITDA</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6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12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16"/>
        </w:trPr>
        <w:tc>
          <w:tcPr>
            <w:tcW w:w="71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(4,951)</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(65,658)</w:t>
            </w: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18"/>
                <w:szCs w:val="18"/>
                <w:color w:val="auto"/>
              </w:rPr>
            </w:pP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0" w:type="dxa"/>
            <w:vAlign w:val="bottom"/>
          </w:tcPr>
          <w:p>
            <w:pPr>
              <w:spacing w:after="0"/>
              <w:rPr>
                <w:sz w:val="18"/>
                <w:szCs w:val="18"/>
                <w:color w:val="auto"/>
              </w:rPr>
            </w:pP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4,192</w:t>
            </w:r>
          </w:p>
        </w:tc>
      </w:tr>
      <w:tr>
        <w:trPr>
          <w:trHeight w:val="216"/>
        </w:trPr>
        <w:tc>
          <w:tcPr>
            <w:tcW w:w="640" w:type="dxa"/>
            <w:vAlign w:val="bottom"/>
            <w:shd w:val="clear" w:color="auto" w:fill="CCEEFF"/>
          </w:tcPr>
          <w:p>
            <w:pPr>
              <w:spacing w:after="0"/>
              <w:rPr>
                <w:sz w:val="18"/>
                <w:szCs w:val="18"/>
                <w:color w:val="auto"/>
              </w:rPr>
            </w:pP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Selling and marketing</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640" w:type="dxa"/>
            <w:vAlign w:val="bottom"/>
          </w:tcPr>
          <w:p>
            <w:pPr>
              <w:spacing w:after="0"/>
              <w:rPr>
                <w:sz w:val="18"/>
                <w:szCs w:val="18"/>
                <w:color w:val="auto"/>
              </w:rPr>
            </w:pP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6,437</w:t>
            </w:r>
          </w:p>
        </w:tc>
      </w:tr>
      <w:tr>
        <w:trPr>
          <w:trHeight w:val="216"/>
        </w:trPr>
        <w:tc>
          <w:tcPr>
            <w:tcW w:w="640" w:type="dxa"/>
            <w:vAlign w:val="bottom"/>
            <w:shd w:val="clear" w:color="auto" w:fill="CCEEFF"/>
          </w:tcPr>
          <w:p>
            <w:pPr>
              <w:spacing w:after="0"/>
              <w:rPr>
                <w:sz w:val="18"/>
                <w:szCs w:val="18"/>
                <w:color w:val="auto"/>
              </w:rPr>
            </w:pP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221.00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12,001</w:t>
            </w:r>
          </w:p>
        </w:tc>
      </w:tr>
      <w:tr>
        <w:trPr>
          <w:trHeight w:val="216"/>
        </w:trPr>
        <w:tc>
          <w:tcPr>
            <w:tcW w:w="6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6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Secondary offering costs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6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Commercial agreement asset amortization</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84,298</w:t>
            </w:r>
          </w:p>
        </w:tc>
      </w:tr>
      <w:tr>
        <w:trPr>
          <w:trHeight w:val="216"/>
        </w:trPr>
        <w:tc>
          <w:tcPr>
            <w:tcW w:w="6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71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(4,559)</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32,424</w:t>
            </w: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year ended December 31, 2020</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94" w:lineRule="exact"/>
        <w:rPr>
          <w:sz w:val="20"/>
          <w:szCs w:val="20"/>
          <w:color w:val="auto"/>
        </w:rPr>
      </w:pPr>
    </w:p>
    <w:p>
      <w:pPr>
        <w:ind w:right="22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increased by $108.9 million, or 79.9%, to $245.3 million for the year ended December 31, 2021 from $136.4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2020, consisting of increases in service fees revenue of $46.7 million, or 93.6%, to $96.7 million from $49.9 million, and fulfillment revenue of $62.2 million, or 71.9%, to $148.6 million from $86.4 million.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service fees revenue resulted primarily from growth of GMV from $774 million in the year ended December 31, 2020 to</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$1,449 million in the year ended December 31, 2021. GMV generated from existing merchants increased by $399 million, primarily attributable to growth in cross-border sales and an increase in the use of our platform to support additional inbound markets. In the year ended December 31, 2021, new merchants that onboarded our platform and generated GMV of $277 million. The increase in fulfilment revenue resulted primarily from an increase of transactions processed through our platform from approximately 4.6 million in 2020 to approximately 7.0 million in 2021, and was slightly offset by an increase in the number of merchants using our platform services on a standalone basis.</w:t>
      </w:r>
    </w:p>
    <w:p>
      <w:pPr>
        <w:spacing w:after="0" w:line="183" w:lineRule="exact"/>
        <w:rPr>
          <w:sz w:val="20"/>
          <w:szCs w:val="20"/>
          <w:color w:val="auto"/>
        </w:rPr>
      </w:pPr>
    </w:p>
    <w:p>
      <w:pPr>
        <w:ind w:right="2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and Gross Profit Margin. </w:t>
      </w:r>
      <w:r>
        <w:rPr>
          <w:rFonts w:ascii="Times New Roman" w:cs="Times New Roman" w:eastAsia="Times New Roman" w:hAnsi="Times New Roman"/>
          <w:sz w:val="18"/>
          <w:szCs w:val="18"/>
          <w:color w:val="auto"/>
        </w:rPr>
        <w:t>Cost of revenue increased by $60.9 million, or 65.6%, to $153.8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from $92.9 million for the year ended December 31, 2020, consisting of increases in service fees costs of $11.0 million, or 71.5%, to $26.4 million from $15.4 million, and fulfillment costs of $50.0 million, or 64.4%, to $127.5 million from $77.5 million. The increase in service fees costs was primarily driven by the increased cost of serving the higher value of transactions processed through our platform, partially offset by optimization and cost reduction of service fees related costs. The increase in fulfilment costs was primarily driven by the growth in volume of transactions processed through our platform.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ind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$14.4 million, or 93%, to $29.8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2021 from $15.4 million for the year ended December 31, 2020. This increase was primarily attributable to an increase of $8.6 million in payroll and subcontractors fees, due to increased headcount of 119 to support the further development of our platform capabilities and $3.7 million in increased share-based compensation expense.</w:t>
      </w:r>
    </w:p>
    <w:p>
      <w:pPr>
        <w:spacing w:after="0" w:line="176" w:lineRule="exact"/>
        <w:rPr>
          <w:sz w:val="20"/>
          <w:szCs w:val="20"/>
          <w:color w:val="auto"/>
        </w:rPr>
      </w:pPr>
    </w:p>
    <w:p>
      <w:pPr>
        <w:ind w:left="560"/>
        <w:spacing w:after="0"/>
        <w:tabs>
          <w:tab w:leader="none" w:pos="3040" w:val="left"/>
        </w:tabs>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sz w:val="20"/>
          <w:szCs w:val="20"/>
          <w:color w:val="auto"/>
        </w:rPr>
        <w:tab/>
      </w:r>
      <w:r>
        <w:rPr>
          <w:rFonts w:ascii="Times New Roman" w:cs="Times New Roman" w:eastAsia="Times New Roman" w:hAnsi="Times New Roman"/>
          <w:sz w:val="18"/>
          <w:szCs w:val="18"/>
          <w:color w:val="auto"/>
        </w:rPr>
        <w:t>Sales and marketing expenses increased by $94.8 million, or 964%, to $104.7 million for the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from $9.8 million for the year ended December 31, 2020. This increase was primarily driven by an amortization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$84.3 million related to the Shopify warrants and the expansion of our sales and marketing personnel to support our expansion efforts. Total headcount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sales and marketing increased by 36 from December 31, 2020 to December 31, 2021.</w:t>
      </w:r>
    </w:p>
    <w:p>
      <w:pPr>
        <w:spacing w:after="0" w:line="203" w:lineRule="exact"/>
        <w:rPr>
          <w:sz w:val="20"/>
          <w:szCs w:val="20"/>
          <w:color w:val="auto"/>
        </w:rPr>
      </w:pPr>
    </w:p>
    <w:p>
      <w:pPr>
        <w:ind w:right="10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$12.8 million, or 131%, to $22.6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2021 from $9.8 million for the year ended December 31, 2020. This increase was primarily driven by an increase in stock-based compensation expenses of $3.4 million, increase in public company related expenses, including an increase in D&amp;O insurance expense of $2.6 million, increase in consulting services expenses of $3.1 million mainly due to secondary offering related expenses and merger &amp; acquisition related expenses, and expansion of our general and administrative personnel. Total headcount within general and administrative increased by 19 from December 31, 2020 to December 31, 2021.</w:t>
      </w:r>
    </w:p>
    <w:p>
      <w:pPr>
        <w:spacing w:after="0" w:line="182" w:lineRule="exact"/>
        <w:rPr>
          <w:sz w:val="20"/>
          <w:szCs w:val="20"/>
          <w:color w:val="auto"/>
        </w:rPr>
      </w:pPr>
    </w:p>
    <w:p>
      <w:pPr>
        <w:ind w:right="10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Expenses, Net. </w:t>
      </w:r>
      <w:r>
        <w:rPr>
          <w:rFonts w:ascii="Times New Roman" w:cs="Times New Roman" w:eastAsia="Times New Roman" w:hAnsi="Times New Roman"/>
          <w:sz w:val="18"/>
          <w:szCs w:val="18"/>
          <w:color w:val="auto"/>
        </w:rPr>
        <w:t>Financial expenses, net increased by $4.2 million, or 98%, to $8.6 million for the year ended December 31,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$4.3 million for the year ended December 31,2020, primarily driven by revaluation of warrants to purchase convertible preferred shares of the Company.</w:t>
      </w:r>
    </w:p>
    <w:p>
      <w:pPr>
        <w:spacing w:after="0" w:line="155" w:lineRule="exact"/>
        <w:rPr>
          <w:sz w:val="20"/>
          <w:szCs w:val="20"/>
          <w:color w:val="auto"/>
        </w:rPr>
      </w:pPr>
    </w:p>
    <w:p>
      <w:pPr>
        <w:ind w:right="30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increased by $545 thousand to $705 thousand for the year ended December 31, 2021 from $160 thousand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2020, primarily driven by an increase in taxes on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ind w:right="3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increased by $70.5 million, or 107.1%, to $136.4 million for the year ended December 31, 2020 from $65.9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2019, consisting of increases in service fees revenue of $26.4 million, or 112%, to $49.9 million from $23.5 million, and fulfillment revenue of $44.1 million, or 104%, to $86.4 million from $42.4 million.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in service fees revenue resulted primarily from growth of GMV from $382 million in the year ended December 31, 2019 to</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$774 million in the year ended December 31, 2020. GMV generated from existing merchants increased by $274 million, primarily attributable to growth in cross-border sales and an increase in the use of our platform to support additional inbound markets. In the year ended December 31, 2020, 204 new merchants were onboarded to our platform and generated GMV of $118 million in such period. The increase in fulfilment revenue resulted primarily from an increase of transactions processed through our platform from approximately 2.4 million in 2019 to approximately 4.6 million in 2020, and was slightly offset by an increase in the number of merchants using our platform services on a standalone basis.</w:t>
      </w:r>
    </w:p>
    <w:p>
      <w:pPr>
        <w:spacing w:after="0" w:line="183"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and Gross Profit Margin. </w:t>
      </w:r>
      <w:r>
        <w:rPr>
          <w:rFonts w:ascii="Times New Roman" w:cs="Times New Roman" w:eastAsia="Times New Roman" w:hAnsi="Times New Roman"/>
          <w:sz w:val="18"/>
          <w:szCs w:val="18"/>
          <w:color w:val="auto"/>
        </w:rPr>
        <w:t>Cost of revenue increased by $45.7 million, or 96.9%, to $92.9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from $47.2 million for the year ended December 31, 2019, consisting of increases in service fees costs of $6.1 million, or 65%, to $15.4 million from $9.3 million, and fulfillment costs of $39.7 million, or 105%, to $77.5 million from $37.8 million. The increase in service fees costs was primarily driven by the increased cost of serving the higher value of transactions processed through our platform, partially offset by optimization and cost reduction of service fees related costs. The increase in fulfilment costs was primarily driven by the growth in volume of transactions processed through our platform.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7" w:name="page78"/>
    <w:bookmarkEnd w:id="77"/>
    <w:p>
      <w:pPr>
        <w:ind w:right="12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$3.4 million, or 28.0%, to $15.4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2020 from $12.0 million for the year ended December 31, 2019. This increase was primarily driven by the expansion of our research and development personnel and platform capacity to further develop our platform capabilities and support the growth of transaction volume. Total headcount within research and development expenses increased by 30 from December 31, 2019 to December 31, 2020.</w:t>
      </w:r>
    </w:p>
    <w:p>
      <w:pPr>
        <w:spacing w:after="0" w:line="176" w:lineRule="exact"/>
        <w:rPr>
          <w:sz w:val="20"/>
          <w:szCs w:val="20"/>
          <w:color w:val="auto"/>
        </w:rPr>
      </w:pPr>
    </w:p>
    <w:p>
      <w:pPr>
        <w:ind w:right="12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$5.2 million, or 114.2%, to $9.8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from $4.6 million for the year ended December 31, 2019. This increase was primarily driven by expansion of our sales and marketing personnel to support our expansion efforts. Total headcount within sales and marketing increased by 23 from December 31, 2019 to December 31, 2020.</w:t>
      </w:r>
    </w:p>
    <w:p>
      <w:pPr>
        <w:spacing w:after="0" w:line="171" w:lineRule="exact"/>
        <w:rPr>
          <w:sz w:val="20"/>
          <w:szCs w:val="20"/>
          <w:color w:val="auto"/>
        </w:rPr>
      </w:pPr>
    </w:p>
    <w:p>
      <w:pPr>
        <w:ind w:right="100" w:firstLine="5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$2.8 million, or 40.6%, to $9.8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2020 from $7.0 million for the year ended December 31, 2019. This increase was primarily driven by an increase in stock-based compensation expenses of $2.9 million, most of which were related to secondary transactions, expansion of our general and administrative personnel, as well as increased expense incurred in connection with supplementing our general and administrative function with third-party consultants. The increase in general and administrative expenses was partially offset by a reduction in travel and other expenses due to restrictions related to the COVID-19 pandemic. Total headcount within general and administrative increased by 3 from December 31, 2019 to December 31, 2020.</w:t>
      </w:r>
    </w:p>
    <w:p>
      <w:pPr>
        <w:spacing w:after="0" w:line="182" w:lineRule="exact"/>
        <w:rPr>
          <w:sz w:val="20"/>
          <w:szCs w:val="20"/>
          <w:color w:val="auto"/>
        </w:rPr>
      </w:pPr>
    </w:p>
    <w:p>
      <w:pPr>
        <w:jc w:val="both"/>
        <w:ind w:right="10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Expenses, Net. </w:t>
      </w:r>
      <w:r>
        <w:rPr>
          <w:rFonts w:ascii="Times New Roman" w:cs="Times New Roman" w:eastAsia="Times New Roman" w:hAnsi="Times New Roman"/>
          <w:sz w:val="18"/>
          <w:szCs w:val="18"/>
          <w:color w:val="auto"/>
        </w:rPr>
        <w:t>Financial expenses, net increased by $1.8 million, or 70%, to $4.3 million for the year ended December 31,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$2.6 million for the year ended December 31, 2019, primarily driven by revaluation of warrants to purchase convertible preferred shares of the Company, offset by fluctuations in exchange rates and income generated from deposits and marketable securities.</w:t>
      </w:r>
    </w:p>
    <w:p>
      <w:pPr>
        <w:spacing w:after="0" w:line="171" w:lineRule="exact"/>
        <w:rPr>
          <w:sz w:val="20"/>
          <w:szCs w:val="20"/>
          <w:color w:val="auto"/>
        </w:rPr>
      </w:pPr>
    </w:p>
    <w:p>
      <w:pPr>
        <w:ind w:right="4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increased by $126 thousand to $160 thousand for the year ended December 31, 2020 from $34 thousand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2019, primarily driven by an increase in deferred tax liability.</w:t>
      </w:r>
    </w:p>
    <w:p>
      <w:pPr>
        <w:spacing w:after="0" w:line="155" w:lineRule="exact"/>
        <w:rPr>
          <w:sz w:val="20"/>
          <w:szCs w:val="20"/>
          <w:color w:val="auto"/>
        </w:rPr>
      </w:pPr>
    </w:p>
    <w:p>
      <w:pPr>
        <w:ind w:left="660" w:right="8080" w:hanging="328"/>
        <w:spacing w:after="0" w:line="503" w:lineRule="auto"/>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b w:val="1"/>
          <w:bCs w:val="1"/>
          <w:i w:val="1"/>
          <w:iCs w:val="1"/>
          <w:color w:val="auto"/>
        </w:rPr>
        <w:t>Overview</w:t>
      </w:r>
    </w:p>
    <w:p>
      <w:pPr>
        <w:ind w:firstLine="551"/>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private placements of our equity securities. On May 14, 2021, we completed our initial public offering in which we sold 17,250,000 ordinary shares, which included 2,250,000 ordinary shares sold pursuant to the exercise by the underwriters of an over-allotment option to purchase additional shares, for proceeds of approximately $401.1 million, net of the underwriting discount and before deducting offering expenses. Our cash and cash equivalents, including short-term deposits and marketable securities, were $509 million as of December 31, 2021, prior to the closing of the Flow transaction.</w:t>
      </w:r>
    </w:p>
    <w:p>
      <w:pPr>
        <w:spacing w:after="0" w:line="183" w:lineRule="exact"/>
        <w:rPr>
          <w:sz w:val="20"/>
          <w:szCs w:val="20"/>
          <w:color w:val="auto"/>
        </w:rPr>
      </w:pPr>
    </w:p>
    <w:p>
      <w:pPr>
        <w:ind w:right="260" w:firstLine="551"/>
        <w:spacing w:after="0" w:line="261" w:lineRule="auto"/>
        <w:rPr>
          <w:sz w:val="20"/>
          <w:szCs w:val="20"/>
          <w:color w:val="auto"/>
        </w:rPr>
      </w:pPr>
      <w:r>
        <w:rPr>
          <w:rFonts w:ascii="Times New Roman" w:cs="Times New Roman" w:eastAsia="Times New Roman" w:hAnsi="Times New Roman"/>
          <w:sz w:val="18"/>
          <w:szCs w:val="18"/>
          <w:color w:val="auto"/>
        </w:rPr>
        <w:t>Our primary requirement for liquidity and capital resources is to finance working capital and capital expenditures, and for general corporate purposes. We believe that our sources of liquidity and capital resources will be sufficient to meet our business needs for at least the next 12 months. Our future financing requirements will depend on many factors including our growth rate, levels of revenue, the expansion of sales and marketing activities, market acceptance of our platform, and the timing and extent of spending to support expansion of our platform.</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8" w:name="page79"/>
    <w:bookmarkEnd w:id="78"/>
    <w:p>
      <w:pPr>
        <w:ind w:left="5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(24,046)</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(40,489)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59,360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398,607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Net cash provided by operating activities was $7 million for the year ended December 31, 2019, and was primarily comprised of net loss of</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$7.5 million and prepaid expenses and other assets of $3.9 million, offset by funds payable of $12.5 million, accounts payable of $4.1 million and accrued expenses and other liabilities of $4.2 million.</w:t>
      </w:r>
    </w:p>
    <w:p>
      <w:pPr>
        <w:spacing w:after="0" w:line="181" w:lineRule="exact"/>
        <w:rPr>
          <w:sz w:val="20"/>
          <w:szCs w:val="20"/>
          <w:color w:val="auto"/>
        </w:rPr>
      </w:pPr>
    </w:p>
    <w:p>
      <w:pPr>
        <w:ind w:right="300" w:firstLine="551"/>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$29.3 million for the year ended December 31, 2020, and was primarily comprised of net profit of $3.9 million, funds payable of $12.9 million, accounts payable of $10.0 million and accrued expenses and other liabilities of $18.9 million, offset by prepaid expenses and other assets of $12.3 million and funds receivable of $11.8 million.</w:t>
      </w:r>
    </w:p>
    <w:p>
      <w:pPr>
        <w:spacing w:after="0" w:line="176"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$15.7 million for the year ended December 31, 2021, and was primarily comprised of net loss of $74.9 million, commercial agreement asset amortization of $84.3 million, funds payable to customers of $23.1 million, accrued expenses and other liabilities of 17.9 million, offset by funds receivable of 29.3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580" w:firstLine="55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$0.5 million for the year ended December 31, 2019, and was primarily comprised of investments in property and equipment.</w:t>
      </w:r>
    </w:p>
    <w:p>
      <w:pPr>
        <w:spacing w:after="0" w:line="162" w:lineRule="exact"/>
        <w:rPr>
          <w:sz w:val="20"/>
          <w:szCs w:val="20"/>
          <w:color w:val="auto"/>
        </w:rPr>
      </w:pPr>
    </w:p>
    <w:p>
      <w:pPr>
        <w:ind w:firstLine="55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$24.0 million for the year ended December 31, 2020, and was primarily comprised of marketable securities and short term investments.</w:t>
      </w:r>
    </w:p>
    <w:p>
      <w:pPr>
        <w:spacing w:after="0" w:line="162" w:lineRule="exact"/>
        <w:rPr>
          <w:sz w:val="20"/>
          <w:szCs w:val="20"/>
          <w:color w:val="auto"/>
        </w:rPr>
      </w:pPr>
    </w:p>
    <w:p>
      <w:pPr>
        <w:ind w:right="780" w:firstLine="55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$40.5 million for the year ended December 31, 2021, and was primarily comprised of short-term investments of $117.2 million, offset by proceeds from short-term investments of $81.7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year ended December 31, 2019, and was primarily comprised of proceeds derived from the exercise of share options.</w:t>
      </w:r>
    </w:p>
    <w:p>
      <w:pPr>
        <w:spacing w:after="0" w:line="162" w:lineRule="exact"/>
        <w:rPr>
          <w:sz w:val="20"/>
          <w:szCs w:val="20"/>
          <w:color w:val="auto"/>
        </w:rPr>
      </w:pPr>
    </w:p>
    <w:p>
      <w:pPr>
        <w:ind w:right="320" w:firstLine="55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$59.4 million for the year ended December 31, 2020, and was primarily comprised of proceeds of preferred equity financing.</w:t>
      </w:r>
    </w:p>
    <w:p>
      <w:pPr>
        <w:spacing w:after="0" w:line="162" w:lineRule="exact"/>
        <w:rPr>
          <w:sz w:val="20"/>
          <w:szCs w:val="20"/>
          <w:color w:val="auto"/>
        </w:rPr>
      </w:pPr>
    </w:p>
    <w:p>
      <w:pPr>
        <w:ind w:firstLine="55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$398.6 million for the year ended December 31, 2021, primarily comprised of proceeds from issuance of ordinary shares in connection with our initial public offering (“IPO”) of $396.5 million, net of issuance costs.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firstLine="551"/>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audited consolidated financial statements included elsewhere in this Annual Report.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jc w:val="both"/>
        <w:ind w:right="320" w:firstLine="551"/>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are primarily located in Israel. Research and development expenses include personnel-related expenses associated with development personnel responsible for the design, development and testing of Company products, other development-related expenses, including cost of development environments and tools, and allocated overhead.</w:t>
      </w:r>
    </w:p>
    <w:p>
      <w:pPr>
        <w:spacing w:after="0" w:line="176"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2020, and 2019, research and development costs accounted for approximately 12.1%, 11.3%, and 18.3% of our total revenue, respectively. Research and development costs are expensed as incurred. We expect these costs to increase as we continue to hire new employees in order to support the growing scale and feature set of our platform.</w:t>
      </w:r>
    </w:p>
    <w:p>
      <w:pPr>
        <w:spacing w:after="0" w:line="176"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We believe continued investments in research and development are important to attain our strategic objectives and maintain our market leadership position. As such, we expect research and development costs to increase in absolute dollars, but this expense is expected to decrease as a percentage of total revenue.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A number of industry trends are reshaping the business environment in which we operate, leading to what we believe is a unique opportunity. Key market dynamics include:</w:t>
      </w:r>
    </w:p>
    <w:p>
      <w:pPr>
        <w:spacing w:after="0" w:line="160" w:lineRule="exact"/>
        <w:rPr>
          <w:sz w:val="20"/>
          <w:szCs w:val="20"/>
          <w:color w:val="auto"/>
        </w:rPr>
      </w:pPr>
    </w:p>
    <w:p>
      <w:pPr>
        <w:ind w:left="800" w:right="200" w:hanging="219"/>
        <w:spacing w:after="0" w:line="284" w:lineRule="auto"/>
        <w:tabs>
          <w:tab w:leader="none" w:pos="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 xml:space="preserve">Transformation of retail to be online-focused </w:t>
      </w:r>
      <w:r>
        <w:rPr>
          <w:rFonts w:ascii="Times New Roman" w:cs="Times New Roman" w:eastAsia="Times New Roman" w:hAnsi="Times New Roman"/>
          <w:sz w:val="18"/>
          <w:szCs w:val="18"/>
          <w:color w:val="auto"/>
        </w:rPr>
        <w:t>– While e-commerce may face some headwinds from the re-opening of physical stores,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is undergoing a shift towards e-commerce, with growth in online sales overtime, outpacing that of traditional retail.</w:t>
      </w:r>
    </w:p>
    <w:p>
      <w:pPr>
        <w:spacing w:after="0" w:line="158" w:lineRule="exact"/>
        <w:rPr>
          <w:sz w:val="20"/>
          <w:szCs w:val="20"/>
          <w:color w:val="auto"/>
        </w:rPr>
      </w:pPr>
    </w:p>
    <w:p>
      <w:pPr>
        <w:ind w:left="800" w:right="200" w:hanging="225"/>
        <w:spacing w:after="0" w:line="284"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Rise of cross-border e-commerce </w:t>
      </w:r>
      <w:r>
        <w:rPr>
          <w:rFonts w:ascii="Times New Roman" w:cs="Times New Roman" w:eastAsia="Times New Roman" w:hAnsi="Times New Roman"/>
          <w:sz w:val="18"/>
          <w:szCs w:val="18"/>
          <w:color w:val="auto"/>
        </w:rPr>
        <w:t>– Cross-border e-commerce growth rates are outpacing domestic growth rates, propelled by the rise of social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and global influencers, resulting in globalization of consumer tastes and increased cross-border demand.</w:t>
      </w:r>
    </w:p>
    <w:p>
      <w:pPr>
        <w:spacing w:after="0" w:line="158" w:lineRule="exact"/>
        <w:rPr>
          <w:rFonts w:ascii="Times New Roman" w:cs="Times New Roman" w:eastAsia="Times New Roman" w:hAnsi="Times New Roman"/>
          <w:sz w:val="18"/>
          <w:szCs w:val="18"/>
          <w:color w:val="auto"/>
        </w:rPr>
      </w:pPr>
    </w:p>
    <w:p>
      <w:pPr>
        <w:ind w:left="800" w:right="180" w:hanging="225"/>
        <w:spacing w:after="0" w:line="284"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D2C sales </w:t>
      </w:r>
      <w:r>
        <w:rPr>
          <w:rFonts w:ascii="Times New Roman" w:cs="Times New Roman" w:eastAsia="Times New Roman" w:hAnsi="Times New Roman"/>
          <w:sz w:val="18"/>
          <w:szCs w:val="18"/>
          <w:color w:val="auto"/>
        </w:rPr>
        <w:t>– e-commerce enables a stronger model of D2C sales for traditional and new merchants, which paves a strategic route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merchants to take ownership of shopper relationships worldwide.</w:t>
      </w:r>
    </w:p>
    <w:p>
      <w:pPr>
        <w:spacing w:after="0" w:line="158" w:lineRule="exact"/>
        <w:rPr>
          <w:rFonts w:ascii="Times New Roman" w:cs="Times New Roman" w:eastAsia="Times New Roman" w:hAnsi="Times New Roman"/>
          <w:sz w:val="18"/>
          <w:szCs w:val="18"/>
          <w:color w:val="auto"/>
        </w:rPr>
      </w:pPr>
    </w:p>
    <w:p>
      <w:pPr>
        <w:ind w:left="800" w:right="660" w:hanging="225"/>
        <w:spacing w:after="0" w:line="267"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Difficulty in executing on a Do-It-Yourself (“DIY”) strategy </w:t>
      </w:r>
      <w:r>
        <w:rPr>
          <w:rFonts w:ascii="Times New Roman" w:cs="Times New Roman" w:eastAsia="Times New Roman" w:hAnsi="Times New Roman"/>
          <w:sz w:val="18"/>
          <w:szCs w:val="18"/>
          <w:color w:val="auto"/>
        </w:rPr>
        <w:t>– Managing a D2C cross-border network is capital-intensive, requires deep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know-how, and a complex combination of features and capabilities to navigate across markets, further exacerbated by local on-going regulatory changes.</w:t>
      </w:r>
    </w:p>
    <w:p>
      <w:pPr>
        <w:spacing w:after="0" w:line="173" w:lineRule="exact"/>
        <w:rPr>
          <w:rFonts w:ascii="Times New Roman" w:cs="Times New Roman" w:eastAsia="Times New Roman" w:hAnsi="Times New Roman"/>
          <w:sz w:val="18"/>
          <w:szCs w:val="18"/>
          <w:color w:val="auto"/>
        </w:rPr>
      </w:pPr>
    </w:p>
    <w:p>
      <w:pPr>
        <w:jc w:val="both"/>
        <w:ind w:left="800" w:right="100" w:hanging="225"/>
        <w:spacing w:after="0" w:line="267"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Tailwinds from COVID-19 </w:t>
      </w:r>
      <w:r>
        <w:rPr>
          <w:rFonts w:ascii="Times New Roman" w:cs="Times New Roman" w:eastAsia="Times New Roman" w:hAnsi="Times New Roman"/>
          <w:sz w:val="18"/>
          <w:szCs w:val="18"/>
          <w:color w:val="auto"/>
        </w:rPr>
        <w:t>– The COVID-19 pandemic accelerated existing trends of shoppers moving online and merchants prioritizing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in general, these trends are expected to continue post-pandemic, although there may be some headwinds as physical stores re-open in key markets.</w:t>
      </w:r>
    </w:p>
    <w:p>
      <w:pPr>
        <w:spacing w:after="0" w:line="173" w:lineRule="exact"/>
        <w:rPr>
          <w:rFonts w:ascii="Times New Roman" w:cs="Times New Roman" w:eastAsia="Times New Roman" w:hAnsi="Times New Roman"/>
          <w:sz w:val="18"/>
          <w:szCs w:val="18"/>
          <w:color w:val="auto"/>
        </w:rPr>
      </w:pPr>
    </w:p>
    <w:p>
      <w:pPr>
        <w:ind w:left="800" w:right="180" w:hanging="225"/>
        <w:spacing w:after="0" w:line="267"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evolution and disruption </w:t>
      </w:r>
      <w:r>
        <w:rPr>
          <w:rFonts w:ascii="Times New Roman" w:cs="Times New Roman" w:eastAsia="Times New Roman" w:hAnsi="Times New Roman"/>
          <w:sz w:val="18"/>
          <w:szCs w:val="18"/>
          <w:color w:val="auto"/>
        </w:rPr>
        <w:t>– Supply chains and in particular cross border supply chains are developing and enabling more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over time. The COVID-19 pandemic has disrupted supply chains and weighed on e-commerce trade, the impact was significantly less evident in D2C channels, as merchants prioritize D2C over other channels.</w:t>
      </w:r>
    </w:p>
    <w:p>
      <w:pPr>
        <w:spacing w:after="0" w:line="173" w:lineRule="exact"/>
        <w:rPr>
          <w:rFonts w:ascii="Times New Roman" w:cs="Times New Roman" w:eastAsia="Times New Roman" w:hAnsi="Times New Roman"/>
          <w:sz w:val="18"/>
          <w:szCs w:val="18"/>
          <w:color w:val="auto"/>
        </w:rPr>
      </w:pPr>
    </w:p>
    <w:p>
      <w:pPr>
        <w:ind w:left="800" w:right="540" w:hanging="225"/>
        <w:spacing w:after="0" w:line="284"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macro-economics </w:t>
      </w:r>
      <w:r>
        <w:rPr>
          <w:rFonts w:ascii="Times New Roman" w:cs="Times New Roman" w:eastAsia="Times New Roman" w:hAnsi="Times New Roman"/>
          <w:sz w:val="18"/>
          <w:szCs w:val="18"/>
          <w:color w:val="auto"/>
        </w:rPr>
        <w:t>– Inflationary pressures and rising interest rates in key markets, coupled with potential impact of the belligerent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 in Ukraine may influence consumer sentiment and may have a negative effect on consumer spend</w:t>
      </w:r>
      <w:r>
        <w:rPr>
          <w:rFonts w:ascii="Times New Roman" w:cs="Times New Roman" w:eastAsia="Times New Roman" w:hAnsi="Times New Roman"/>
          <w:sz w:val="18"/>
          <w:szCs w:val="18"/>
          <w:i w:val="1"/>
          <w:iCs w:val="1"/>
          <w:color w:val="auto"/>
        </w:rPr>
        <w: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right="40" w:firstLine="643"/>
        <w:spacing w:after="0" w:line="266" w:lineRule="auto"/>
        <w:rPr>
          <w:sz w:val="20"/>
          <w:szCs w:val="20"/>
          <w:color w:val="auto"/>
        </w:rPr>
      </w:pPr>
      <w:r>
        <w:rPr>
          <w:rFonts w:ascii="Times New Roman" w:cs="Times New Roman" w:eastAsia="Times New Roman" w:hAnsi="Times New Roman"/>
          <w:sz w:val="18"/>
          <w:szCs w:val="18"/>
          <w:color w:val="auto"/>
        </w:rPr>
        <w:t>Other than as disclosed above and elsewhere in this Annual Report, we are not aware of any other trends, uncertainties, demands, commitments or events since December 31, 2021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76" w:lineRule="exact"/>
        <w:rPr>
          <w:sz w:val="20"/>
          <w:szCs w:val="20"/>
          <w:color w:val="auto"/>
        </w:rPr>
      </w:pPr>
    </w:p>
    <w:p>
      <w:pPr>
        <w:ind w:right="60" w:firstLine="687"/>
        <w:spacing w:after="0" w:line="282" w:lineRule="auto"/>
        <w:rPr>
          <w:sz w:val="20"/>
          <w:szCs w:val="20"/>
          <w:color w:val="auto"/>
        </w:rPr>
      </w:pPr>
      <w:r>
        <w:rPr>
          <w:rFonts w:ascii="Times New Roman" w:cs="Times New Roman" w:eastAsia="Times New Roman" w:hAnsi="Times New Roman"/>
          <w:sz w:val="18"/>
          <w:szCs w:val="18"/>
          <w:color w:val="auto"/>
        </w:rPr>
        <w:t>For additional trend information, see the Risk Factors described in Item 3.D above, the “Overview” and “Operating Results” sections of this Item 5 - “Operating and Financial Review and Prospects” and Item 4 - “Information on the Company” above.</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ind w:firstLine="684"/>
        <w:spacing w:after="0" w:line="258" w:lineRule="auto"/>
        <w:rPr>
          <w:sz w:val="20"/>
          <w:szCs w:val="20"/>
          <w:color w:val="auto"/>
        </w:rPr>
      </w:pPr>
      <w:r>
        <w:rPr>
          <w:rFonts w:ascii="Times New Roman" w:cs="Times New Roman" w:eastAsia="Times New Roman" w:hAnsi="Times New Roman"/>
          <w:sz w:val="18"/>
          <w:szCs w:val="18"/>
          <w:color w:val="auto"/>
        </w:rPr>
        <w:t>We have provided a summary of our significant accounting policies, estimates and judgments in our consolidated financial statements, which are included elsewhere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spacing w:after="0" w:line="183" w:lineRule="exact"/>
        <w:rPr>
          <w:sz w:val="20"/>
          <w:szCs w:val="20"/>
          <w:color w:val="auto"/>
        </w:rPr>
      </w:pPr>
    </w:p>
    <w:p>
      <w:pPr>
        <w:ind w:right="60" w:firstLine="641"/>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these financial statements requires us to make estimates and assumptions that amounts reported in our consolidated financial statements and accompanying notes. Our estimates are based on our historical experience and on various other factors that we believe are reasonable under the circumstances.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revenues are comprised of:</w:t>
      </w:r>
    </w:p>
    <w:p>
      <w:pPr>
        <w:spacing w:after="0" w:line="225" w:lineRule="exact"/>
        <w:rPr>
          <w:sz w:val="20"/>
          <w:szCs w:val="20"/>
          <w:color w:val="auto"/>
        </w:rPr>
      </w:pPr>
    </w:p>
    <w:p>
      <w:pPr>
        <w:ind w:left="1260" w:right="200" w:hanging="685"/>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–The Company provides merchants a cross-border e-commerce platform which enables to sell their products to consumers worldwide. Revenue is generated as a percentage of the value of transactions that flow through the Company’s platform.</w:t>
      </w:r>
    </w:p>
    <w:p>
      <w:pPr>
        <w:spacing w:after="0" w:line="161" w:lineRule="exact"/>
        <w:rPr>
          <w:rFonts w:ascii="Times New Roman" w:cs="Times New Roman" w:eastAsia="Times New Roman" w:hAnsi="Times New Roman"/>
          <w:sz w:val="18"/>
          <w:szCs w:val="18"/>
          <w:color w:val="auto"/>
        </w:rPr>
      </w:pPr>
    </w:p>
    <w:p>
      <w:pPr>
        <w:ind w:left="1260" w:right="120" w:hanging="685"/>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services – The Company offers shipping, handling, and other global delivery services in order to deliver merchants’ goods to consumers.</w:t>
      </w:r>
    </w:p>
    <w:p>
      <w:pPr>
        <w:spacing w:after="0" w:line="162"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18"/>
          <w:szCs w:val="18"/>
          <w:color w:val="auto"/>
        </w:rPr>
        <w:t>We recognize revenues in accordance with ASC No. 606 “Revenue from Contracts with Customers.” As such, we identify a contract with a customer, identify the performance obligations in the contract, determine the transaction price, allocate the transaction price to each performance obligation in the contract and recognize revenues when (or as) we satisfy a performance obligation. See Note 2 to our consolidated financial statements for further information.</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We account for share-based compensation in accordance with ASC No. 718, “Compensation - Stock Compensation” (“ASC No. 718”). ASC No. 718 requires companies to estimate the fair value of equity-based payment awards on the date of grant using an option-pricing model. The value of the award is recognized as an expense over the requisite service periods, which is generally the vesting period of the respective award, on a straight-line basis when the only condition to vesting is continued service. If vesting is subject to a performance condition, recognition is based on the implicit service period of the award. Expense for awards with performance conditions is estimated and adjusted on a quarterly basis based upon the assessment of the probability that the performance condition will be met.</w:t>
      </w:r>
    </w:p>
    <w:p>
      <w:pPr>
        <w:spacing w:after="0" w:line="187" w:lineRule="exact"/>
        <w:rPr>
          <w:sz w:val="20"/>
          <w:szCs w:val="20"/>
          <w:color w:val="auto"/>
        </w:rPr>
      </w:pPr>
    </w:p>
    <w:p>
      <w:pPr>
        <w:ind w:right="300" w:firstLine="551"/>
        <w:spacing w:after="0" w:line="282" w:lineRule="auto"/>
        <w:rPr>
          <w:sz w:val="20"/>
          <w:szCs w:val="20"/>
          <w:color w:val="auto"/>
        </w:rPr>
      </w:pPr>
      <w:r>
        <w:rPr>
          <w:rFonts w:ascii="Times New Roman" w:cs="Times New Roman" w:eastAsia="Times New Roman" w:hAnsi="Times New Roman"/>
          <w:sz w:val="18"/>
          <w:szCs w:val="18"/>
          <w:color w:val="auto"/>
        </w:rPr>
        <w:t>We selected the Black-Scholes-Merton option-pricing model as the most appropriate fair value method for our option awards. The fair value of Restricted Share Units (“RSUs”) without market conditions, is based on the closing market value of the underlying shares at the date of grant.</w:t>
      </w:r>
    </w:p>
    <w:p>
      <w:pPr>
        <w:spacing w:after="0" w:line="162"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The option-pricing models require a number of assumptions, of which the most significant are the expected share price volatility and the expected option term. We recognize forfeitures of equity-based awards as they occur.</w:t>
      </w:r>
    </w:p>
    <w:p>
      <w:pPr>
        <w:spacing w:after="0" w:line="162"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As there was no public market for our ordinary shares prior to the IPO, the fair value of our ordinary shares prior to the IPO was determined by our board of directors after considering contemporaneous third-party valuations and input from management. The valuations of the Company’s ordinary shares were determined in accordance with the guidelines outlined in the American Institute of Certified Public Accountants Practice Aid, Valuation of Privately-Held-Company Equity Securities Issued as Compensation. In the absence of a public trading market, the Company’s board of directors, with input from management, exercised significant judgment and considered various objective and subjective factors to determine the fair value of the Company’s ordinary shares as of the date of each option grant.</w:t>
      </w:r>
    </w:p>
    <w:p>
      <w:pPr>
        <w:spacing w:after="0" w:line="187" w:lineRule="exact"/>
        <w:rPr>
          <w:sz w:val="20"/>
          <w:szCs w:val="20"/>
          <w:color w:val="auto"/>
        </w:rPr>
      </w:pPr>
    </w:p>
    <w:p>
      <w:pPr>
        <w:ind w:right="40" w:firstLine="551"/>
        <w:spacing w:after="0" w:line="282" w:lineRule="auto"/>
        <w:rPr>
          <w:sz w:val="20"/>
          <w:szCs w:val="20"/>
          <w:color w:val="auto"/>
        </w:rPr>
      </w:pPr>
      <w:r>
        <w:rPr>
          <w:rFonts w:ascii="Times New Roman" w:cs="Times New Roman" w:eastAsia="Times New Roman" w:hAnsi="Times New Roman"/>
          <w:sz w:val="18"/>
          <w:szCs w:val="18"/>
          <w:color w:val="auto"/>
        </w:rPr>
        <w:t>These estimates involve uncertainties and the application of judgment. If circumstances are changed and different estimates are used, our expenses could materially differ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0" w:firstLine="551"/>
        <w:spacing w:after="0" w:line="282" w:lineRule="auto"/>
        <w:rPr>
          <w:sz w:val="20"/>
          <w:szCs w:val="20"/>
          <w:color w:val="auto"/>
        </w:rPr>
      </w:pPr>
      <w:r>
        <w:rPr>
          <w:rFonts w:ascii="Times New Roman" w:cs="Times New Roman" w:eastAsia="Times New Roman" w:hAnsi="Times New Roman"/>
          <w:sz w:val="18"/>
          <w:szCs w:val="18"/>
          <w:color w:val="auto"/>
        </w:rPr>
        <w:t>We calculate income tax provisions based on our results in each jurisdiction in which we operate. The calculation is based on estimated tax consequences and on assumptions as to our entitlement to various benefits under the applicable local tax laws.</w:t>
      </w:r>
    </w:p>
    <w:p>
      <w:pPr>
        <w:spacing w:after="0" w:line="162" w:lineRule="exact"/>
        <w:rPr>
          <w:sz w:val="20"/>
          <w:szCs w:val="20"/>
          <w:color w:val="auto"/>
        </w:rPr>
      </w:pPr>
    </w:p>
    <w:p>
      <w:pPr>
        <w:jc w:val="both"/>
        <w:ind w:firstLine="596"/>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We establish reserves for uncertain tax positions based on the evaluation of whether or not our uncertain tax position is “more likely than not” to be sustained upon examination based on our technical merits. We record estimated interest and penalties pertaining to our uncertain tax positions in the financial statements as income tax expense.</w:t>
      </w:r>
    </w:p>
    <w:p>
      <w:pPr>
        <w:spacing w:after="0" w:line="176" w:lineRule="exact"/>
        <w:rPr>
          <w:sz w:val="20"/>
          <w:szCs w:val="20"/>
          <w:color w:val="auto"/>
        </w:rPr>
      </w:pPr>
    </w:p>
    <w:p>
      <w:pPr>
        <w:ind w:right="60" w:firstLine="551"/>
        <w:spacing w:after="0" w:line="281" w:lineRule="auto"/>
        <w:rPr>
          <w:sz w:val="20"/>
          <w:szCs w:val="20"/>
          <w:color w:val="auto"/>
        </w:rPr>
      </w:pPr>
      <w:r>
        <w:rPr>
          <w:rFonts w:ascii="Times New Roman" w:cs="Times New Roman" w:eastAsia="Times New Roman" w:hAnsi="Times New Roman"/>
          <w:sz w:val="17"/>
          <w:szCs w:val="17"/>
          <w:color w:val="auto"/>
        </w:rPr>
        <w:t>Deferred tax assets are recognized for unused tax losses, unused tax credits, and deductible temporary differences to the extent that it is probable that future taxable profits will be available, against which they can be used. Deferred taxes for each jurisdiction are presented as a net asset or liability, net of any valuation allowances. We estimate the need for any valuation allowance by applying significant judgment and considering all available evidence including past results and future projections. We reassess our estimates periodically and record a partial or full valuation allowance release if needed.</w:t>
      </w:r>
    </w:p>
    <w:p>
      <w:pPr>
        <w:spacing w:after="0" w:line="164" w:lineRule="exact"/>
        <w:rPr>
          <w:sz w:val="20"/>
          <w:szCs w:val="20"/>
          <w:color w:val="auto"/>
        </w:rPr>
      </w:pPr>
    </w:p>
    <w:p>
      <w:pPr>
        <w:jc w:val="both"/>
        <w:ind w:right="40" w:firstLine="592"/>
        <w:spacing w:after="0" w:line="266" w:lineRule="auto"/>
        <w:rPr>
          <w:sz w:val="20"/>
          <w:szCs w:val="20"/>
          <w:color w:val="auto"/>
        </w:rPr>
      </w:pPr>
      <w:r>
        <w:rPr>
          <w:rFonts w:ascii="Times New Roman" w:cs="Times New Roman" w:eastAsia="Times New Roman" w:hAnsi="Times New Roman"/>
          <w:sz w:val="18"/>
          <w:szCs w:val="18"/>
          <w:color w:val="auto"/>
        </w:rPr>
        <w:t>We cannot assure that future final tax outcomes will not be different than our tax provisions and reserves for uncertain tax positions. To the extent that the final tax outcome of these matters is different than the amounts recorded, such differences will impact the provision for income taxes in the period in which such determination is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w:t>
      </w:r>
    </w:p>
    <w:p>
      <w:pPr>
        <w:spacing w:after="0" w:line="229" w:lineRule="exact"/>
        <w:rPr>
          <w:sz w:val="20"/>
          <w:szCs w:val="20"/>
          <w:color w:val="auto"/>
        </w:rPr>
      </w:pPr>
    </w:p>
    <w:p>
      <w:pPr>
        <w:ind w:right="140" w:firstLine="551"/>
        <w:spacing w:after="0" w:line="261" w:lineRule="auto"/>
        <w:rPr>
          <w:sz w:val="20"/>
          <w:szCs w:val="20"/>
          <w:color w:val="auto"/>
        </w:rPr>
      </w:pPr>
      <w:r>
        <w:rPr>
          <w:rFonts w:ascii="Times New Roman" w:cs="Times New Roman" w:eastAsia="Times New Roman" w:hAnsi="Times New Roman"/>
          <w:sz w:val="18"/>
          <w:szCs w:val="18"/>
          <w:color w:val="auto"/>
        </w:rPr>
        <w:t>During the year ended December 2021, we recognized an asset in connection with a commercial agreement with Shopify Inc., in which the Company granted warrants in exchange for the benefit of being an exclusive third-party provider of an end-to-end cross-border solution. This asset represents the probable future economic benefit to be realized over a four-year expected benefit period and is valued based on the fair value of the vested warrants on the grant date.</w:t>
      </w:r>
    </w:p>
    <w:p>
      <w:pPr>
        <w:spacing w:after="0" w:line="180" w:lineRule="exact"/>
        <w:rPr>
          <w:sz w:val="20"/>
          <w:szCs w:val="20"/>
          <w:color w:val="auto"/>
        </w:rPr>
      </w:pPr>
    </w:p>
    <w:p>
      <w:pPr>
        <w:ind w:right="180" w:firstLine="551"/>
        <w:spacing w:after="0" w:line="282" w:lineRule="auto"/>
        <w:rPr>
          <w:sz w:val="20"/>
          <w:szCs w:val="20"/>
          <w:color w:val="auto"/>
        </w:rPr>
      </w:pPr>
      <w:r>
        <w:rPr>
          <w:rFonts w:ascii="Times New Roman" w:cs="Times New Roman" w:eastAsia="Times New Roman" w:hAnsi="Times New Roman"/>
          <w:sz w:val="18"/>
          <w:szCs w:val="18"/>
          <w:color w:val="auto"/>
        </w:rPr>
        <w:t>We record amortization expenses related to the commercial agreement asset over a four-year period in the Company’s consolidated statements of operations and comprehensive loss as a component of sales and marketing.</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Fluctuation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Item 3.D. “Risk Factors— We are exposed to fluctuations in currency exchange rates, which could negatively affect our financial condition and results of operations.” and Item 11. “Quantitative and Qualitative Disclosures About Market Risk-Foreign Currency Exchange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and position of each of our executive officers and directors as of March 21,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60" w:type="dxa"/>
            <w:vAlign w:val="bottom"/>
          </w:tcPr>
          <w:p>
            <w:pPr>
              <w:spacing w:after="0"/>
              <w:rPr>
                <w:sz w:val="21"/>
                <w:szCs w:val="21"/>
                <w:color w:val="auto"/>
              </w:rPr>
            </w:pPr>
          </w:p>
        </w:tc>
        <w:tc>
          <w:tcPr>
            <w:tcW w:w="50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Amir Schlachet</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Co-Founder, Chief Executive Officer, 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Shahar Tamari</w:t>
            </w: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50</w:t>
            </w:r>
          </w:p>
        </w:tc>
        <w:tc>
          <w:tcPr>
            <w:tcW w:w="5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Co-Founder, Chief Operations Officer, 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Nir Debbi</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48</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Co-Founder, President, 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Ofer Koren</w:t>
            </w: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51</w:t>
            </w:r>
          </w:p>
        </w:tc>
        <w:tc>
          <w:tcPr>
            <w:tcW w:w="5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Eden Zaharoni</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Fridman</w:t>
            </w: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48</w:t>
            </w:r>
          </w:p>
        </w:tc>
        <w:tc>
          <w:tcPr>
            <w:tcW w:w="5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Non-Executive Directors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Thomas Studd</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41</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Miguel Angel Parra</w:t>
            </w: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5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Tzvia Broida</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53</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 Bakst</w:t>
            </w: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61</w:t>
            </w:r>
          </w:p>
        </w:tc>
        <w:tc>
          <w:tcPr>
            <w:tcW w:w="5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Iris Epple-Righi</w:t>
            </w:r>
          </w:p>
        </w:tc>
        <w:tc>
          <w:tcPr>
            <w:tcW w:w="6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57</w:t>
            </w:r>
          </w:p>
        </w:tc>
        <w:tc>
          <w:tcPr>
            <w:tcW w:w="5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Amir Schlachet </w:t>
      </w:r>
      <w:r>
        <w:rPr>
          <w:rFonts w:ascii="Times New Roman" w:cs="Times New Roman" w:eastAsia="Times New Roman" w:hAnsi="Times New Roman"/>
          <w:sz w:val="18"/>
          <w:szCs w:val="18"/>
          <w:color w:val="auto"/>
        </w:rPr>
        <w:t>is our Co-Founder and has served as our Chief Executive Officer since May 1, 2013. Mr. Schlachet has also served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since February 20, 2013. Prior to co-founding Global-e, Mr. Schlachet served as SVP and strategic advisor to the chief executive officer of Bank Hapoalim, after serving several years as a management consultant with McKinsey &amp; Company. Mr. Schlachet holds an M.B.A. from INSEAD, an M.Sc. in Electrical Engineering from Tel-Aviv University and a B.Sc. in Mathematics, Physics and Computer Science from the Hebrew University of Jerusalem.</w:t>
      </w:r>
    </w:p>
    <w:p>
      <w:pPr>
        <w:spacing w:after="0" w:line="183" w:lineRule="exact"/>
        <w:rPr>
          <w:sz w:val="20"/>
          <w:szCs w:val="20"/>
          <w:color w:val="auto"/>
        </w:rPr>
      </w:pPr>
    </w:p>
    <w:p>
      <w:pPr>
        <w:ind w:right="260"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Shahar Tamari </w:t>
      </w:r>
      <w:r>
        <w:rPr>
          <w:rFonts w:ascii="Times New Roman" w:cs="Times New Roman" w:eastAsia="Times New Roman" w:hAnsi="Times New Roman"/>
          <w:sz w:val="18"/>
          <w:szCs w:val="18"/>
          <w:color w:val="auto"/>
        </w:rPr>
        <w:t>is our Co-Founder and has served as our Chief Operations Officer since May 1, 2013. Mr. Tamari has also served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since February 21, 2013. Mr. Tamari previously served as the VP and Head of e-payments for 888 Holdings from February 2009 until May 2013. Prior to that, he served as Head of e-Banking Business Development with Bank Hapoalim for seven years, from October 2001 until January 2009. Mr. Tamari received an M.Sc. in Technology Management and Information Systems from Tel Aviv University, and a B.A. in Business Administration, from the College of Management Academic Studies.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ind w:right="4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Nir Debbi </w:t>
      </w:r>
      <w:r>
        <w:rPr>
          <w:rFonts w:ascii="Times New Roman" w:cs="Times New Roman" w:eastAsia="Times New Roman" w:hAnsi="Times New Roman"/>
          <w:sz w:val="18"/>
          <w:szCs w:val="18"/>
          <w:color w:val="auto"/>
        </w:rPr>
        <w:t>is our Co-Founder and has served as our President since July 1, 2021 and previously served as our Chief Marketing Officer from May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to July 1, 2021. Mr. Debbi has also served as member of our board of directors since February 20, 2013. Prior to co-founding Global-e, Mr. Debbi served as SVP and Head of Strategy and Business Development at Bank Hapoalim, following a term as Head of Retail Strategy. Mr. Debbi holds an M.B.A and a B.Sc. in Economics, both from Tel-Aviv University.</w:t>
      </w:r>
    </w:p>
    <w:p>
      <w:pPr>
        <w:spacing w:after="0" w:line="180"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Ofer Koren </w:t>
      </w:r>
      <w:r>
        <w:rPr>
          <w:rFonts w:ascii="Times New Roman" w:cs="Times New Roman" w:eastAsia="Times New Roman" w:hAnsi="Times New Roman"/>
          <w:sz w:val="18"/>
          <w:szCs w:val="18"/>
          <w:color w:val="auto"/>
        </w:rPr>
        <w:t>has served as our Chief Financial Officer since August 1, 2020. Prior to joining us, Mr. Koren served as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deputy chief executive officer at Bank Hapoalim as well as in various strategy and business development roles. Prior to that, Mr. Koren was a partner with Deloitte-Monitor Management Consulting (previously Trigger-Foresight). Mr. Koren holds an M.B.A. from Tel-Aviv University and a B.Sc. in Economics from Haifa University.</w:t>
      </w:r>
    </w:p>
    <w:p>
      <w:pPr>
        <w:spacing w:after="0" w:line="180"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Eden Zaharoni </w:t>
      </w:r>
      <w:r>
        <w:rPr>
          <w:rFonts w:ascii="Times New Roman" w:cs="Times New Roman" w:eastAsia="Times New Roman" w:hAnsi="Times New Roman"/>
          <w:sz w:val="18"/>
          <w:szCs w:val="18"/>
          <w:color w:val="auto"/>
        </w:rPr>
        <w:t>has served as our Chief Technology Officer since August 11, 2013 and as our Vice President, Research &amp; Development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2013. Mr. Zaharoni served as the Chief Technology Officer of Snoox, a platform that was founded by BBDO group, from March 2012 until August 2013. Prior to that, he served as the Vice President, Research &amp; Development of Cent2Cent from January 2011 to February 2012 and held several management positions at 888 Holdings.</w:t>
      </w:r>
    </w:p>
    <w:p>
      <w:pPr>
        <w:spacing w:after="0" w:line="180" w:lineRule="exact"/>
        <w:rPr>
          <w:sz w:val="20"/>
          <w:szCs w:val="20"/>
          <w:color w:val="auto"/>
        </w:rPr>
      </w:pPr>
    </w:p>
    <w:p>
      <w:pPr>
        <w:jc w:val="both"/>
        <w:ind w:right="22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Ran Fridman </w:t>
      </w:r>
      <w:r>
        <w:rPr>
          <w:rFonts w:ascii="Times New Roman" w:cs="Times New Roman" w:eastAsia="Times New Roman" w:hAnsi="Times New Roman"/>
          <w:sz w:val="18"/>
          <w:szCs w:val="18"/>
          <w:color w:val="auto"/>
        </w:rPr>
        <w:t>has served as our Chief Revenue Officer since July 1, 2021. Prior to joining us, Mr. Fridman served as the global VP sales of Allot.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that, he served in multiple global sales positions, including at Nokia, where he held numerous roles within senior global management, sales, and sales support.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227"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Thomas Studd </w:t>
      </w:r>
      <w:r>
        <w:rPr>
          <w:rFonts w:ascii="Times New Roman" w:cs="Times New Roman" w:eastAsia="Times New Roman" w:hAnsi="Times New Roman"/>
          <w:sz w:val="18"/>
          <w:szCs w:val="18"/>
          <w:color w:val="auto"/>
        </w:rPr>
        <w:t>has served as the representative of Vitruvian Directors I Limited on our board of directors since April 30, 2020. Mr. Studd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at Vitruvian Partners LLP since 2016, prior to which he served as Principal from 2013 to 2016 and Vice President from 2009 to 2013. Mr. Studd has served as a director of Carwow Ltd. since 2017, and previously served as the representative of Vitruvian Directors I Limited on the Vestiaire Collective SA from 2016 to 2017, JacTravel Group from 2014 to 2017 and Lausanne Toa Co Ltd. from 2011 to 2016. Mr. Studd holds a MPhys in Physics from the University of Oxford and an M.B.A. from INSEAD.</w:t>
      </w:r>
    </w:p>
    <w:p>
      <w:pPr>
        <w:spacing w:after="0" w:line="183" w:lineRule="exact"/>
        <w:rPr>
          <w:sz w:val="20"/>
          <w:szCs w:val="20"/>
          <w:color w:val="auto"/>
        </w:rPr>
      </w:pPr>
    </w:p>
    <w:p>
      <w:pPr>
        <w:ind w:right="20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Miguel Angel Parra </w:t>
      </w:r>
      <w:r>
        <w:rPr>
          <w:rFonts w:ascii="Times New Roman" w:cs="Times New Roman" w:eastAsia="Times New Roman" w:hAnsi="Times New Roman"/>
          <w:sz w:val="18"/>
          <w:szCs w:val="18"/>
          <w:color w:val="auto"/>
        </w:rPr>
        <w:t>has served as a member of our board of directors since January 1, 2020. Mr. Parra currently serves as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DHL Express Americas since 2014, prior to which he served in numerous management positions, since 1997. Prior to that, from 1986 to 1997, Mr. Parra served as a general manager of TNT Express Worldwide. Mr. Parra holds an associate’s degree in Business from Miami-Dade Community College and is a graduate of the Advanced Management Program of Fuqua School of Business Duke University.</w:t>
      </w:r>
    </w:p>
    <w:p>
      <w:pPr>
        <w:spacing w:after="0" w:line="180" w:lineRule="exact"/>
        <w:rPr>
          <w:sz w:val="20"/>
          <w:szCs w:val="20"/>
          <w:color w:val="auto"/>
        </w:rPr>
      </w:pPr>
    </w:p>
    <w:p>
      <w:pPr>
        <w:ind w:right="140" w:firstLine="5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Tzvia Broida </w:t>
      </w:r>
      <w:r>
        <w:rPr>
          <w:rFonts w:ascii="Times New Roman" w:cs="Times New Roman" w:eastAsia="Times New Roman" w:hAnsi="Times New Roman"/>
          <w:sz w:val="18"/>
          <w:szCs w:val="18"/>
          <w:color w:val="auto"/>
        </w:rPr>
        <w:t>has served as a member of our board of directors since May 14, 2021. Since December 2013, Ms. Broida has served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as chairperson of the audit committee of Jacada Ltd. (JCDAF). Since 2021, Ms. Broida has also served as the Chief Financial Officer of NeuroBlade Ltd. Before joining NeuroBlade, Ms. Broida served as the Chief Financial Officer of Sensible Medical Innovations Ltd from 2011 to 2021. Prior to that, Ms. Broida served in various positions at Jacada Ltd, including as Chief Financial Officer from 2005 to 2009, and before that she worked as an accountant at Yehuda Ehrlich &amp; Partners and Vexler, Kodenzick &amp; Partners. Ms. Broida received a B.A. in Accounting &amp; Economics from the Hebrew University of Jerusalem.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Anna Bakst </w:t>
      </w:r>
      <w:r>
        <w:rPr>
          <w:rFonts w:ascii="Times New Roman" w:cs="Times New Roman" w:eastAsia="Times New Roman" w:hAnsi="Times New Roman"/>
          <w:sz w:val="18"/>
          <w:szCs w:val="18"/>
          <w:color w:val="auto"/>
        </w:rPr>
        <w:t>has served as a member of our board of directors since May 14, 2021. From 2018 to 2019, Ms. Bakst served as Brand President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of Kate Spade. Before that, Ms. Bakst served as Group President at Michael Kors from 2003 to 2017. Prior to Michael Kors,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Bakst served in various positions at Donna Karan International from 1990 to 2001. Ms. Bakst received an M.B.A from Stanford University and a 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Industrial Engineering from Purdue University. Ms. Bakst is also a Visiting Associate Professor at Pratt Institute’s Design Management Program.</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4" w:name="page85"/>
    <w:bookmarkEnd w:id="84"/>
    <w:p>
      <w:pPr>
        <w:ind w:right="10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Iris Epple-Righi </w:t>
      </w:r>
      <w:r>
        <w:rPr>
          <w:rFonts w:ascii="Times New Roman" w:cs="Times New Roman" w:eastAsia="Times New Roman" w:hAnsi="Times New Roman"/>
          <w:sz w:val="18"/>
          <w:szCs w:val="18"/>
          <w:color w:val="auto"/>
        </w:rPr>
        <w:t>has served as a member of our board of directors since May 14, 2021. Ms. Epple-Righi has served on the board of directors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the working committee of Hugo Boss since 2020. From 2016 to 2019, Ms. Epple-Righi served as Chief Executive Officer of Escada SE. Before that, Ms. Epple-Righi served in various positions in Calvin Klein from 2013 to 2016 and Tommy Hilfiger from 2003 to 2013. Ms. Epple-Righi received an M.B.A from the University of Tübingen.</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tcBorders>
          </w:tcPr>
          <w:p>
            <w:pPr>
              <w:spacing w:after="0"/>
              <w:rPr>
                <w:sz w:val="23"/>
                <w:szCs w:val="23"/>
                <w:color w:val="auto"/>
              </w:rPr>
            </w:pPr>
          </w:p>
        </w:tc>
        <w:tc>
          <w:tcPr>
            <w:tcW w:w="28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14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4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Israel</w:t>
            </w:r>
          </w:p>
        </w:tc>
        <w:tc>
          <w:tcPr>
            <w:tcW w:w="12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4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Foreign Private Issuer</w:t>
            </w:r>
          </w:p>
        </w:tc>
        <w:tc>
          <w:tcPr>
            <w:tcW w:w="11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2"/>
              </w:rPr>
              <w:t>Yes</w:t>
            </w:r>
          </w:p>
        </w:tc>
        <w:tc>
          <w:tcPr>
            <w:tcW w:w="12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4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No</w:t>
            </w:r>
          </w:p>
        </w:tc>
        <w:tc>
          <w:tcPr>
            <w:tcW w:w="12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4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1"/>
        </w:trPr>
        <w:tc>
          <w:tcPr>
            <w:tcW w:w="4520" w:type="dxa"/>
            <w:vAlign w:val="bottom"/>
            <w:tcBorders>
              <w:left w:val="single" w:sz="8" w:color="auto"/>
            </w:tcBorders>
            <w:shd w:val="clear" w:color="auto" w:fill="D9D9D9"/>
          </w:tcPr>
          <w:p>
            <w:pPr>
              <w:spacing w:after="0"/>
              <w:rPr>
                <w:sz w:val="19"/>
                <w:szCs w:val="19"/>
                <w:color w:val="auto"/>
              </w:rPr>
            </w:pPr>
          </w:p>
        </w:tc>
        <w:tc>
          <w:tcPr>
            <w:tcW w:w="1180" w:type="dxa"/>
            <w:vAlign w:val="bottom"/>
            <w:tcBorders>
              <w:right w:val="single" w:sz="8" w:color="auto"/>
            </w:tcBorders>
            <w:shd w:val="clear" w:color="auto" w:fill="D9D9D9"/>
          </w:tcPr>
          <w:p>
            <w:pPr>
              <w:spacing w:after="0"/>
              <w:rPr>
                <w:sz w:val="19"/>
                <w:szCs w:val="19"/>
                <w:color w:val="auto"/>
              </w:rPr>
            </w:pPr>
          </w:p>
        </w:tc>
        <w:tc>
          <w:tcPr>
            <w:tcW w:w="16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4520" w:type="dxa"/>
            <w:vAlign w:val="bottom"/>
            <w:tcBorders>
              <w:left w:val="single" w:sz="8" w:color="auto"/>
            </w:tcBorders>
            <w:shd w:val="clear" w:color="auto" w:fill="D9D9D9"/>
          </w:tcPr>
          <w:p>
            <w:pPr>
              <w:spacing w:after="0"/>
              <w:rPr>
                <w:sz w:val="18"/>
                <w:szCs w:val="18"/>
                <w:color w:val="auto"/>
              </w:rPr>
            </w:pPr>
          </w:p>
        </w:tc>
        <w:tc>
          <w:tcPr>
            <w:tcW w:w="118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77"/>
        </w:trPr>
        <w:tc>
          <w:tcPr>
            <w:tcW w:w="4520" w:type="dxa"/>
            <w:vAlign w:val="bottom"/>
            <w:tcBorders>
              <w:left w:val="single" w:sz="8" w:color="auto"/>
              <w:bottom w:val="single" w:sz="8" w:color="D9D9D9"/>
            </w:tcBorders>
            <w:shd w:val="clear" w:color="auto" w:fill="D9D9D9"/>
          </w:tcPr>
          <w:p>
            <w:pPr>
              <w:spacing w:after="0"/>
              <w:rPr>
                <w:sz w:val="23"/>
                <w:szCs w:val="23"/>
                <w:color w:val="auto"/>
              </w:rPr>
            </w:pPr>
          </w:p>
        </w:tc>
        <w:tc>
          <w:tcPr>
            <w:tcW w:w="1180" w:type="dxa"/>
            <w:vAlign w:val="bottom"/>
            <w:tcBorders>
              <w:bottom w:val="single" w:sz="8" w:color="D9D9D9"/>
              <w:right w:val="single" w:sz="8" w:color="auto"/>
            </w:tcBorders>
            <w:shd w:val="clear" w:color="auto" w:fill="D9D9D9"/>
          </w:tcPr>
          <w:p>
            <w:pPr>
              <w:spacing w:after="0"/>
              <w:rPr>
                <w:sz w:val="23"/>
                <w:szCs w:val="23"/>
                <w:color w:val="auto"/>
              </w:rPr>
            </w:pPr>
          </w:p>
        </w:tc>
        <w:tc>
          <w:tcPr>
            <w:tcW w:w="1680" w:type="dxa"/>
            <w:vAlign w:val="bottom"/>
            <w:tcBorders>
              <w:bottom w:val="single" w:sz="8" w:color="D9D9D9"/>
              <w:right w:val="single" w:sz="8" w:color="auto"/>
            </w:tcBorders>
            <w:shd w:val="clear" w:color="auto" w:fill="D9D9D9"/>
          </w:tcPr>
          <w:p>
            <w:pPr>
              <w:spacing w:after="0"/>
              <w:rPr>
                <w:sz w:val="23"/>
                <w:szCs w:val="23"/>
                <w:color w:val="auto"/>
              </w:rPr>
            </w:pPr>
          </w:p>
        </w:tc>
        <w:tc>
          <w:tcPr>
            <w:tcW w:w="1460" w:type="dxa"/>
            <w:vAlign w:val="bottom"/>
            <w:tcBorders>
              <w:bottom w:val="single" w:sz="8" w:color="D9D9D9"/>
              <w:right w:val="single" w:sz="8" w:color="auto"/>
            </w:tcBorders>
            <w:shd w:val="clear" w:color="auto" w:fill="D9D9D9"/>
          </w:tcPr>
          <w:p>
            <w:pPr>
              <w:spacing w:after="0"/>
              <w:rPr>
                <w:sz w:val="23"/>
                <w:szCs w:val="23"/>
                <w:color w:val="auto"/>
              </w:rPr>
            </w:pPr>
          </w:p>
        </w:tc>
        <w:tc>
          <w:tcPr>
            <w:tcW w:w="1220" w:type="dxa"/>
            <w:vAlign w:val="bottom"/>
            <w:tcBorders>
              <w:bottom w:val="single" w:sz="8" w:color="D9D9D9"/>
              <w:right w:val="single" w:sz="8" w:color="auto"/>
            </w:tcBorders>
            <w:shd w:val="clear" w:color="auto" w:fill="D9D9D9"/>
          </w:tcPr>
          <w:p>
            <w:pPr>
              <w:spacing w:after="0"/>
              <w:rPr>
                <w:sz w:val="23"/>
                <w:szCs w:val="23"/>
                <w:color w:val="auto"/>
              </w:rPr>
            </w:pPr>
          </w:p>
        </w:tc>
        <w:tc>
          <w:tcPr>
            <w:tcW w:w="11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82"/>
        </w:trPr>
        <w:tc>
          <w:tcPr>
            <w:tcW w:w="4520" w:type="dxa"/>
            <w:vAlign w:val="bottom"/>
            <w:tcBorders>
              <w:top w:val="single" w:sz="8" w:color="auto"/>
              <w:left w:val="single" w:sz="8" w:color="auto"/>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68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46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22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1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r>
      <w:tr>
        <w:trPr>
          <w:trHeight w:val="243"/>
        </w:trPr>
        <w:tc>
          <w:tcPr>
            <w:tcW w:w="45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Borders>
              <w:top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82"/>
        </w:trPr>
        <w:tc>
          <w:tcPr>
            <w:tcW w:w="452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80" w:type="dxa"/>
            <w:vAlign w:val="bottom"/>
            <w:tcBorders>
              <w:bottom w:val="single" w:sz="8" w:color="D9D9D9"/>
              <w:right w:val="single" w:sz="8" w:color="auto"/>
            </w:tcBorders>
            <w:shd w:val="clear" w:color="auto" w:fill="D9D9D9"/>
          </w:tcPr>
          <w:p>
            <w:pPr>
              <w:spacing w:after="0"/>
              <w:rPr>
                <w:sz w:val="24"/>
                <w:szCs w:val="24"/>
                <w:color w:val="auto"/>
              </w:rPr>
            </w:pPr>
          </w:p>
        </w:tc>
        <w:tc>
          <w:tcPr>
            <w:tcW w:w="1680" w:type="dxa"/>
            <w:vAlign w:val="bottom"/>
            <w:tcBorders>
              <w:bottom w:val="single" w:sz="8" w:color="D9D9D9"/>
              <w:right w:val="single" w:sz="8" w:color="D9D9D9"/>
            </w:tcBorders>
            <w:shd w:val="clear" w:color="auto" w:fill="D9D9D9"/>
          </w:tcPr>
          <w:p>
            <w:pPr>
              <w:spacing w:after="0"/>
              <w:rPr>
                <w:sz w:val="24"/>
                <w:szCs w:val="24"/>
                <w:color w:val="auto"/>
              </w:rPr>
            </w:pPr>
          </w:p>
        </w:tc>
        <w:tc>
          <w:tcPr>
            <w:tcW w:w="1460" w:type="dxa"/>
            <w:vAlign w:val="bottom"/>
            <w:tcBorders>
              <w:bottom w:val="single" w:sz="8" w:color="D9D9D9"/>
              <w:right w:val="single" w:sz="8" w:color="D9D9D9"/>
            </w:tcBorders>
            <w:shd w:val="clear" w:color="auto" w:fill="D9D9D9"/>
          </w:tcPr>
          <w:p>
            <w:pPr>
              <w:spacing w:after="0"/>
              <w:rPr>
                <w:sz w:val="24"/>
                <w:szCs w:val="24"/>
                <w:color w:val="auto"/>
              </w:rPr>
            </w:pPr>
          </w:p>
        </w:tc>
        <w:tc>
          <w:tcPr>
            <w:tcW w:w="1220" w:type="dxa"/>
            <w:vAlign w:val="bottom"/>
            <w:tcBorders>
              <w:bottom w:val="single" w:sz="8" w:color="D9D9D9"/>
              <w:right w:val="single" w:sz="8" w:color="D9D9D9"/>
            </w:tcBorders>
            <w:shd w:val="clear" w:color="auto" w:fill="D9D9D9"/>
          </w:tcPr>
          <w:p>
            <w:pPr>
              <w:spacing w:after="0"/>
              <w:rPr>
                <w:sz w:val="24"/>
                <w:szCs w:val="24"/>
                <w:color w:val="auto"/>
              </w:rPr>
            </w:pPr>
          </w:p>
        </w:tc>
        <w:tc>
          <w:tcPr>
            <w:tcW w:w="118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43"/>
        </w:trPr>
        <w:tc>
          <w:tcPr>
            <w:tcW w:w="45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18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top w:val="single" w:sz="8" w:color="auto"/>
            </w:tcBorders>
          </w:tcPr>
          <w:p>
            <w:pPr>
              <w:spacing w:after="0"/>
              <w:rPr>
                <w:sz w:val="21"/>
                <w:szCs w:val="21"/>
                <w:color w:val="auto"/>
              </w:rPr>
            </w:pPr>
          </w:p>
        </w:tc>
        <w:tc>
          <w:tcPr>
            <w:tcW w:w="1180" w:type="dxa"/>
            <w:vAlign w:val="bottom"/>
            <w:tcBorders>
              <w:top w:val="single" w:sz="8" w:color="auto"/>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4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11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432"/>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  Compensation</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ind w:right="80" w:firstLine="551"/>
        <w:spacing w:after="0" w:line="258" w:lineRule="auto"/>
        <w:rPr>
          <w:sz w:val="20"/>
          <w:szCs w:val="20"/>
          <w:color w:val="auto"/>
        </w:rPr>
      </w:pPr>
      <w:r>
        <w:rPr>
          <w:rFonts w:ascii="Times New Roman" w:cs="Times New Roman" w:eastAsia="Times New Roman" w:hAnsi="Times New Roman"/>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83" w:lineRule="exact"/>
        <w:rPr>
          <w:sz w:val="20"/>
          <w:szCs w:val="20"/>
          <w:color w:val="auto"/>
        </w:rPr>
      </w:pPr>
    </w:p>
    <w:p>
      <w:pPr>
        <w:ind w:left="800" w:right="100" w:hanging="225"/>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61" w:lineRule="exact"/>
        <w:rPr>
          <w:rFonts w:ascii="Times New Roman" w:cs="Times New Roman" w:eastAsia="Times New Roman" w:hAnsi="Times New Roman"/>
          <w:sz w:val="18"/>
          <w:szCs w:val="18"/>
          <w:color w:val="auto"/>
        </w:rPr>
      </w:pPr>
    </w:p>
    <w:p>
      <w:pPr>
        <w:ind w:left="800" w:right="20" w:hanging="225"/>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other than the Chief Executive Officer</w:t>
      </w:r>
    </w:p>
    <w:p>
      <w:pPr>
        <w:spacing w:after="0" w:line="229" w:lineRule="exact"/>
        <w:rPr>
          <w:sz w:val="20"/>
          <w:szCs w:val="20"/>
          <w:color w:val="auto"/>
        </w:rPr>
      </w:pPr>
    </w:p>
    <w:p>
      <w:pPr>
        <w:ind w:right="80" w:firstLine="551"/>
        <w:spacing w:after="0" w:line="256" w:lineRule="auto"/>
        <w:rPr>
          <w:sz w:val="20"/>
          <w:szCs w:val="20"/>
          <w:color w:val="auto"/>
        </w:rPr>
      </w:pPr>
      <w:r>
        <w:rPr>
          <w:rFonts w:ascii="Times New Roman" w:cs="Times New Roman" w:eastAsia="Times New Roman" w:hAnsi="Times New Roman"/>
          <w:sz w:val="18"/>
          <w:szCs w:val="18"/>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5" w:name="page86"/>
    <w:bookmarkEnd w:id="85"/>
    <w:p>
      <w:pPr>
        <w:ind w:firstLine="551"/>
        <w:spacing w:after="0" w:line="255" w:lineRule="auto"/>
        <w:rPr>
          <w:sz w:val="20"/>
          <w:szCs w:val="20"/>
          <w:color w:val="auto"/>
        </w:rPr>
      </w:pPr>
      <w:r>
        <w:rPr>
          <w:rFonts w:ascii="Times New Roman" w:cs="Times New Roman" w:eastAsia="Times New Roman" w:hAnsi="Times New Roman"/>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29" w:lineRule="exact"/>
        <w:rPr>
          <w:sz w:val="20"/>
          <w:szCs w:val="20"/>
          <w:color w:val="auto"/>
        </w:rPr>
      </w:pPr>
    </w:p>
    <w:p>
      <w:pPr>
        <w:ind w:right="20" w:firstLine="551"/>
        <w:spacing w:after="0" w:line="268" w:lineRule="auto"/>
        <w:rPr>
          <w:sz w:val="20"/>
          <w:szCs w:val="20"/>
          <w:color w:val="auto"/>
        </w:rPr>
      </w:pPr>
      <w:r>
        <w:rPr>
          <w:rFonts w:ascii="Times New Roman" w:cs="Times New Roman" w:eastAsia="Times New Roman" w:hAnsi="Times New Roman"/>
          <w:sz w:val="17"/>
          <w:szCs w:val="17"/>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Compensation of Office 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compensation, including share-based compensation, paid by us and our subsidiaries to our executive officers and directors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was approximately $8.9 million. This amount includes approximately $0.4 million set aside or accrued to provide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retirement or similar benefits or expenses, but does not include business travel, relocation, professional and business association dues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reimbursed to office holders, and other benefits commonly reimbursed or paid by companies in Israel. During the year ended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directors were granted 191,759 restricted share units under our equity incentive plans. As of December 31, 2021, options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5,729,028 ordinary shares granted to our executive officers and directors under equity incentive plans, at a weighted average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 and having expiration dates generally ten (10) years after the grant date, and 191,759 restricted share units granted under our equity incentive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outstanding.</w:t>
      </w:r>
    </w:p>
    <w:p>
      <w:pPr>
        <w:spacing w:after="0" w:line="207"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We pay each of our non-employee directors, other than individuals who served on our board of directors immediately prior to the consummation of our initial public offering, who serves on a board committee an annual retainer of $35,000, with additional annual payment for service on board committees as follows: $10,000 (or $20,000 for the chairperson) per membership of the audit committee, or $7,500 (or $15,000 for the chairperson) per membership of the compensation committee and $4,250 (or $8,500 for the chairperson) per membership of the nominating and governance committee. In addition, upon election, nonemployee directors, other than individuals who served on our board of directors immediately prior to the consummation of our initial public offering, were granted with restricted share unit awards under our incentive plan at a value of $250,000 which vests on an annual basis over a period of three years. In addition, each non-employee director, other than individuals who served on our board of directors immediately prior to the consummation of our initial public offering, were granted annual restricted share unit awards under our incentive plan (provided the director is still in office) at a value of $150,000 which shall vest on the first anniversary of the grant date.</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salary expenses and social benefit costs of our five most highly compensated executive officers in 2021, or the "Covered Executives." All amounts reported reflect the cost to the Company as recognized in our financial statements for the year ended December 31, 2021. U.S. dollar amounts indicated for compensation of our Covered Executives are in thousands of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Benefits and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Equity-Based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5"/>
        </w:trPr>
        <w:tc>
          <w:tcPr>
            <w:tcW w:w="4500" w:type="dxa"/>
            <w:vAlign w:val="bottom"/>
            <w:tcBorders>
              <w:bottom w:val="single" w:sz="8" w:color="auto"/>
            </w:tcBorders>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Name and Principal Position</w:t>
            </w:r>
            <w:r>
              <w:rPr>
                <w:rFonts w:ascii="Times New Roman" w:cs="Times New Roman" w:eastAsia="Times New Roman" w:hAnsi="Times New Roman"/>
                <w:sz w:val="28"/>
                <w:szCs w:val="28"/>
                <w:b w:val="1"/>
                <w:bCs w:val="1"/>
                <w:color w:val="auto"/>
                <w:vertAlign w:val="superscript"/>
              </w:rPr>
              <w:t>(2)</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(3)</w:t>
            </w:r>
          </w:p>
        </w:tc>
        <w:tc>
          <w:tcPr>
            <w:tcW w:w="24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(4)</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r>
      <w:tr>
        <w:trPr>
          <w:trHeight w:val="223"/>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w:t>
            </w:r>
          </w:p>
        </w:tc>
        <w:tc>
          <w:tcPr>
            <w:tcW w:w="2880" w:type="dxa"/>
            <w:vAlign w:val="bottom"/>
            <w:tcBorders>
              <w:bottom w:val="single" w:sz="8" w:color="auto"/>
            </w:tcBorders>
            <w:gridSpan w:val="5"/>
          </w:tcPr>
          <w:p>
            <w:pPr>
              <w:jc w:val="right"/>
              <w:ind w:right="104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thousands, US dollars) </w:t>
            </w:r>
            <w:r>
              <w:rPr>
                <w:rFonts w:ascii="Times New Roman" w:cs="Times New Roman" w:eastAsia="Times New Roman" w:hAnsi="Times New Roman"/>
                <w:sz w:val="25"/>
                <w:szCs w:val="25"/>
                <w:b w:val="1"/>
                <w:bCs w:val="1"/>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Amir Schlachet, </w:t>
            </w:r>
            <w:r>
              <w:rPr>
                <w:rFonts w:ascii="Times New Roman" w:cs="Times New Roman" w:eastAsia="Times New Roman" w:hAnsi="Times New Roman"/>
                <w:sz w:val="18"/>
                <w:szCs w:val="18"/>
                <w:i w:val="1"/>
                <w:iCs w:val="1"/>
                <w:color w:val="auto"/>
              </w:rPr>
              <w:t>Co-Founder, Chief Executive Officer,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196"/>
        </w:trPr>
        <w:tc>
          <w:tcPr>
            <w:tcW w:w="4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Shahar Tamari, </w:t>
            </w:r>
            <w:r>
              <w:rPr>
                <w:rFonts w:ascii="Times New Roman" w:cs="Times New Roman" w:eastAsia="Times New Roman" w:hAnsi="Times New Roman"/>
                <w:sz w:val="18"/>
                <w:szCs w:val="18"/>
                <w:i w:val="1"/>
                <w:iCs w:val="1"/>
                <w:color w:val="auto"/>
              </w:rPr>
              <w:t>Co-Founder, Chief Operations Officer,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Nir Debbi</w:t>
            </w:r>
            <w:r>
              <w:rPr>
                <w:rFonts w:ascii="Times New Roman" w:cs="Times New Roman" w:eastAsia="Times New Roman" w:hAnsi="Times New Roman"/>
                <w:sz w:val="18"/>
                <w:szCs w:val="18"/>
                <w:i w:val="1"/>
                <w:iCs w:val="1"/>
                <w:color w:val="auto"/>
              </w:rPr>
              <w:t>, Co-Founder, President, Director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Ofer Koren, </w:t>
            </w:r>
            <w:r>
              <w:rPr>
                <w:rFonts w:ascii="Times New Roman" w:cs="Times New Roman" w:eastAsia="Times New Roman" w:hAnsi="Times New Roman"/>
                <w:sz w:val="18"/>
                <w:szCs w:val="18"/>
                <w:i w:val="1"/>
                <w:iCs w:val="1"/>
                <w:color w:val="auto"/>
              </w:rPr>
              <w:t>Chief Financial Officer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Ran Fridman, Chief Revenue Officer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bl>
    <w:p>
      <w:pPr>
        <w:spacing w:after="0" w:line="198" w:lineRule="exact"/>
        <w:rPr>
          <w:sz w:val="20"/>
          <w:szCs w:val="20"/>
          <w:color w:val="auto"/>
        </w:rPr>
      </w:pPr>
    </w:p>
    <w:p>
      <w:pPr>
        <w:ind w:left="900" w:hanging="892"/>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table are in terms of cost to us, as recorded in our financial statements.</w:t>
      </w:r>
    </w:p>
    <w:p>
      <w:pPr>
        <w:spacing w:after="0" w:line="225" w:lineRule="exact"/>
        <w:rPr>
          <w:rFonts w:ascii="Times New Roman" w:cs="Times New Roman" w:eastAsia="Times New Roman" w:hAnsi="Times New Roman"/>
          <w:sz w:val="18"/>
          <w:szCs w:val="18"/>
          <w:color w:val="auto"/>
        </w:rPr>
      </w:pPr>
    </w:p>
    <w:p>
      <w:pPr>
        <w:ind w:left="900" w:right="180" w:hanging="892"/>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Executives listed in the table are our full-time employees. Cash compensation amounts denominated in currencies other than the U.S. dollar were converted into U.S. dollars at the average conversion rate for 2021.</w:t>
      </w:r>
    </w:p>
    <w:p>
      <w:pPr>
        <w:spacing w:after="0" w:line="161" w:lineRule="exact"/>
        <w:rPr>
          <w:rFonts w:ascii="Times New Roman" w:cs="Times New Roman" w:eastAsia="Times New Roman" w:hAnsi="Times New Roman"/>
          <w:sz w:val="18"/>
          <w:szCs w:val="18"/>
          <w:color w:val="auto"/>
        </w:rPr>
      </w:pPr>
    </w:p>
    <w:p>
      <w:pPr>
        <w:ind w:left="900" w:right="400" w:hanging="892"/>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social benefits paid by us on behalf of the Covered Executives, convalescence pay, contributions made by the company to an insurance policy or a pension fund, work disability insurance, severance, educational fund and payments for social security</w:t>
      </w:r>
    </w:p>
    <w:p>
      <w:pPr>
        <w:spacing w:after="0" w:line="175" w:lineRule="exact"/>
        <w:rPr>
          <w:rFonts w:ascii="Times New Roman" w:cs="Times New Roman" w:eastAsia="Times New Roman" w:hAnsi="Times New Roman"/>
          <w:sz w:val="18"/>
          <w:szCs w:val="18"/>
          <w:color w:val="auto"/>
        </w:rPr>
      </w:pPr>
    </w:p>
    <w:p>
      <w:pPr>
        <w:ind w:left="900" w:right="200" w:hanging="892"/>
        <w:spacing w:after="0" w:line="261"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incentive and variable compensation payments which were paid or accrued with respect to 2021. In accordance with the Company’s compensation policy, we also paid cash bonuses to our Covered Executives upon compliance with predetermined performance parameters and an over achievement bonus as set by the compensation committee and the board of directors. These amounts were provided for in our 2021 financial statements (but will be paid during 2022).</w:t>
      </w:r>
    </w:p>
    <w:p>
      <w:pPr>
        <w:spacing w:after="0" w:line="179" w:lineRule="exact"/>
        <w:rPr>
          <w:rFonts w:ascii="Times New Roman" w:cs="Times New Roman" w:eastAsia="Times New Roman" w:hAnsi="Times New Roman"/>
          <w:sz w:val="18"/>
          <w:szCs w:val="18"/>
          <w:color w:val="auto"/>
        </w:rPr>
      </w:pPr>
    </w:p>
    <w:p>
      <w:pPr>
        <w:ind w:left="900" w:right="240" w:hanging="892"/>
        <w:spacing w:after="0" w:line="25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2021 with respect to equity-based compensation grants-- options and restricted share units. The relevant amounts underlying the equity awards granted to our officers during 2021, will continue to be expensed in our financial statements over a four-year period during the years 2021-2024 on account of the 2021 grants in similar annualized amounts. Assumptions and key variables used in the calculation of such amounts are described in Note 7 to our audited consolidated financial statements included in Item 18 of this Annual Report. All equity-based compensation grants to our Covered Executives were made in accordance with the parameters of our Company’s compensation policy and were approved by our compensation committee and board of directors.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Employment and consulting agreements with executive officers and directors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2013 Share Option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The 2013 Share Incentive Plan, or the 2013 Plan, was adopted by our board of directors on May 13, 2013 and amended on April 2, 2019. The 2013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76"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We no longer grant any awards under the 2013 Plan as it was superseded by the 2021 Plan, although previously granted awards remain outstanding. Ordinary shares subject to outstanding options granted under the 2013 Plan that expire or become unexercisable without having been exercised in full will become available again for future grant under the 2021 Plan. Our board of directors, or a duly authorized committee of our board of directors, or the administrator, administers the 2013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Share Purchase Plan</w:t>
      </w:r>
    </w:p>
    <w:p>
      <w:pPr>
        <w:spacing w:after="0" w:line="229" w:lineRule="exact"/>
        <w:rPr>
          <w:sz w:val="20"/>
          <w:szCs w:val="20"/>
          <w:color w:val="auto"/>
        </w:rPr>
      </w:pPr>
    </w:p>
    <w:p>
      <w:pPr>
        <w:ind w:right="240" w:firstLine="551"/>
        <w:spacing w:after="0" w:line="258" w:lineRule="auto"/>
        <w:rPr>
          <w:sz w:val="20"/>
          <w:szCs w:val="20"/>
          <w:color w:val="auto"/>
        </w:rPr>
      </w:pPr>
      <w:r>
        <w:rPr>
          <w:rFonts w:ascii="Times New Roman" w:cs="Times New Roman" w:eastAsia="Times New Roman" w:hAnsi="Times New Roman"/>
          <w:sz w:val="18"/>
          <w:szCs w:val="18"/>
          <w:color w:val="auto"/>
        </w:rPr>
        <w:t>The 2021 Employee Share Purchase Plan (the “ESPP”) was adopted by our board of directors on March 1, 2021.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83" w:lineRule="exact"/>
        <w:rPr>
          <w:sz w:val="20"/>
          <w:szCs w:val="20"/>
          <w:color w:val="auto"/>
        </w:rPr>
      </w:pPr>
    </w:p>
    <w:p>
      <w:pPr>
        <w:jc w:val="both"/>
        <w:ind w:right="14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2021, a total of 2,500,000 of our ordinary shares was available for sale under our ESPP, subject to adjustment as provided for in the ESPP. In addition, on the first day of each fiscal year beginning with our 2022 fiscal year and ending on and including the fiscal year of 2029, such pool of ordinary shares shall be increased by that number of our ordinary shares equal to the lesser of:</w:t>
      </w:r>
    </w:p>
    <w:p>
      <w:pPr>
        <w:spacing w:after="0" w:line="176" w:lineRule="exact"/>
        <w:rPr>
          <w:sz w:val="20"/>
          <w:szCs w:val="20"/>
          <w:color w:val="auto"/>
        </w:rPr>
      </w:pPr>
    </w:p>
    <w:p>
      <w:pPr>
        <w:ind w:left="800" w:hanging="225"/>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of the outstanding ordinary shares as of the last day of the immediately preceding fiscal year, determined on a fully diluted basis; or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our board of directors may determine.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resolved not to increase the pool of ordinary shares available for sale under the ESPP for the fiscal year 2022.</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no event will more than 2,750,000 ordinary shares be available for issuance under the Section 423 Component.</w:t>
      </w:r>
    </w:p>
    <w:p>
      <w:pPr>
        <w:spacing w:after="0" w:line="225" w:lineRule="exact"/>
        <w:rPr>
          <w:sz w:val="20"/>
          <w:szCs w:val="20"/>
          <w:color w:val="auto"/>
        </w:rPr>
      </w:pPr>
    </w:p>
    <w:p>
      <w:pPr>
        <w:jc w:val="both"/>
        <w:ind w:right="80" w:firstLine="551"/>
        <w:spacing w:after="0" w:line="266" w:lineRule="auto"/>
        <w:rPr>
          <w:sz w:val="20"/>
          <w:szCs w:val="20"/>
          <w:color w:val="auto"/>
        </w:rPr>
      </w:pPr>
      <w:r>
        <w:rPr>
          <w:rFonts w:ascii="Times New Roman" w:cs="Times New Roman" w:eastAsia="Times New Roman" w:hAnsi="Times New Roman"/>
          <w:sz w:val="18"/>
          <w:szCs w:val="18"/>
          <w:color w:val="auto"/>
        </w:rPr>
        <w:t>Unless otherwise determined by our board of directors, the compensation committee of our board of directors, or the administrator, will administer the ESPP and will have the authority to interpret the terms of the ESPP and determine eligibility under the ESPP, and otherwise exercise such powers and to perform such acts as the administrator deems necessary in accordance with the terms of the ESPP and applicable law.</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8" w:name="page89"/>
    <w:bookmarkEnd w:id="88"/>
    <w:p>
      <w:pPr>
        <w:ind w:right="280" w:firstLine="551"/>
        <w:spacing w:after="0" w:line="266" w:lineRule="auto"/>
        <w:rPr>
          <w:sz w:val="20"/>
          <w:szCs w:val="20"/>
          <w:color w:val="auto"/>
        </w:rPr>
      </w:pPr>
      <w:r>
        <w:rPr>
          <w:rFonts w:ascii="Times New Roman" w:cs="Times New Roman" w:eastAsia="Times New Roman" w:hAnsi="Times New Roman"/>
          <w:sz w:val="18"/>
          <w:szCs w:val="18"/>
          <w:color w:val="auto"/>
        </w:rPr>
        <w:t>Eligible employees become participants in the ESPP by enrolling to purchase our ordinary shares through contributions, in the form of payroll deductions, or otherwise, to the extent permitted by the administrator. Amounts contributed and accumulated by the participant will be used to purchase shares at the end of each offering period. The administrator may amend, suspend or terminate the ESPP at any time.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2021 Share Incentive Plan</w:t>
      </w:r>
    </w:p>
    <w:p>
      <w:pPr>
        <w:spacing w:after="0" w:line="229" w:lineRule="exact"/>
        <w:rPr>
          <w:sz w:val="20"/>
          <w:szCs w:val="20"/>
          <w:color w:val="auto"/>
        </w:rPr>
      </w:pPr>
    </w:p>
    <w:p>
      <w:pPr>
        <w:ind w:right="100" w:firstLine="551"/>
        <w:spacing w:after="0" w:line="266" w:lineRule="auto"/>
        <w:rPr>
          <w:sz w:val="20"/>
          <w:szCs w:val="20"/>
          <w:color w:val="auto"/>
        </w:rPr>
      </w:pPr>
      <w:r>
        <w:rPr>
          <w:rFonts w:ascii="Times New Roman" w:cs="Times New Roman" w:eastAsia="Times New Roman" w:hAnsi="Times New Roman"/>
          <w:sz w:val="18"/>
          <w:szCs w:val="18"/>
          <w:color w:val="auto"/>
        </w:rPr>
        <w:t>The 2021 Share Incentive Plan, or the 2021 Plan, was adopted by our board of directors on March 1,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76"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The maximum number ordinary shares available for issuance under the 2021 Plan is equal to the sum of (i) 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w:t>
      </w:r>
    </w:p>
    <w:p>
      <w:pPr>
        <w:spacing w:after="0" w:line="183" w:lineRule="exact"/>
        <w:rPr>
          <w:sz w:val="20"/>
          <w:szCs w:val="20"/>
          <w:color w:val="auto"/>
        </w:rPr>
      </w:pPr>
    </w:p>
    <w:p>
      <w:pPr>
        <w:ind w:right="140" w:firstLine="551"/>
        <w:spacing w:after="0" w:line="261" w:lineRule="auto"/>
        <w:rPr>
          <w:sz w:val="20"/>
          <w:szCs w:val="20"/>
          <w:color w:val="auto"/>
        </w:rPr>
      </w:pPr>
      <w:r>
        <w:rPr>
          <w:rFonts w:ascii="Times New Roman" w:cs="Times New Roman" w:eastAsia="Times New Roman" w:hAnsi="Times New Roman"/>
          <w:sz w:val="18"/>
          <w:szCs w:val="18"/>
          <w:color w:val="auto"/>
        </w:rPr>
        <w:t>Our board of directors, or a duly authorized committee of our board of directors, or the administrator, will administer the 2021 Plan. The administrator may interpret the terms of the 2021 Plan and any award agreements or awards granted thereunder, designate recipients of awards, determine and amend the terms of awards, and take all other actions and make all other determinations necessary for the administration of the 2021 Plan, in accordance with the terms of the 2021 Plan and applicable law.</w:t>
      </w:r>
    </w:p>
    <w:p>
      <w:pPr>
        <w:spacing w:after="0" w:line="180"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color w:val="auto"/>
        </w:rPr>
        <w:t>The 2021 Plan provides for granting awards under various tax regimes, including, without limitation, in compliance with Section 102 of the Israeli Income Tax Ordinance (New Version), 5721-1961 (the “Ordinance”), and Section 3(9) of the Ordinance and for awards granted to our United States employees or service providers, including those who are deemed to be residents of the United States for tax purposes, Section 422 of the Code and Section 409A of the Code.</w:t>
      </w:r>
    </w:p>
    <w:p>
      <w:pPr>
        <w:spacing w:after="0" w:line="180" w:lineRule="exact"/>
        <w:rPr>
          <w:sz w:val="20"/>
          <w:szCs w:val="20"/>
          <w:color w:val="auto"/>
        </w:rPr>
      </w:pPr>
    </w:p>
    <w:p>
      <w:pPr>
        <w:ind w:right="180" w:firstLine="540"/>
        <w:spacing w:after="0" w:line="261" w:lineRule="auto"/>
        <w:rPr>
          <w:sz w:val="20"/>
          <w:szCs w:val="20"/>
          <w:color w:val="auto"/>
        </w:rPr>
      </w:pPr>
      <w:r>
        <w:rPr>
          <w:rFonts w:ascii="Times New Roman" w:cs="Times New Roman" w:eastAsia="Times New Roman" w:hAnsi="Times New Roman"/>
          <w:sz w:val="18"/>
          <w:szCs w:val="18"/>
          <w:color w:val="auto"/>
        </w:rPr>
        <w:t>Section 102 of the Ordinance allows employees, directors and officers who are not controlling shareholders and are considered Israeli residents to receive favorable tax treatment for compensation in the form of shares or options, subject to the terms and conditions set forth in the Ordinance. Our service providers and controlling shareholders may only be granted options under section 3(9) of the Ordinance, which does not provide for similar tax benefits.</w:t>
      </w:r>
    </w:p>
    <w:p>
      <w:pPr>
        <w:spacing w:after="0" w:line="180" w:lineRule="exact"/>
        <w:rPr>
          <w:sz w:val="20"/>
          <w:szCs w:val="20"/>
          <w:color w:val="auto"/>
        </w:rPr>
      </w:pPr>
    </w:p>
    <w:p>
      <w:pPr>
        <w:ind w:right="60" w:firstLine="551"/>
        <w:spacing w:after="0" w:line="282" w:lineRule="auto"/>
        <w:rPr>
          <w:sz w:val="20"/>
          <w:szCs w:val="20"/>
          <w:color w:val="auto"/>
        </w:rPr>
      </w:pPr>
      <w:r>
        <w:rPr>
          <w:rFonts w:ascii="Times New Roman" w:cs="Times New Roman" w:eastAsia="Times New Roman" w:hAnsi="Times New Roman"/>
          <w:sz w:val="18"/>
          <w:szCs w:val="18"/>
          <w:color w:val="auto"/>
        </w:rPr>
        <w:t>The 2021 Plan provides for the grant of stock options (including incentive stock options and nonqualified stock options), ordinary shares, restricted shares, restricted share units, stock appreciation rights and other share-based awards.</w:t>
      </w:r>
    </w:p>
    <w:p>
      <w:pPr>
        <w:spacing w:after="0" w:line="162" w:lineRule="exact"/>
        <w:rPr>
          <w:sz w:val="20"/>
          <w:szCs w:val="20"/>
          <w:color w:val="auto"/>
        </w:rPr>
      </w:pPr>
    </w:p>
    <w:p>
      <w:pPr>
        <w:jc w:val="both"/>
        <w:ind w:right="10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2021, a total of 10,132,154 options to purchase ordinary shares, with a weighted average exercise price of $2.26 per share and 443,018 restricted share units were outstanding under our 2021 Plan and 2013 Plan. As of December 31, 2021, 13,324,236 ordinary shares were available for future grant under the 2021 Plan.</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Practices</w:t>
      </w:r>
    </w:p>
    <w:p>
      <w:pPr>
        <w:spacing w:after="0" w:line="229"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9" w:name="page90"/>
    <w:bookmarkEnd w:id="89"/>
    <w:p>
      <w:pPr>
        <w:ind w:right="100" w:firstLine="551"/>
        <w:spacing w:after="0" w:line="255"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our corporate governance practices and foreign private issuer status, see “Corporate Governance” in Item 16.G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right="300" w:firstLine="551"/>
        <w:spacing w:after="0" w:line="257" w:lineRule="auto"/>
        <w:rPr>
          <w:sz w:val="20"/>
          <w:szCs w:val="20"/>
          <w:color w:val="auto"/>
        </w:rPr>
      </w:pPr>
      <w:r>
        <w:rPr>
          <w:rFonts w:ascii="Times New Roman" w:cs="Times New Roman" w:eastAsia="Times New Roman" w:hAnsi="Times New Roman"/>
          <w:sz w:val="18"/>
          <w:szCs w:val="18"/>
          <w:color w:val="auto"/>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86"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number of directors on our board of directors is determined by our board of directors and will be no less than three and no more than eleven directors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after, each year the term of office of only one class of directors will expire.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directors are divided among the three classes as follows:</w:t>
      </w:r>
    </w:p>
    <w:p>
      <w:pPr>
        <w:spacing w:after="0" w:line="225" w:lineRule="exact"/>
        <w:rPr>
          <w:sz w:val="20"/>
          <w:szCs w:val="20"/>
          <w:color w:val="auto"/>
        </w:rPr>
      </w:pPr>
    </w:p>
    <w:p>
      <w:pPr>
        <w:ind w:left="800" w:right="140" w:hanging="225"/>
        <w:spacing w:after="0" w:line="282"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Amir Schlachet, Miguel Angel Parra and Iris Epple-Righi, and their terms will expire at our annual general meeting of shareholders to be held in 2022;</w:t>
      </w:r>
    </w:p>
    <w:p>
      <w:pPr>
        <w:spacing w:after="0" w:line="161" w:lineRule="exact"/>
        <w:rPr>
          <w:rFonts w:ascii="Times New Roman" w:cs="Times New Roman" w:eastAsia="Times New Roman" w:hAnsi="Times New Roman"/>
          <w:sz w:val="18"/>
          <w:szCs w:val="18"/>
          <w:color w:val="auto"/>
        </w:rPr>
      </w:pPr>
    </w:p>
    <w:p>
      <w:pPr>
        <w:ind w:left="800" w:right="180" w:hanging="225"/>
        <w:spacing w:after="0" w:line="282"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Nir Debbi and Anna Jain Bakst, and their terms will expire at our annual meeting of shareholders to be held in 2023; and</w:t>
      </w:r>
    </w:p>
    <w:p>
      <w:pPr>
        <w:spacing w:after="0" w:line="161" w:lineRule="exact"/>
        <w:rPr>
          <w:rFonts w:ascii="Times New Roman" w:cs="Times New Roman" w:eastAsia="Times New Roman" w:hAnsi="Times New Roman"/>
          <w:sz w:val="18"/>
          <w:szCs w:val="18"/>
          <w:color w:val="auto"/>
        </w:rPr>
      </w:pPr>
    </w:p>
    <w:p>
      <w:pPr>
        <w:ind w:left="800" w:right="140" w:hanging="225"/>
        <w:spacing w:after="0" w:line="282"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Shahar Tamari, Thomas Studd and Tzvia Broida, and their terms will expire at our annual meeting of shareholders to be held in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0" w:name="page91"/>
    <w:bookmarkEnd w:id="90"/>
    <w:p>
      <w:pPr>
        <w:ind w:firstLine="551"/>
        <w:spacing w:after="0" w:line="255" w:lineRule="auto"/>
        <w:rPr>
          <w:sz w:val="20"/>
          <w:szCs w:val="20"/>
          <w:color w:val="auto"/>
        </w:rPr>
      </w:pPr>
      <w:r>
        <w:rPr>
          <w:rFonts w:ascii="Times New Roman" w:cs="Times New Roman" w:eastAsia="Times New Roman" w:hAnsi="Times New Roman"/>
          <w:sz w:val="18"/>
          <w:szCs w:val="18"/>
          <w:color w:val="auto"/>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8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approval of the holders of at least 70% of the total voting power of our shareholders is generally required to remove any of our directors from office or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In addition,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Chairperson of the Board</w:t>
      </w:r>
    </w:p>
    <w:p>
      <w:pPr>
        <w:spacing w:after="0" w:line="22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spacing w:after="0" w:line="183" w:lineRule="exact"/>
        <w:rPr>
          <w:sz w:val="20"/>
          <w:szCs w:val="20"/>
          <w:color w:val="auto"/>
        </w:rPr>
      </w:pPr>
    </w:p>
    <w:p>
      <w:pPr>
        <w:ind w:left="800" w:right="40" w:hanging="225"/>
        <w:spacing w:after="0" w:line="282"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of non-controlling shareholders and shareholders that do not have a personal interest in the approval voted at the meeting are voted in favor (disregarding abstentions); or</w:t>
      </w:r>
    </w:p>
    <w:p>
      <w:pPr>
        <w:spacing w:after="0" w:line="161" w:lineRule="exact"/>
        <w:rPr>
          <w:rFonts w:ascii="Times New Roman" w:cs="Times New Roman" w:eastAsia="Times New Roman" w:hAnsi="Times New Roman"/>
          <w:sz w:val="18"/>
          <w:szCs w:val="18"/>
          <w:color w:val="auto"/>
        </w:rPr>
      </w:pPr>
    </w:p>
    <w:p>
      <w:pPr>
        <w:ind w:left="800" w:right="380" w:hanging="225"/>
        <w:spacing w:after="0" w:line="282"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appointment that re voted against such appointment does not exceed two percent (2%) of the aggregate voting rights in the company.</w:t>
      </w:r>
    </w:p>
    <w:p>
      <w:pPr>
        <w:spacing w:after="0" w:line="162" w:lineRule="exact"/>
        <w:rPr>
          <w:sz w:val="20"/>
          <w:szCs w:val="20"/>
          <w:color w:val="auto"/>
        </w:rPr>
      </w:pPr>
    </w:p>
    <w:p>
      <w:pPr>
        <w:ind w:right="300" w:firstLine="551"/>
        <w:spacing w:after="0" w:line="261" w:lineRule="auto"/>
        <w:rPr>
          <w:sz w:val="20"/>
          <w:szCs w:val="20"/>
          <w:color w:val="auto"/>
        </w:rPr>
      </w:pPr>
      <w:r>
        <w:rPr>
          <w:rFonts w:ascii="Times New Roman" w:cs="Times New Roman" w:eastAsia="Times New Roman" w:hAnsi="Times New Roman"/>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80"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During a special and annual general meeting of our shareholders held on March 21, 2021, our shareholders approved the appointment of Amir Schlachet as Chairperson of our board of directors in addition to his role as our Chief Executive Officer. According to the Companies Law and the regulations promulgated thereunder, such appointment is valid for an initial term of five years following the closing of our initial public offering. Following such initial term, each renewal of the appointment of our Chief Executive Officer as Chairperson of the board of directors will be subject to the shareholder approval described above and will be limited to a three-year term.</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ind w:right="160" w:firstLine="551"/>
        <w:spacing w:after="0" w:line="255" w:lineRule="auto"/>
        <w:rPr>
          <w:sz w:val="20"/>
          <w:szCs w:val="20"/>
          <w:color w:val="auto"/>
        </w:rPr>
      </w:pPr>
      <w:r>
        <w:rPr>
          <w:rFonts w:ascii="Times New Roman" w:cs="Times New Roman" w:eastAsia="Times New Roman" w:hAnsi="Times New Roman"/>
          <w:sz w:val="18"/>
          <w:szCs w:val="18"/>
          <w:color w:val="auto"/>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governance and sustainability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5" w:lineRule="exact"/>
        <w:rPr>
          <w:sz w:val="20"/>
          <w:szCs w:val="20"/>
          <w:color w:val="auto"/>
        </w:rPr>
      </w:pPr>
    </w:p>
    <w:p>
      <w:pPr>
        <w:ind w:right="34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Companies Law Requirements. </w:t>
      </w:r>
      <w:r>
        <w:rPr>
          <w:rFonts w:ascii="Times New Roman" w:cs="Times New Roman" w:eastAsia="Times New Roman" w:hAnsi="Times New Roman"/>
          <w:sz w:val="18"/>
          <w:szCs w:val="18"/>
          <w:color w:val="auto"/>
        </w:rPr>
        <w:t>Under the Companies Law, the board of directors of a public company must appoint an audit committee.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must be comprised of at least three directors.</w:t>
      </w:r>
    </w:p>
    <w:p>
      <w:pPr>
        <w:spacing w:after="0" w:line="155" w:lineRule="exact"/>
        <w:rPr>
          <w:sz w:val="20"/>
          <w:szCs w:val="20"/>
          <w:color w:val="auto"/>
        </w:rPr>
      </w:pPr>
    </w:p>
    <w:p>
      <w:pPr>
        <w:ind w:right="36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 Requirements</w:t>
      </w:r>
      <w:r>
        <w:rPr>
          <w:rFonts w:ascii="Times New Roman" w:cs="Times New Roman" w:eastAsia="Times New Roman" w:hAnsi="Times New Roman"/>
          <w:sz w:val="18"/>
          <w:szCs w:val="18"/>
          <w:color w:val="auto"/>
        </w:rPr>
        <w:t>. Under the corporate governance rules of Nasdaq, we are required to maintain an audit committee consisting of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independent directors, each of whom is financially literate and one of whom has accounting or related financial management expertise.</w:t>
      </w:r>
    </w:p>
    <w:p>
      <w:pPr>
        <w:spacing w:after="0" w:line="159"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Our audit committee consists of Tzvia Broida, Anna Bakst and Iris Epple-Righi. Tzvia Broida serves as the chairperson of the audit committee. All members of our audit committee meet the requirements for financial literacy under the applicable rules and regulations of the SEC and the corporate governance rules of Nasdaq. Our board of directors has determined that Tzvia Broida is an audit committee financial expert as defined by the SEC rules and has the requisite financial experience as defined by the corporate governance rules of Nasdaq.</w:t>
      </w:r>
    </w:p>
    <w:p>
      <w:pPr>
        <w:spacing w:after="0" w:line="180"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member of our audit committee is “independent” as such term is defined under the Nasdaq corporate governance rules and under and Rule 10A-3(b)(1) under the Exchange Act, which is different from the general test for independence of board and committee members.</w:t>
      </w:r>
    </w:p>
    <w:p>
      <w:pPr>
        <w:spacing w:after="0" w:line="172" w:lineRule="exact"/>
        <w:rPr>
          <w:sz w:val="20"/>
          <w:szCs w:val="20"/>
          <w:color w:val="auto"/>
        </w:rPr>
      </w:pPr>
    </w:p>
    <w:p>
      <w:pPr>
        <w:ind w:right="32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Role. </w:t>
      </w:r>
      <w:r>
        <w:rPr>
          <w:rFonts w:ascii="Times New Roman" w:cs="Times New Roman" w:eastAsia="Times New Roman" w:hAnsi="Times New Roman"/>
          <w:sz w:val="18"/>
          <w:szCs w:val="18"/>
          <w:color w:val="auto"/>
        </w:rPr>
        <w:t>Our board of directors has adopted an audit committee charter setting forth the responsibilities of the audit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consistent with the Companies Law, the SEC rules and the corporate governance rules of Nasdaq and include:</w:t>
      </w:r>
    </w:p>
    <w:p>
      <w:pPr>
        <w:spacing w:after="0" w:line="159" w:lineRule="exact"/>
        <w:rPr>
          <w:sz w:val="20"/>
          <w:szCs w:val="20"/>
          <w:color w:val="auto"/>
        </w:rPr>
      </w:pPr>
    </w:p>
    <w:p>
      <w:pPr>
        <w:ind w:left="800" w:right="20" w:hanging="225"/>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terminating our independent auditors, subject to ratification by the board of directors, and in the case of retention, to ratification by the shareholders;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non-audit services to be provided by the independent auditors and related fees and terms;</w:t>
      </w:r>
    </w:p>
    <w:p>
      <w:pPr>
        <w:spacing w:after="0" w:line="225" w:lineRule="exact"/>
        <w:rPr>
          <w:rFonts w:ascii="Times New Roman" w:cs="Times New Roman" w:eastAsia="Times New Roman" w:hAnsi="Times New Roman"/>
          <w:sz w:val="18"/>
          <w:szCs w:val="18"/>
          <w:color w:val="auto"/>
        </w:rPr>
      </w:pPr>
    </w:p>
    <w:p>
      <w:pPr>
        <w:jc w:val="both"/>
        <w:ind w:left="800" w:right="440" w:hanging="225"/>
        <w:spacing w:after="0" w:line="266"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75" w:lineRule="exact"/>
        <w:rPr>
          <w:rFonts w:ascii="Times New Roman" w:cs="Times New Roman" w:eastAsia="Times New Roman" w:hAnsi="Times New Roman"/>
          <w:sz w:val="18"/>
          <w:szCs w:val="18"/>
          <w:color w:val="auto"/>
        </w:rPr>
      </w:pPr>
    </w:p>
    <w:p>
      <w:pPr>
        <w:ind w:left="800" w:right="720" w:hanging="225"/>
        <w:spacing w:after="0" w:line="282"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 our annual and quarterly financial statements prior to publication or filing (or submission, as the case may be) to the SEC;</w:t>
      </w:r>
    </w:p>
    <w:p>
      <w:pPr>
        <w:spacing w:after="0" w:line="161" w:lineRule="exact"/>
        <w:rPr>
          <w:rFonts w:ascii="Times New Roman" w:cs="Times New Roman" w:eastAsia="Times New Roman" w:hAnsi="Times New Roman"/>
          <w:sz w:val="18"/>
          <w:szCs w:val="18"/>
          <w:color w:val="auto"/>
        </w:rPr>
      </w:pPr>
    </w:p>
    <w:p>
      <w:pPr>
        <w:ind w:left="800" w:right="400" w:hanging="225"/>
        <w:spacing w:after="0" w:line="261" w:lineRule="auto"/>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 and reviewing and discussing the results of internal auditor activities, including significant findings and management’s responses to significant findings;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both"/>
        <w:ind w:left="800" w:right="20" w:hanging="225"/>
        <w:spacing w:after="0" w:line="266"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75" w:lineRule="exact"/>
        <w:rPr>
          <w:rFonts w:ascii="Times New Roman" w:cs="Times New Roman" w:eastAsia="Times New Roman" w:hAnsi="Times New Roman"/>
          <w:sz w:val="18"/>
          <w:szCs w:val="18"/>
          <w:color w:val="auto"/>
        </w:rPr>
      </w:pPr>
    </w:p>
    <w:p>
      <w:pPr>
        <w:ind w:left="800" w:right="260" w:hanging="225"/>
        <w:spacing w:after="0" w:line="282" w:lineRule="auto"/>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5" w:lineRule="exact"/>
        <w:rPr>
          <w:sz w:val="20"/>
          <w:szCs w:val="20"/>
          <w:color w:val="auto"/>
        </w:rPr>
      </w:pPr>
    </w:p>
    <w:p>
      <w:pPr>
        <w:ind w:right="10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Companies Law Requirements</w:t>
      </w:r>
      <w:r>
        <w:rPr>
          <w:rFonts w:ascii="Times New Roman" w:cs="Times New Roman" w:eastAsia="Times New Roman" w:hAnsi="Times New Roman"/>
          <w:sz w:val="18"/>
          <w:szCs w:val="18"/>
          <w:color w:val="auto"/>
        </w:rPr>
        <w:t>. Under the Companies Law, the board of directors of a public company must appoint a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must be comprised of at least three directors.</w:t>
      </w:r>
    </w:p>
    <w:p>
      <w:pPr>
        <w:spacing w:after="0" w:line="155" w:lineRule="exact"/>
        <w:rPr>
          <w:sz w:val="20"/>
          <w:szCs w:val="20"/>
          <w:color w:val="auto"/>
        </w:rPr>
      </w:pPr>
    </w:p>
    <w:p>
      <w:pPr>
        <w:ind w:right="16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Listing Requirements. </w:t>
      </w:r>
      <w:r>
        <w:rPr>
          <w:rFonts w:ascii="Times New Roman" w:cs="Times New Roman" w:eastAsia="Times New Roman" w:hAnsi="Times New Roman"/>
          <w:sz w:val="18"/>
          <w:szCs w:val="18"/>
          <w:color w:val="auto"/>
        </w:rPr>
        <w:t>Under the corporate governance rules of Nasdaq, we are required to maintain a compensation committee consisting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two independent directors.</w:t>
      </w:r>
    </w:p>
    <w:p>
      <w:pPr>
        <w:spacing w:after="0" w:line="159"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Anna Bakst Iris Epple-Righi and Thomas Studd Anna Bakst serves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Companies Law, the roles of the compensation committee are, among others, as follows:</w:t>
      </w:r>
    </w:p>
    <w:p>
      <w:pPr>
        <w:spacing w:after="0" w:line="225" w:lineRule="exact"/>
        <w:rPr>
          <w:sz w:val="20"/>
          <w:szCs w:val="20"/>
          <w:color w:val="auto"/>
        </w:rPr>
      </w:pPr>
    </w:p>
    <w:p>
      <w:pPr>
        <w:ind w:left="800" w:right="260" w:hanging="225"/>
        <w:spacing w:after="0" w:line="282" w:lineRule="auto"/>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with respect to the approval of the compensation policy for office holders and, once every three years, regarding any extensions to a compensation policy that was adopted for a period of more than three years;</w:t>
      </w:r>
    </w:p>
    <w:p>
      <w:pPr>
        <w:spacing w:after="0" w:line="161" w:lineRule="exact"/>
        <w:rPr>
          <w:rFonts w:ascii="Times New Roman" w:cs="Times New Roman" w:eastAsia="Times New Roman" w:hAnsi="Times New Roman"/>
          <w:sz w:val="18"/>
          <w:szCs w:val="18"/>
          <w:color w:val="auto"/>
        </w:rPr>
      </w:pPr>
    </w:p>
    <w:p>
      <w:pPr>
        <w:ind w:left="800" w:right="260" w:hanging="225"/>
        <w:spacing w:after="0" w:line="282" w:lineRule="auto"/>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of the compensation policy and periodically making recommendations to the board of directors with respect to any amendments or updates of the compensation policy;</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whether or not to approve arrangements with respect to the terms of office and employment of office holders;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exempting, under certain circumstances, a transaction with our Chief Executive Officer from the approval of our shareholders.</w:t>
      </w:r>
    </w:p>
    <w:p>
      <w:pPr>
        <w:spacing w:after="0" w:line="225" w:lineRule="exact"/>
        <w:rPr>
          <w:sz w:val="20"/>
          <w:szCs w:val="20"/>
          <w:color w:val="auto"/>
        </w:rPr>
      </w:pPr>
    </w:p>
    <w:p>
      <w:pPr>
        <w:ind w:right="140" w:firstLine="551"/>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compensation committee charter setting forth the responsibilities of the committee, which are consistent with the corporate governance rules of Nasdaq and include among others:</w:t>
      </w:r>
    </w:p>
    <w:p>
      <w:pPr>
        <w:spacing w:after="0" w:line="162" w:lineRule="exact"/>
        <w:rPr>
          <w:sz w:val="20"/>
          <w:szCs w:val="20"/>
          <w:color w:val="auto"/>
        </w:rPr>
      </w:pPr>
    </w:p>
    <w:p>
      <w:pPr>
        <w:ind w:left="800" w:hanging="225"/>
        <w:spacing w:after="0" w:line="261"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to such policies the committee deems appropriate, including as required under the Companies Law;</w:t>
      </w:r>
    </w:p>
    <w:p>
      <w:pPr>
        <w:spacing w:after="0" w:line="179" w:lineRule="exact"/>
        <w:rPr>
          <w:rFonts w:ascii="Times New Roman" w:cs="Times New Roman" w:eastAsia="Times New Roman" w:hAnsi="Times New Roman"/>
          <w:sz w:val="18"/>
          <w:szCs w:val="18"/>
          <w:color w:val="auto"/>
        </w:rPr>
      </w:pPr>
    </w:p>
    <w:p>
      <w:pPr>
        <w:jc w:val="both"/>
        <w:ind w:left="800" w:right="580" w:hanging="225"/>
        <w:spacing w:after="0" w:line="266"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w:t>
      </w:r>
    </w:p>
    <w:p>
      <w:pPr>
        <w:spacing w:after="0" w:line="17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exempting certain transactions regarding office holders’ compensation pursuant to the Companies Law; and</w:t>
      </w:r>
    </w:p>
    <w:p>
      <w:pPr>
        <w:spacing w:after="0" w:line="225" w:lineRule="exact"/>
        <w:rPr>
          <w:rFonts w:ascii="Times New Roman" w:cs="Times New Roman" w:eastAsia="Times New Roman" w:hAnsi="Times New Roman"/>
          <w:sz w:val="18"/>
          <w:szCs w:val="18"/>
          <w:color w:val="auto"/>
        </w:rPr>
      </w:pPr>
    </w:p>
    <w:p>
      <w:pPr>
        <w:ind w:left="800" w:right="480" w:hanging="225"/>
        <w:spacing w:after="0" w:line="266"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 under the Companies Law</w:t>
      </w:r>
    </w:p>
    <w:p>
      <w:pPr>
        <w:spacing w:after="0" w:line="229" w:lineRule="exact"/>
        <w:rPr>
          <w:sz w:val="20"/>
          <w:szCs w:val="20"/>
          <w:color w:val="auto"/>
        </w:rPr>
      </w:pPr>
    </w:p>
    <w:p>
      <w:pPr>
        <w:jc w:val="both"/>
        <w:ind w:right="160" w:firstLine="551"/>
        <w:spacing w:after="0" w:line="261" w:lineRule="auto"/>
        <w:rPr>
          <w:sz w:val="20"/>
          <w:szCs w:val="20"/>
          <w:color w:val="auto"/>
        </w:rPr>
      </w:pPr>
      <w:r>
        <w:rPr>
          <w:rFonts w:ascii="Times New Roman" w:cs="Times New Roman" w:eastAsia="Times New Roman" w:hAnsi="Times New Roman"/>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w:t>
      </w:r>
    </w:p>
    <w:p>
      <w:pPr>
        <w:spacing w:after="0" w:line="180" w:lineRule="exact"/>
        <w:rPr>
          <w:sz w:val="20"/>
          <w:szCs w:val="20"/>
          <w:color w:val="auto"/>
        </w:rPr>
      </w:pPr>
    </w:p>
    <w:p>
      <w:pPr>
        <w:ind w:left="800" w:right="200" w:hanging="225"/>
        <w:spacing w:after="0" w:line="282" w:lineRule="auto"/>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majority includes at least a majority of the shares held by shareholders who are not controlling shareholders and shareholders who do not have a personal interest in such compensation policy; or</w:t>
      </w:r>
    </w:p>
    <w:p>
      <w:pPr>
        <w:spacing w:after="0" w:line="161" w:lineRule="exact"/>
        <w:rPr>
          <w:rFonts w:ascii="Times New Roman" w:cs="Times New Roman" w:eastAsia="Times New Roman" w:hAnsi="Times New Roman"/>
          <w:sz w:val="18"/>
          <w:szCs w:val="18"/>
          <w:color w:val="auto"/>
        </w:rPr>
      </w:pPr>
    </w:p>
    <w:p>
      <w:pPr>
        <w:ind w:left="800" w:right="100" w:hanging="225"/>
        <w:spacing w:after="0" w:line="282" w:lineRule="auto"/>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62"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76" w:lineRule="exact"/>
        <w:rPr>
          <w:sz w:val="20"/>
          <w:szCs w:val="20"/>
          <w:color w:val="auto"/>
        </w:rPr>
      </w:pPr>
    </w:p>
    <w:p>
      <w:pPr>
        <w:ind w:right="40" w:firstLine="551"/>
        <w:spacing w:after="0" w:line="261" w:lineRule="auto"/>
        <w:rPr>
          <w:sz w:val="20"/>
          <w:szCs w:val="20"/>
          <w:color w:val="auto"/>
        </w:rPr>
      </w:pPr>
      <w:r>
        <w:rPr>
          <w:rFonts w:ascii="Times New Roman" w:cs="Times New Roman" w:eastAsia="Times New Roman" w:hAnsi="Times New Roman"/>
          <w:sz w:val="18"/>
          <w:szCs w:val="18"/>
          <w:color w:val="auto"/>
        </w:rPr>
        <w:t>If a company that initially offers its securities to the public, like us, adopts a compensation policy in advance of its initial public offering, and describes it in its prospectus for such offering, as we did,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80" w:lineRule="exact"/>
        <w:rPr>
          <w:sz w:val="20"/>
          <w:szCs w:val="20"/>
          <w:color w:val="auto"/>
        </w:rPr>
      </w:pPr>
    </w:p>
    <w:p>
      <w:pPr>
        <w:ind w:right="100" w:firstLine="551"/>
        <w:spacing w:after="0" w:line="254"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92" w:lineRule="exact"/>
        <w:rPr>
          <w:sz w:val="20"/>
          <w:szCs w:val="20"/>
          <w:color w:val="auto"/>
        </w:rPr>
      </w:pPr>
    </w:p>
    <w:p>
      <w:pPr>
        <w:ind w:left="800" w:hanging="225"/>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and responsibilities;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compensation agreements with the office holder;</w:t>
      </w:r>
    </w:p>
    <w:p>
      <w:pPr>
        <w:spacing w:after="0" w:line="225" w:lineRule="exact"/>
        <w:rPr>
          <w:rFonts w:ascii="Times New Roman" w:cs="Times New Roman" w:eastAsia="Times New Roman" w:hAnsi="Times New Roman"/>
          <w:sz w:val="18"/>
          <w:szCs w:val="18"/>
          <w:color w:val="auto"/>
        </w:rPr>
      </w:pPr>
    </w:p>
    <w:p>
      <w:pPr>
        <w:ind w:left="800" w:hanging="225"/>
        <w:spacing w:after="0" w:line="261"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79" w:lineRule="exact"/>
        <w:rPr>
          <w:rFonts w:ascii="Times New Roman" w:cs="Times New Roman" w:eastAsia="Times New Roman" w:hAnsi="Times New Roman"/>
          <w:sz w:val="18"/>
          <w:szCs w:val="18"/>
          <w:color w:val="auto"/>
        </w:rPr>
      </w:pPr>
    </w:p>
    <w:p>
      <w:pPr>
        <w:ind w:left="800" w:right="360" w:hanging="225"/>
        <w:spacing w:after="0" w:line="282" w:lineRule="auto"/>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61" w:lineRule="exact"/>
        <w:rPr>
          <w:rFonts w:ascii="Times New Roman" w:cs="Times New Roman" w:eastAsia="Times New Roman" w:hAnsi="Times New Roman"/>
          <w:sz w:val="18"/>
          <w:szCs w:val="18"/>
          <w:color w:val="auto"/>
        </w:rPr>
      </w:pPr>
    </w:p>
    <w:p>
      <w:pPr>
        <w:jc w:val="both"/>
        <w:ind w:left="800" w:right="340" w:hanging="225"/>
        <w:spacing w:after="0" w:line="289" w:lineRule="auto"/>
        <w:tabs>
          <w:tab w:leader="none" w:pos="8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ind w:left="560"/>
        <w:spacing w:after="0"/>
        <w:rPr>
          <w:sz w:val="20"/>
          <w:szCs w:val="20"/>
          <w:color w:val="auto"/>
        </w:rPr>
      </w:pPr>
      <w:r>
        <w:rPr>
          <w:rFonts w:ascii="Times New Roman" w:cs="Times New Roman" w:eastAsia="Times New Roman" w:hAnsi="Times New Roman"/>
          <w:sz w:val="18"/>
          <w:szCs w:val="18"/>
          <w:color w:val="auto"/>
        </w:rPr>
        <w:t>The compensation policy must also include, among other things:</w:t>
      </w:r>
    </w:p>
    <w:p>
      <w:pPr>
        <w:spacing w:after="0" w:line="225" w:lineRule="exact"/>
        <w:rPr>
          <w:sz w:val="20"/>
          <w:szCs w:val="20"/>
          <w:color w:val="auto"/>
        </w:rPr>
      </w:pPr>
    </w:p>
    <w:p>
      <w:pPr>
        <w:ind w:left="580"/>
        <w:spacing w:after="0"/>
        <w:tabs>
          <w:tab w:leader="none" w:pos="780" w:val="left"/>
        </w:tabs>
        <w:rPr>
          <w:sz w:val="20"/>
          <w:szCs w:val="20"/>
          <w:color w:val="auto"/>
        </w:rPr>
      </w:pPr>
      <w:r>
        <w:rPr>
          <w:rFonts w:ascii="Times New Roman" w:cs="Times New Roman" w:eastAsia="Times New Roman" w:hAnsi="Times New Roman"/>
          <w:sz w:val="18"/>
          <w:szCs w:val="18"/>
          <w:color w:val="auto"/>
        </w:rPr>
        <w:t>•</w:t>
        <w:tab/>
        <w:t>with regards to variable components:</w:t>
      </w:r>
    </w:p>
    <w:p>
      <w:pPr>
        <w:spacing w:after="0" w:line="225" w:lineRule="exact"/>
        <w:rPr>
          <w:sz w:val="20"/>
          <w:szCs w:val="20"/>
          <w:color w:val="auto"/>
        </w:rPr>
      </w:pPr>
    </w:p>
    <w:p>
      <w:pPr>
        <w:ind w:left="1820" w:right="40" w:hanging="570"/>
        <w:spacing w:after="0" w:line="258" w:lineRule="auto"/>
        <w:tabs>
          <w:tab w:leader="none" w:pos="18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w:t>
      </w:r>
    </w:p>
    <w:p>
      <w:pPr>
        <w:spacing w:after="0" w:line="183" w:lineRule="exact"/>
        <w:rPr>
          <w:rFonts w:ascii="Times New Roman" w:cs="Times New Roman" w:eastAsia="Times New Roman" w:hAnsi="Times New Roman"/>
          <w:sz w:val="18"/>
          <w:szCs w:val="18"/>
          <w:color w:val="auto"/>
        </w:rPr>
      </w:pPr>
    </w:p>
    <w:p>
      <w:pPr>
        <w:ind w:left="1820" w:right="380" w:hanging="570"/>
        <w:spacing w:after="0" w:line="282" w:lineRule="auto"/>
        <w:tabs>
          <w:tab w:leader="none" w:pos="18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61" w:lineRule="exact"/>
        <w:rPr>
          <w:rFonts w:ascii="Times New Roman" w:cs="Times New Roman" w:eastAsia="Times New Roman" w:hAnsi="Times New Roman"/>
          <w:sz w:val="18"/>
          <w:szCs w:val="18"/>
          <w:color w:val="auto"/>
        </w:rPr>
      </w:pPr>
    </w:p>
    <w:p>
      <w:pPr>
        <w:ind w:left="800" w:right="240" w:hanging="225"/>
        <w:spacing w:after="0" w:line="266"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75" w:lineRule="exact"/>
        <w:rPr>
          <w:rFonts w:ascii="Times New Roman" w:cs="Times New Roman" w:eastAsia="Times New Roman" w:hAnsi="Times New Roman"/>
          <w:sz w:val="18"/>
          <w:szCs w:val="18"/>
          <w:color w:val="auto"/>
        </w:rPr>
      </w:pPr>
    </w:p>
    <w:p>
      <w:pPr>
        <w:ind w:left="800" w:right="20" w:hanging="225"/>
        <w:spacing w:after="0" w:line="282" w:lineRule="auto"/>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to be set in the terms of office or employment, as applicable, while taking into consideration long-term incentives; and</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25"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87" w:lineRule="exact"/>
        <w:rPr>
          <w:sz w:val="20"/>
          <w:szCs w:val="20"/>
          <w:color w:val="auto"/>
        </w:rPr>
      </w:pPr>
    </w:p>
    <w:p>
      <w:pPr>
        <w:ind w:right="60" w:firstLine="551"/>
        <w:spacing w:after="0" w:line="255" w:lineRule="auto"/>
        <w:rPr>
          <w:sz w:val="20"/>
          <w:szCs w:val="20"/>
          <w:color w:val="auto"/>
        </w:rPr>
      </w:pPr>
      <w:r>
        <w:rPr>
          <w:rFonts w:ascii="Times New Roman" w:cs="Times New Roman" w:eastAsia="Times New Roman" w:hAnsi="Times New Roman"/>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89"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183" w:lineRule="exact"/>
        <w:rPr>
          <w:sz w:val="20"/>
          <w:szCs w:val="20"/>
          <w:color w:val="auto"/>
        </w:rPr>
      </w:pPr>
    </w:p>
    <w:p>
      <w:pPr>
        <w:ind w:right="140" w:firstLine="551"/>
        <w:spacing w:after="0" w:line="266" w:lineRule="auto"/>
        <w:rPr>
          <w:sz w:val="20"/>
          <w:szCs w:val="20"/>
          <w:color w:val="auto"/>
        </w:rPr>
      </w:pPr>
      <w:r>
        <w:rPr>
          <w:rFonts w:ascii="Times New Roman" w:cs="Times New Roman" w:eastAsia="Times New Roman" w:hAnsi="Times New Roman"/>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5" w:name="page96"/>
    <w:bookmarkEnd w:id="95"/>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92"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80"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18"/>
          <w:szCs w:val="18"/>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180" w:lineRule="exact"/>
        <w:rPr>
          <w:sz w:val="20"/>
          <w:szCs w:val="20"/>
          <w:color w:val="auto"/>
        </w:rPr>
      </w:pPr>
    </w:p>
    <w:p>
      <w:pPr>
        <w:ind w:right="300" w:firstLine="551"/>
        <w:spacing w:after="0" w:line="282" w:lineRule="auto"/>
        <w:rPr>
          <w:sz w:val="20"/>
          <w:szCs w:val="20"/>
          <w:color w:val="auto"/>
        </w:rPr>
      </w:pPr>
      <w:r>
        <w:rPr>
          <w:rFonts w:ascii="Times New Roman" w:cs="Times New Roman" w:eastAsia="Times New Roman" w:hAnsi="Times New Roman"/>
          <w:sz w:val="18"/>
          <w:szCs w:val="18"/>
          <w:color w:val="auto"/>
        </w:rPr>
        <w:t>Our compensation policy was approved by our board of directors and shareholders and became effective immediately prior to the closing of our initial public offering and is filed as an exhibit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Governance and Sustainability Committee</w:t>
      </w:r>
    </w:p>
    <w:p>
      <w:pPr>
        <w:spacing w:after="0" w:line="229" w:lineRule="exact"/>
        <w:rPr>
          <w:sz w:val="20"/>
          <w:szCs w:val="20"/>
          <w:color w:val="auto"/>
        </w:rPr>
      </w:pPr>
    </w:p>
    <w:p>
      <w:pPr>
        <w:ind w:right="200" w:firstLine="551"/>
        <w:spacing w:after="0" w:line="266" w:lineRule="auto"/>
        <w:rPr>
          <w:sz w:val="20"/>
          <w:szCs w:val="20"/>
          <w:color w:val="auto"/>
        </w:rPr>
      </w:pPr>
      <w:r>
        <w:rPr>
          <w:rFonts w:ascii="Times New Roman" w:cs="Times New Roman" w:eastAsia="Times New Roman" w:hAnsi="Times New Roman"/>
          <w:sz w:val="18"/>
          <w:szCs w:val="18"/>
          <w:color w:val="auto"/>
        </w:rPr>
        <w:t>Our nominating, governance and sustainability committee consists of Iris Epple-Righi, Anna Bakst and Thomas Studd. Iris Epple-Righi serves as chairperson of the committee. Our board of directors has adopted a nominating, governance and sustainability committee charter setting forth the responsibilities of the committee, which include:</w:t>
      </w:r>
    </w:p>
    <w:p>
      <w:pPr>
        <w:spacing w:after="0" w:line="176" w:lineRule="exact"/>
        <w:rPr>
          <w:sz w:val="20"/>
          <w:szCs w:val="20"/>
          <w:color w:val="auto"/>
        </w:rPr>
      </w:pPr>
    </w:p>
    <w:p>
      <w:pPr>
        <w:ind w:left="800" w:hanging="225"/>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assisting our board in reviewing and recommending nominees for election as directors;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in its oversight relating to corporate responsibility and environmental, social and governance matters;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assessments of the performance of the members of our board and its committees; and</w:t>
      </w:r>
    </w:p>
    <w:p>
      <w:pPr>
        <w:spacing w:after="0" w:line="225" w:lineRule="exact"/>
        <w:rPr>
          <w:rFonts w:ascii="Times New Roman" w:cs="Times New Roman" w:eastAsia="Times New Roman" w:hAnsi="Times New Roman"/>
          <w:sz w:val="18"/>
          <w:szCs w:val="18"/>
          <w:color w:val="auto"/>
        </w:rPr>
      </w:pPr>
    </w:p>
    <w:p>
      <w:pPr>
        <w:ind w:left="800" w:right="60" w:hanging="225"/>
        <w:spacing w:after="0" w:line="282"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written code of conduct that applies to our directors, officers and employees, including our principal executive officer, principal financial officer, principal accounting officer or controller, or persons performing similar functions. A current copy of the code is posted on the investor section of our website.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29" w:lineRule="exact"/>
        <w:rPr>
          <w:sz w:val="20"/>
          <w:szCs w:val="20"/>
          <w:color w:val="auto"/>
        </w:rPr>
      </w:pPr>
    </w:p>
    <w:p>
      <w:pPr>
        <w:ind w:firstLine="551"/>
        <w:spacing w:after="0" w:line="254"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As of July 27, 2021, Ms. Sharon Cohen, CPA from Brightman Almagor Zohar &amp; Co., a firm in the Deloitte Global Network, is acting as our internal auditor.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29" w:lineRule="exact"/>
        <w:rPr>
          <w:sz w:val="20"/>
          <w:szCs w:val="20"/>
          <w:color w:val="auto"/>
        </w:rPr>
      </w:pPr>
    </w:p>
    <w:p>
      <w:pPr>
        <w:ind w:right="300" w:firstLine="551"/>
        <w:spacing w:after="0" w:line="261" w:lineRule="auto"/>
        <w:rPr>
          <w:sz w:val="20"/>
          <w:szCs w:val="20"/>
          <w:color w:val="auto"/>
        </w:rPr>
      </w:pPr>
      <w:r>
        <w:rPr>
          <w:rFonts w:ascii="Times New Roman" w:cs="Times New Roman" w:eastAsia="Times New Roman" w:hAnsi="Times New Roman"/>
          <w:sz w:val="18"/>
          <w:szCs w:val="18"/>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“Directors and Senior Management” is an office holder under the Companies Law.</w:t>
      </w:r>
    </w:p>
    <w:p>
      <w:pPr>
        <w:spacing w:after="0" w:line="180"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76" w:lineRule="exact"/>
        <w:rPr>
          <w:sz w:val="20"/>
          <w:szCs w:val="20"/>
          <w:color w:val="auto"/>
        </w:rPr>
      </w:pPr>
    </w:p>
    <w:p>
      <w:pPr>
        <w:ind w:left="800" w:right="240" w:hanging="225"/>
        <w:spacing w:after="0" w:line="282" w:lineRule="auto"/>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her or its approval or performed by virtue of his, her or its position; and</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25" w:lineRule="exact"/>
        <w:rPr>
          <w:sz w:val="20"/>
          <w:szCs w:val="20"/>
          <w:color w:val="auto"/>
        </w:rPr>
      </w:pPr>
    </w:p>
    <w:p>
      <w:pPr>
        <w:ind w:right="260" w:firstLine="551"/>
        <w:spacing w:after="0" w:line="282" w:lineRule="auto"/>
        <w:rPr>
          <w:sz w:val="20"/>
          <w:szCs w:val="20"/>
          <w:color w:val="auto"/>
        </w:rPr>
      </w:pPr>
      <w:r>
        <w:rPr>
          <w:rFonts w:ascii="Times New Roman" w:cs="Times New Roman" w:eastAsia="Times New Roman" w:hAnsi="Times New Roman"/>
          <w:sz w:val="18"/>
          <w:szCs w:val="18"/>
          <w:color w:val="auto"/>
        </w:rPr>
        <w:t>The duty of loyalty requires that an office holder act in good faith and in the best interests of the company, and includes, among other things, the duty to:</w:t>
      </w:r>
    </w:p>
    <w:p>
      <w:pPr>
        <w:spacing w:after="0" w:line="162" w:lineRule="exact"/>
        <w:rPr>
          <w:sz w:val="20"/>
          <w:szCs w:val="20"/>
          <w:color w:val="auto"/>
        </w:rPr>
      </w:pPr>
    </w:p>
    <w:p>
      <w:pPr>
        <w:ind w:left="800" w:right="380" w:hanging="225"/>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 involving a conflict of interest between the performance of his, her or its duties in the company and his, her or its other duties or personal affairs;</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225" w:lineRule="exact"/>
        <w:rPr>
          <w:rFonts w:ascii="Times New Roman" w:cs="Times New Roman" w:eastAsia="Times New Roman" w:hAnsi="Times New Roman"/>
          <w:sz w:val="18"/>
          <w:szCs w:val="18"/>
          <w:color w:val="auto"/>
        </w:rPr>
      </w:pPr>
    </w:p>
    <w:p>
      <w:pPr>
        <w:ind w:left="800" w:right="80" w:hanging="225"/>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for the purpose of gaining a personal advantage for himself, herself or itself or others; and</w:t>
      </w:r>
    </w:p>
    <w:p>
      <w:pPr>
        <w:spacing w:after="0" w:line="161"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her or its position as an office holder.</w:t>
      </w:r>
    </w:p>
    <w:p>
      <w:pPr>
        <w:spacing w:after="0" w:line="162"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an Office Holder and Approval of Certain 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551"/>
        <w:spacing w:after="0" w:line="255"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7" w:name="page98"/>
    <w:bookmarkEnd w:id="97"/>
    <w:p>
      <w:pPr>
        <w:ind w:firstLine="551"/>
        <w:spacing w:after="0" w:line="261"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0" w:lineRule="exact"/>
        <w:rPr>
          <w:sz w:val="20"/>
          <w:szCs w:val="20"/>
          <w:color w:val="auto"/>
        </w:rPr>
      </w:pPr>
    </w:p>
    <w:p>
      <w:pPr>
        <w:jc w:val="both"/>
        <w:ind w:right="100" w:firstLine="551"/>
        <w:spacing w:after="0" w:line="266" w:lineRule="auto"/>
        <w:rPr>
          <w:sz w:val="20"/>
          <w:szCs w:val="20"/>
          <w:color w:val="auto"/>
        </w:rPr>
      </w:pPr>
      <w:r>
        <w:rPr>
          <w:rFonts w:ascii="Times New Roman" w:cs="Times New Roman" w:eastAsia="Times New Roman" w:hAnsi="Times New Roman"/>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76"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8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83" w:lineRule="exact"/>
        <w:rPr>
          <w:sz w:val="20"/>
          <w:szCs w:val="20"/>
          <w:color w:val="auto"/>
        </w:rPr>
      </w:pPr>
    </w:p>
    <w:p>
      <w:pPr>
        <w:ind w:right="560" w:firstLine="551"/>
        <w:spacing w:after="0" w:line="282" w:lineRule="auto"/>
        <w:rPr>
          <w:sz w:val="20"/>
          <w:szCs w:val="20"/>
          <w:color w:val="auto"/>
        </w:rPr>
      </w:pPr>
      <w:r>
        <w:rPr>
          <w:rFonts w:ascii="Times New Roman" w:cs="Times New Roman" w:eastAsia="Times New Roman" w:hAnsi="Times New Roman"/>
          <w:sz w:val="18"/>
          <w:szCs w:val="18"/>
          <w:color w:val="auto"/>
        </w:rPr>
        <w:t>For a description of the approvals required under Israeli law for compensation arrangements of officers and directors, see “Compensation of 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Duties</w:t>
      </w:r>
    </w:p>
    <w:p>
      <w:pPr>
        <w:spacing w:after="0" w:line="229"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76" w:lineRule="exact"/>
        <w:rPr>
          <w:sz w:val="20"/>
          <w:szCs w:val="20"/>
          <w:color w:val="auto"/>
        </w:rPr>
      </w:pPr>
    </w:p>
    <w:p>
      <w:pPr>
        <w:ind w:left="800" w:hanging="225"/>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party transactions that require shareholder approval.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 shareholder has a general duty to refrain from discriminating against other shareholders.</w:t>
      </w:r>
    </w:p>
    <w:p>
      <w:pPr>
        <w:spacing w:after="0" w:line="225"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Office Holders</w:t>
      </w:r>
    </w:p>
    <w:p>
      <w:pPr>
        <w:spacing w:after="0" w:line="22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in whole or in part, for damages caused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80" w:lineRule="exact"/>
        <w:rPr>
          <w:sz w:val="20"/>
          <w:szCs w:val="20"/>
          <w:color w:val="auto"/>
        </w:rPr>
      </w:pPr>
    </w:p>
    <w:p>
      <w:pPr>
        <w:ind w:right="40" w:firstLine="551"/>
        <w:spacing w:after="0" w:line="312" w:lineRule="auto"/>
        <w:rPr>
          <w:sz w:val="20"/>
          <w:szCs w:val="20"/>
          <w:color w:val="auto"/>
        </w:rPr>
      </w:pPr>
      <w:r>
        <w:rPr>
          <w:rFonts w:ascii="Times New Roman" w:cs="Times New Roman" w:eastAsia="Times New Roman" w:hAnsi="Times New Roman"/>
          <w:sz w:val="17"/>
          <w:szCs w:val="17"/>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40" w:lineRule="exact"/>
        <w:rPr>
          <w:sz w:val="20"/>
          <w:szCs w:val="20"/>
          <w:color w:val="auto"/>
        </w:rPr>
      </w:pPr>
    </w:p>
    <w:p>
      <w:pPr>
        <w:ind w:left="800" w:right="20" w:hanging="225"/>
        <w:spacing w:after="0" w:line="258"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83" w:lineRule="exact"/>
        <w:rPr>
          <w:rFonts w:ascii="Times New Roman" w:cs="Times New Roman" w:eastAsia="Times New Roman" w:hAnsi="Times New Roman"/>
          <w:sz w:val="18"/>
          <w:szCs w:val="18"/>
          <w:color w:val="auto"/>
        </w:rPr>
      </w:pPr>
    </w:p>
    <w:p>
      <w:pPr>
        <w:ind w:left="800" w:right="60" w:hanging="225"/>
        <w:spacing w:after="0" w:line="258"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83" w:lineRule="exact"/>
        <w:rPr>
          <w:rFonts w:ascii="Times New Roman" w:cs="Times New Roman" w:eastAsia="Times New Roman" w:hAnsi="Times New Roman"/>
          <w:sz w:val="18"/>
          <w:szCs w:val="18"/>
          <w:color w:val="auto"/>
        </w:rPr>
      </w:pPr>
    </w:p>
    <w:p>
      <w:pPr>
        <w:jc w:val="both"/>
        <w:ind w:left="800" w:right="80" w:hanging="225"/>
        <w:spacing w:after="0" w:line="266"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175" w:lineRule="exact"/>
        <w:rPr>
          <w:rFonts w:ascii="Times New Roman" w:cs="Times New Roman" w:eastAsia="Times New Roman" w:hAnsi="Times New Roman"/>
          <w:sz w:val="18"/>
          <w:szCs w:val="18"/>
          <w:color w:val="auto"/>
        </w:rPr>
      </w:pPr>
    </w:p>
    <w:p>
      <w:pPr>
        <w:ind w:left="800" w:right="560" w:hanging="225"/>
        <w:spacing w:after="0" w:line="266"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176"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62" w:lineRule="exact"/>
        <w:rPr>
          <w:sz w:val="20"/>
          <w:szCs w:val="20"/>
          <w:color w:val="auto"/>
        </w:rPr>
      </w:pPr>
    </w:p>
    <w:p>
      <w:pPr>
        <w:ind w:left="800" w:right="180" w:hanging="225"/>
        <w:spacing w:after="0" w:line="282" w:lineRule="auto"/>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third-party, including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 harmed by a breach in an administrative proceeding; and</w:t>
      </w:r>
    </w:p>
    <w:p>
      <w:pPr>
        <w:spacing w:after="0" w:line="225" w:lineRule="exact"/>
        <w:rPr>
          <w:rFonts w:ascii="Times New Roman" w:cs="Times New Roman" w:eastAsia="Times New Roman" w:hAnsi="Times New Roman"/>
          <w:sz w:val="18"/>
          <w:szCs w:val="18"/>
          <w:color w:val="auto"/>
        </w:rPr>
      </w:pPr>
    </w:p>
    <w:p>
      <w:pPr>
        <w:ind w:left="800" w:right="520" w:hanging="225"/>
        <w:spacing w:after="0" w:line="282" w:lineRule="auto"/>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9" w:name="page100"/>
    <w:bookmarkEnd w:id="99"/>
    <w:p>
      <w:pPr>
        <w:ind w:left="560"/>
        <w:spacing w:after="0"/>
        <w:rPr>
          <w:sz w:val="20"/>
          <w:szCs w:val="20"/>
          <w:color w:val="auto"/>
        </w:rPr>
      </w:pPr>
      <w:r>
        <w:rPr>
          <w:rFonts w:ascii="Times New Roman" w:cs="Times New Roman" w:eastAsia="Times New Roman" w:hAnsi="Times New Roman"/>
          <w:sz w:val="18"/>
          <w:szCs w:val="18"/>
          <w:color w:val="auto"/>
        </w:rPr>
        <w:t>An Israeli company may not indemnify or insure an office holder against any of the following:</w:t>
      </w:r>
    </w:p>
    <w:p>
      <w:pPr>
        <w:spacing w:after="0" w:line="225" w:lineRule="exact"/>
        <w:rPr>
          <w:sz w:val="20"/>
          <w:szCs w:val="20"/>
          <w:color w:val="auto"/>
        </w:rPr>
      </w:pPr>
    </w:p>
    <w:p>
      <w:pPr>
        <w:ind w:left="800" w:right="320" w:hanging="225"/>
        <w:spacing w:after="0" w:line="282" w:lineRule="auto"/>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25" w:lineRule="exact"/>
        <w:rPr>
          <w:sz w:val="20"/>
          <w:szCs w:val="20"/>
          <w:color w:val="auto"/>
        </w:rPr>
      </w:pPr>
    </w:p>
    <w:p>
      <w:pPr>
        <w:ind w:right="100" w:firstLine="551"/>
        <w:spacing w:after="0" w:line="25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87"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76"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0"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The maximum indemnification amount set forth in such agreements is limited to an amount equal to the higher of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89"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however, is against public policy and therefore unenforceable.</w:t>
      </w:r>
    </w:p>
    <w:p>
      <w:pPr>
        <w:spacing w:after="0" w:line="162" w:lineRule="exact"/>
        <w:rPr>
          <w:sz w:val="20"/>
          <w:szCs w:val="20"/>
          <w:color w:val="auto"/>
        </w:rPr>
      </w:pPr>
    </w:p>
    <w:p>
      <w:pPr>
        <w:ind w:right="140" w:firstLine="551"/>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right="2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2021, we had 473 employees worldwide, including 260 in research and development. Of these employees, 282 are in Israel and 191 are in our international locations.</w:t>
      </w:r>
    </w:p>
    <w:p>
      <w:pPr>
        <w:spacing w:after="0" w:line="162"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In regards to our Israeli employees, Israeli labor laws govern the length of the workday, minimum wages for employees, procedures for hiring and dismissing employees, determination of severance pay, annual leave, sick days, convalescence, advance notice of termination of employment, equal opportunity and anti-discrimination laws and other conditions of employment.</w:t>
      </w:r>
    </w:p>
    <w:p>
      <w:pPr>
        <w:spacing w:after="0" w:line="176" w:lineRule="exact"/>
        <w:rPr>
          <w:sz w:val="20"/>
          <w:szCs w:val="20"/>
          <w:color w:val="auto"/>
        </w:rPr>
      </w:pPr>
    </w:p>
    <w:p>
      <w:pPr>
        <w:ind w:firstLine="551"/>
        <w:spacing w:after="0" w:line="256" w:lineRule="auto"/>
        <w:rPr>
          <w:sz w:val="20"/>
          <w:szCs w:val="20"/>
          <w:color w:val="auto"/>
        </w:rPr>
      </w:pPr>
      <w:r>
        <w:rPr>
          <w:rFonts w:ascii="Times New Roman" w:cs="Times New Roman" w:eastAsia="Times New Roman" w:hAnsi="Times New Roman"/>
          <w:sz w:val="18"/>
          <w:szCs w:val="18"/>
          <w:color w:val="auto"/>
        </w:rPr>
        <w:t>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(“Section 14”), our executive officers and key employees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187" w:lineRule="exact"/>
        <w:rPr>
          <w:sz w:val="20"/>
          <w:szCs w:val="20"/>
          <w:color w:val="auto"/>
        </w:rPr>
      </w:pPr>
    </w:p>
    <w:p>
      <w:pPr>
        <w:ind w:right="620" w:firstLine="551"/>
        <w:spacing w:after="0" w:line="282" w:lineRule="auto"/>
        <w:rPr>
          <w:sz w:val="20"/>
          <w:szCs w:val="20"/>
          <w:color w:val="auto"/>
        </w:rPr>
      </w:pPr>
      <w:r>
        <w:rPr>
          <w:rFonts w:ascii="Times New Roman" w:cs="Times New Roman" w:eastAsia="Times New Roman" w:hAnsi="Times New Roman"/>
          <w:sz w:val="18"/>
          <w:szCs w:val="18"/>
          <w:color w:val="auto"/>
        </w:rPr>
        <w:t>Extension orders issued by the Israeli Ministry of Economy and Industry apply to us and affect matters such as cost of living adjustments to salaries, length of working hours and week, recuperation pay, travel expenses and pension rights.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never experienced labor-related work stoppages or strikes and believe that our relations with our employees are satisfactory.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“Major Shareholders” in Item 7.A below. For information as to our equity incentive plans, see “Share Incentive Plans.” in Item 6.B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March 21, 2022 by:</w:t>
      </w:r>
    </w:p>
    <w:p>
      <w:pPr>
        <w:spacing w:after="0" w:line="225" w:lineRule="exact"/>
        <w:rPr>
          <w:sz w:val="20"/>
          <w:szCs w:val="20"/>
          <w:color w:val="auto"/>
        </w:rPr>
      </w:pPr>
    </w:p>
    <w:p>
      <w:pPr>
        <w:ind w:left="800" w:hanging="225"/>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more than 5% of our outstanding ordinary shares;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80" w:firstLine="549"/>
        <w:spacing w:after="0" w:line="282" w:lineRule="auto"/>
        <w:rPr>
          <w:sz w:val="20"/>
          <w:szCs w:val="20"/>
          <w:color w:val="auto"/>
        </w:rPr>
      </w:pPr>
      <w:r>
        <w:rPr>
          <w:rFonts w:ascii="Times New Roman" w:cs="Times New Roman" w:eastAsia="Times New Roman" w:hAnsi="Times New Roman"/>
          <w:sz w:val="18"/>
          <w:szCs w:val="18"/>
          <w:color w:val="auto"/>
        </w:rPr>
        <w:t>The beneficial ownership of ordinary shares is determined in accordance with the SEC rules and generally includes any ordinary shares over which a person exercises sole or shared voting or investment power.</w:t>
      </w:r>
    </w:p>
    <w:p>
      <w:pPr>
        <w:spacing w:after="0" w:line="162" w:lineRule="exact"/>
        <w:rPr>
          <w:sz w:val="20"/>
          <w:szCs w:val="20"/>
          <w:color w:val="auto"/>
        </w:rPr>
      </w:pPr>
    </w:p>
    <w:p>
      <w:pPr>
        <w:ind w:right="160" w:firstLine="549"/>
        <w:spacing w:after="0" w:line="256" w:lineRule="auto"/>
        <w:rPr>
          <w:sz w:val="20"/>
          <w:szCs w:val="20"/>
          <w:color w:val="auto"/>
        </w:rPr>
      </w:pPr>
      <w:r>
        <w:rPr>
          <w:rFonts w:ascii="Times New Roman" w:cs="Times New Roman" w:eastAsia="Times New Roman" w:hAnsi="Times New Roman"/>
          <w:sz w:val="18"/>
          <w:szCs w:val="18"/>
          <w:color w:val="auto"/>
        </w:rPr>
        <w:t>For purposes of the table below, we deem ordinary shares subject to options, RSUs or warrants that are exercisable (or settled, as the case may be) within 60 days of March 21, 2022 to be outstanding and to be beneficially owned by the person holding the options or warrants for the purposes of computing the ownership and percentage ownership of that person but we do not treat them as outstanding for the purpose of computing the ownership or percentage ownership of any other person, except with respect to the ownership and percentage ownership of all executive officers and directors as a group. The percentage of shares beneficially owned is based on 155,654,378 ordinary shares outstanding as of March 21, 2022. Unless otherwise noted below, the address of each shareholder listed below is 25 Basel Street, Petah Tikva, 4951038, Israel.</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affiliates within the past three years is included under “Related Party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Number of Ordinary Shares</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Amount and</w:t>
            </w: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45"/>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160" w:type="dxa"/>
            <w:vAlign w:val="bottom"/>
          </w:tcPr>
          <w:p>
            <w:pPr>
              <w:spacing w:after="0"/>
              <w:rPr>
                <w:sz w:val="21"/>
                <w:szCs w:val="21"/>
                <w:color w:val="auto"/>
              </w:rPr>
            </w:pPr>
          </w:p>
        </w:tc>
      </w:tr>
      <w:tr>
        <w:trPr>
          <w:trHeight w:val="216"/>
        </w:trPr>
        <w:tc>
          <w:tcPr>
            <w:tcW w:w="7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Red Dot Capital Partners L.P.</w:t>
            </w:r>
            <w:r>
              <w:rPr>
                <w:rFonts w:ascii="Times New Roman" w:cs="Times New Roman" w:eastAsia="Times New Roman" w:hAnsi="Times New Roman"/>
                <w:sz w:val="25"/>
                <w:szCs w:val="25"/>
                <w:color w:val="auto"/>
                <w:vertAlign w:val="superscript"/>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14,737,000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Deutsche Post Beteiligungen Holding GmbH</w:t>
            </w:r>
            <w:r>
              <w:rPr>
                <w:rFonts w:ascii="Times New Roman" w:cs="Times New Roman" w:eastAsia="Times New Roman" w:hAnsi="Times New Roman"/>
                <w:sz w:val="25"/>
                <w:szCs w:val="25"/>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21,423,600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Cross Ship S.à r.l.</w:t>
            </w:r>
            <w:r>
              <w:rPr>
                <w:rFonts w:ascii="Times New Roman" w:cs="Times New Roman" w:eastAsia="Times New Roman" w:hAnsi="Times New Roman"/>
                <w:sz w:val="25"/>
                <w:szCs w:val="25"/>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21,831,075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Shopify Inc. and its affiliates </w:t>
            </w:r>
            <w:r>
              <w:rPr>
                <w:rFonts w:ascii="Times New Roman" w:cs="Times New Roman" w:eastAsia="Times New Roman" w:hAnsi="Times New Roman"/>
                <w:sz w:val="25"/>
                <w:szCs w:val="25"/>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14,451,558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FMR LLC and its affiliate </w:t>
            </w:r>
            <w:r>
              <w:rPr>
                <w:rFonts w:ascii="Times New Roman" w:cs="Times New Roman" w:eastAsia="Times New Roman" w:hAnsi="Times New Roman"/>
                <w:sz w:val="25"/>
                <w:szCs w:val="25"/>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8,705,225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Abdiel Qualified Master Fund, LP and its affiliates </w:t>
            </w:r>
            <w:r>
              <w:rPr>
                <w:rFonts w:ascii="Times New Roman" w:cs="Times New Roman" w:eastAsia="Times New Roman" w:hAnsi="Times New Roman"/>
                <w:sz w:val="25"/>
                <w:szCs w:val="25"/>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8,554,841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Director Nominees and Executive Officers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Amir Schlachet </w:t>
            </w:r>
            <w:r>
              <w:rPr>
                <w:rFonts w:ascii="Times New Roman" w:cs="Times New Roman" w:eastAsia="Times New Roman" w:hAnsi="Times New Roman"/>
                <w:sz w:val="25"/>
                <w:szCs w:val="25"/>
                <w:color w:val="auto"/>
                <w:vertAlign w:val="superscript"/>
              </w:rPr>
              <w:t>(7)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5,766,474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Shahar Tamari </w:t>
            </w:r>
            <w:r>
              <w:rPr>
                <w:rFonts w:ascii="Times New Roman" w:cs="Times New Roman" w:eastAsia="Times New Roman" w:hAnsi="Times New Roman"/>
                <w:sz w:val="25"/>
                <w:szCs w:val="25"/>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5,765,932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Nir Debbi </w:t>
            </w:r>
            <w:r>
              <w:rPr>
                <w:rFonts w:ascii="Times New Roman" w:cs="Times New Roman" w:eastAsia="Times New Roman" w:hAnsi="Times New Roman"/>
                <w:sz w:val="25"/>
                <w:szCs w:val="25"/>
                <w:color w:val="auto"/>
                <w:vertAlign w:val="superscript"/>
              </w:rPr>
              <w:t>(9)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6,005,782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Eden Zaharoni </w:t>
            </w:r>
            <w:r>
              <w:rPr>
                <w:rFonts w:ascii="Times New Roman" w:cs="Times New Roman" w:eastAsia="Times New Roman" w:hAnsi="Times New Roman"/>
                <w:sz w:val="25"/>
                <w:szCs w:val="25"/>
                <w:color w:val="auto"/>
                <w:vertAlign w:val="superscript"/>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327,378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Ofer Koren </w:t>
            </w:r>
            <w:r>
              <w:rPr>
                <w:rFonts w:ascii="Times New Roman" w:cs="Times New Roman" w:eastAsia="Times New Roman" w:hAnsi="Times New Roman"/>
                <w:sz w:val="25"/>
                <w:szCs w:val="25"/>
                <w:color w:val="auto"/>
                <w:vertAlign w:val="superscript"/>
              </w:rPr>
              <w:t>(11)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341,250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 Fridman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Thomas Studd</w:t>
            </w:r>
            <w:r>
              <w:rPr>
                <w:rFonts w:ascii="Times New Roman" w:cs="Times New Roman" w:eastAsia="Times New Roman" w:hAnsi="Times New Roman"/>
                <w:sz w:val="25"/>
                <w:szCs w:val="25"/>
                <w:color w:val="auto"/>
                <w:vertAlign w:val="superscript"/>
              </w:rPr>
              <w:t>(12)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Miguel Angel Parra</w:t>
            </w:r>
            <w:r>
              <w:rPr>
                <w:rFonts w:ascii="Times New Roman" w:cs="Times New Roman" w:eastAsia="Times New Roman" w:hAnsi="Times New Roman"/>
                <w:sz w:val="25"/>
                <w:szCs w:val="25"/>
                <w:color w:val="auto"/>
                <w:vertAlign w:val="superscript"/>
              </w:rPr>
              <w:t>(13)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Tzvia Broida </w:t>
            </w:r>
            <w:r>
              <w:rPr>
                <w:rFonts w:ascii="Times New Roman" w:cs="Times New Roman" w:eastAsia="Times New Roman" w:hAnsi="Times New Roman"/>
                <w:sz w:val="25"/>
                <w:szCs w:val="25"/>
                <w:color w:val="auto"/>
                <w:vertAlign w:val="superscript"/>
              </w:rPr>
              <w:t>(14)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Anna J. Bakst </w:t>
            </w:r>
            <w:r>
              <w:rPr>
                <w:rFonts w:ascii="Times New Roman" w:cs="Times New Roman" w:eastAsia="Times New Roman" w:hAnsi="Times New Roman"/>
                <w:sz w:val="25"/>
                <w:szCs w:val="25"/>
                <w:color w:val="auto"/>
                <w:vertAlign w:val="superscript"/>
              </w:rPr>
              <w:t>(15)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Iris Epple-Righi </w:t>
            </w:r>
            <w:r>
              <w:rPr>
                <w:rFonts w:ascii="Times New Roman" w:cs="Times New Roman" w:eastAsia="Times New Roman" w:hAnsi="Times New Roman"/>
                <w:sz w:val="25"/>
                <w:szCs w:val="25"/>
                <w:color w:val="auto"/>
                <w:vertAlign w:val="superscript"/>
              </w:rPr>
              <w:t>(16)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(11 persons)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18,218,846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25" w:lineRule="exact"/>
        <w:rPr>
          <w:sz w:val="20"/>
          <w:szCs w:val="20"/>
          <w:color w:val="auto"/>
        </w:rPr>
      </w:pPr>
    </w:p>
    <w:p>
      <w:pPr>
        <w:ind w:left="460" w:right="100" w:hanging="452"/>
        <w:spacing w:after="0" w:line="312" w:lineRule="auto"/>
        <w:tabs>
          <w:tab w:leader="none" w:pos="4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a Schedule 13G filed with the SEC on February 7, 2022. Red Dot Capital Partners, L.P. may be deemed to be the beneficial owner of 14,737,000 ordinary shares. The address for Red Dot Capital Partners, L.P. is 1 Ha’Shikma St. P.O.B 89 Savyon 5691502 Israel.</w:t>
      </w:r>
    </w:p>
    <w:p>
      <w:pPr>
        <w:spacing w:after="0" w:line="139" w:lineRule="exact"/>
        <w:rPr>
          <w:rFonts w:ascii="Times New Roman" w:cs="Times New Roman" w:eastAsia="Times New Roman" w:hAnsi="Times New Roman"/>
          <w:sz w:val="17"/>
          <w:szCs w:val="17"/>
          <w:color w:val="auto"/>
        </w:rPr>
      </w:pPr>
    </w:p>
    <w:p>
      <w:pPr>
        <w:ind w:left="460" w:right="120" w:hanging="452"/>
        <w:spacing w:after="0" w:line="28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21,423,600 ordinary shares held by Deutsche Post Beteiligungen Holding GmbH which is affiliated with DHL International GmbH. The address for the Deutsche Post Beteiligungen Holding GmbH is Charles-de-Gaulle-Straße 20, 53113 Bonn. Federal Republic of Germany.</w:t>
      </w:r>
    </w:p>
    <w:p>
      <w:pPr>
        <w:spacing w:after="0" w:line="161" w:lineRule="exact"/>
        <w:rPr>
          <w:rFonts w:ascii="Times New Roman" w:cs="Times New Roman" w:eastAsia="Times New Roman" w:hAnsi="Times New Roman"/>
          <w:sz w:val="18"/>
          <w:szCs w:val="18"/>
          <w:color w:val="auto"/>
        </w:rPr>
      </w:pPr>
    </w:p>
    <w:p>
      <w:pPr>
        <w:ind w:left="460" w:hanging="452"/>
        <w:spacing w:after="0" w:line="253"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with the SEC on February 11, 2022. Cross Ship S.à r.l., Vitruvian III Luxembourg S.à r.l., VIP III Nominees Limited, and Vitruvian Partners LLP may be deemed to be the beneficial owners of 21,831,075 ordinary shares. VIP III LP may be deemed to be the beneficial owner of 21,503,609 ordinary shares, and VIP III CO-INVEST LP may be deemed to be the beneficial owner of 327,466 ordinary shares. Cross Ship S.à r.l. is wholly owned by Vitruvian Investment II Luxembourg S.à r.l. (“Vitruvian Luxembourg”). VIP III Nominees Limited, an England and Wales limited liability company (“VIP Nominees”) and in its capacity as nominee for and on behalf of VIP III LP, an English limited partnership and VIP III Co-Invest LP, a Jersey limited partnership (collectively, the “Funds”), are the sole legal shareholder of Vitruvian Luxembourg. Vitruvian Partners LLP, an England and Wales limited liability partnership (“Vitruvian Partners”) is the manager of the Funds, and sole shareholder of VIP Nomine LLP.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Cross Ship and Vitruvian Luxembourg is 21, rue Philippe II, L-2340 Luxembourg.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460" w:right="60" w:hanging="452"/>
        <w:spacing w:after="0" w:line="257"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with the SEC on January 7, 2022. Shopify Inc. may be deemed to be the beneficial owner of all of the reported shares and Shopify International Limited may be deemed to be beneficially own 12,689,569 ordinary shares consisting of: (i) vested warrants exercisable for 11,701,759 ordinary shares, and (ii) warrants exercisable for an additional 987,810 ordinary shares that have vested within</w:t>
      </w:r>
    </w:p>
    <w:p>
      <w:pPr>
        <w:spacing w:after="0" w:line="1" w:lineRule="exact"/>
        <w:rPr>
          <w:rFonts w:ascii="Times New Roman" w:cs="Times New Roman" w:eastAsia="Times New Roman" w:hAnsi="Times New Roman"/>
          <w:sz w:val="18"/>
          <w:szCs w:val="18"/>
          <w:color w:val="auto"/>
        </w:rPr>
      </w:pPr>
    </w:p>
    <w:p>
      <w:pPr>
        <w:ind w:left="4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January 6, 2022 (On each of February 12, 2022 and March 12, 2022 Shopify International Limited exercised 493,905 warrants to ordinary shares). Shopify Strategic Holdings LLC, a wholly owned subsidiary of Shopify Inc., is deemed to beneficially own 1,761,989 ordinary shares consisting of: (i) 472,925 ordinary shares directly held by it, and (ii) vested warrants exercisable for 1,289,064 ordinary shares. The principal business address of Shopify Inc. is 151 O’Connor Street, Ground Floor, Ottawa, Ontario, Canada K2P 2L8.The principal business address of Shopify International Limited is 2nd Floor Victoria Buildings 1-2 Haddington Road, Dublin 4, D04 XN32, Ireland.</w:t>
      </w:r>
    </w:p>
    <w:p>
      <w:pPr>
        <w:spacing w:after="0" w:line="186" w:lineRule="exact"/>
        <w:rPr>
          <w:rFonts w:ascii="Times New Roman" w:cs="Times New Roman" w:eastAsia="Times New Roman" w:hAnsi="Times New Roman"/>
          <w:sz w:val="18"/>
          <w:szCs w:val="18"/>
          <w:color w:val="auto"/>
        </w:rPr>
      </w:pPr>
    </w:p>
    <w:p>
      <w:pPr>
        <w:ind w:left="460" w:hanging="452"/>
        <w:spacing w:after="0" w:line="253"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with the SEC on February 9, 2022. Both FMR LLC and Abigail P. Johnson may be deemed to be the beneficial owners of 8,705,225 ordinary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of FMR LLC and Abigail P. Johnson is 245 Summer Street, Boston, Massachusetts 02210.</w:t>
      </w:r>
    </w:p>
    <w:p>
      <w:pPr>
        <w:spacing w:after="0" w:line="189" w:lineRule="exact"/>
        <w:rPr>
          <w:rFonts w:ascii="Times New Roman" w:cs="Times New Roman" w:eastAsia="Times New Roman" w:hAnsi="Times New Roman"/>
          <w:sz w:val="18"/>
          <w:szCs w:val="18"/>
          <w:color w:val="auto"/>
        </w:rPr>
      </w:pPr>
    </w:p>
    <w:p>
      <w:pPr>
        <w:ind w:left="460" w:right="100" w:hanging="452"/>
        <w:spacing w:after="0" w:line="254"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with the SEC on February 3, 2022. Abdiel Qualified Master Fund, LP may be deemed to be the beneficial owner of 8,554,841 ordinary shares. Abdiel Capital, LP, may be deemed to be the beneficial owner of 263,116 ordinary shares, Abdiel Capital Management, LLC, Abdiel Capital Advisors, LP and Colin T. Moran may be deemed to be the beneficial owners of all reported shares. Abdiel Capital Management, LLC and Abdiel Capital Advisors, LP serve as the general partner and the investment manager, respectively, of Abdiel Qualified Master Fund, LP and Abdiel Capital, LP. Colin T. Moran serves as managing member of Abdiel Capital Management, LLC and Abdiel Capital Partners, LLC, which serves as the general partner of Abdiel Capital Advisors, LP. Each of the reporting persons disclaims beneficial ownership of the shares reported herein except to the extent of its or his pecuniary interest therein. The address for the reporting persons is 90 Park Avenue, 29th Floor, New York, NY 10016.</w:t>
      </w:r>
    </w:p>
    <w:p>
      <w:pPr>
        <w:spacing w:after="0" w:line="191" w:lineRule="exact"/>
        <w:rPr>
          <w:rFonts w:ascii="Times New Roman" w:cs="Times New Roman" w:eastAsia="Times New Roman" w:hAnsi="Times New Roman"/>
          <w:sz w:val="18"/>
          <w:szCs w:val="18"/>
          <w:color w:val="auto"/>
        </w:rPr>
      </w:pPr>
    </w:p>
    <w:p>
      <w:pPr>
        <w:ind w:left="460" w:right="30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4,280,472 ordinary shares that Mr. Schlachet holds directly, 17,202 restricted share units that will be settled within 60 days of March 21, 2022, and 1,468,800 ordinary shares underlying options that were fully vested as at December 31, 2021.</w:t>
      </w:r>
    </w:p>
    <w:p>
      <w:pPr>
        <w:spacing w:after="0" w:line="161"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4,279,930 ordinary shares that Mr. Tamari holds directly, 17,202 restricted share units that will be settled within 60 days of March 21, 2022, and 1,468,800 ordinary shares underlying options that were fully vested as at December 31, 2021.</w:t>
      </w:r>
    </w:p>
    <w:p>
      <w:pPr>
        <w:spacing w:after="0" w:line="161" w:lineRule="exact"/>
        <w:rPr>
          <w:rFonts w:ascii="Times New Roman" w:cs="Times New Roman" w:eastAsia="Times New Roman" w:hAnsi="Times New Roman"/>
          <w:sz w:val="18"/>
          <w:szCs w:val="18"/>
          <w:color w:val="auto"/>
        </w:rPr>
      </w:pPr>
    </w:p>
    <w:p>
      <w:pPr>
        <w:ind w:left="460" w:right="12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4,519,780 ordinary shares that Mr. Debbi holds directly, 17,202 restricted share units that will be settled within 60 days of March 21, 2022, and 1,468,800 ordinary shares underlying options that were fully vested as at December 31, 2021.</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327,378 ordinary shares underlying options that will be exercisable within 60 days of March 21, 2022.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341,250 ordinary shares underlying options that will be exercisable within 60 days of March 21, 2022.</w:t>
      </w:r>
    </w:p>
    <w:p>
      <w:pPr>
        <w:spacing w:after="0" w:line="225"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Studd holds no shares directly. Mr. Studd is a partner at the Vitruvian Group, which manages funds that collectively own ordinary shares. See note 4 above. Mr. Studd disclaims beneficial ownership of the ordinary shares held by Cross Ship S.à r.l., except to the extent of his pecuniary interest, if any, in such ordinary shares by virtue of his interest in the Vitruvian Group and his indirect limited partnership interest in the Vitruvian Group.</w:t>
      </w:r>
    </w:p>
    <w:p>
      <w:pPr>
        <w:spacing w:after="0" w:line="179" w:lineRule="exact"/>
        <w:rPr>
          <w:rFonts w:ascii="Times New Roman" w:cs="Times New Roman" w:eastAsia="Times New Roman" w:hAnsi="Times New Roman"/>
          <w:sz w:val="18"/>
          <w:szCs w:val="18"/>
          <w:color w:val="auto"/>
        </w:rPr>
      </w:pPr>
    </w:p>
    <w:p>
      <w:pPr>
        <w:ind w:left="460" w:right="120" w:hanging="452"/>
        <w:spacing w:after="0" w:line="28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Parra holds no shares directly. Mr. Parra serves as the Chief Executive Officer of DHL Express Americas which is affiliated with Deutsche Post Beteiligungen Holding GmbH.</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restricted share units that will be exercisable within 60 days of March 21, 2022.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restricted share units that will be exercisable within 60 days of March 21, 2022.</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restricted share units that will be exercisable within 60 days of March 21,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Ownership</w:t>
      </w:r>
    </w:p>
    <w:p>
      <w:pPr>
        <w:spacing w:after="0" w:line="229" w:lineRule="exact"/>
        <w:rPr>
          <w:sz w:val="20"/>
          <w:szCs w:val="20"/>
          <w:color w:val="auto"/>
        </w:rPr>
      </w:pPr>
    </w:p>
    <w:p>
      <w:pPr>
        <w:ind w:right="220" w:firstLine="551"/>
        <w:spacing w:after="0" w:line="282"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200" w:firstLine="551"/>
        <w:spacing w:after="0" w:line="282" w:lineRule="auto"/>
        <w:rPr>
          <w:sz w:val="20"/>
          <w:szCs w:val="20"/>
          <w:color w:val="auto"/>
        </w:rPr>
      </w:pPr>
      <w:r>
        <w:rPr>
          <w:rFonts w:ascii="Times New Roman" w:cs="Times New Roman" w:eastAsia="Times New Roman" w:hAnsi="Times New Roman"/>
          <w:sz w:val="18"/>
          <w:szCs w:val="18"/>
          <w:color w:val="auto"/>
        </w:rPr>
        <w:t>No major shareholders listed above had or have voting rights with respect to their ordinary shares that are different from the voting rights of other holders of our ordinary shares. See “Voting Rights” in I Exhibit 2.2 attached to this Annual Report.</w:t>
      </w:r>
    </w:p>
    <w:p>
      <w:pPr>
        <w:sectPr>
          <w:pgSz w:w="11900" w:h="16838" w:orient="portrait"/>
          <w:cols w:equalWidth="0" w:num="1">
            <w:col w:w="11240"/>
          </w:cols>
          <w:pgMar w:left="320" w:top="337" w:right="339" w:bottom="866"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866"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Change in Control Arrangements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Holders</w:t>
      </w:r>
    </w:p>
    <w:p>
      <w:pPr>
        <w:spacing w:after="0" w:line="229"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Based on a review of the information provided to us by our transfer agent, as of March 21, 2022, there were 56 registered holders of our ordinary shares, including Cede &amp; Co., the nominee of The Depository Trust Company, 32 of which are United States registered holders, holding approximately 55%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right="420" w:firstLine="549"/>
        <w:spacing w:after="0" w:line="26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76" w:lineRule="exact"/>
        <w:rPr>
          <w:sz w:val="20"/>
          <w:szCs w:val="20"/>
          <w:color w:val="auto"/>
        </w:rPr>
      </w:pPr>
    </w:p>
    <w:p>
      <w:pPr>
        <w:ind w:right="360" w:firstLine="54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related-party transactions we have entered into since January 1, 2019 with any of the members of the board of directors, executive officers or holders of more than 5% of any class of our voting securities at the time of such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7" w:lineRule="exact"/>
        <w:rPr>
          <w:sz w:val="20"/>
          <w:szCs w:val="20"/>
          <w:color w:val="auto"/>
        </w:rPr>
      </w:pPr>
    </w:p>
    <w:p>
      <w:pPr>
        <w:ind w:right="66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We have entered into written employment agreements with each of our executive officers. See “Employment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Agreements with Executive Officers” in Item 6.B above.</w:t>
      </w:r>
    </w:p>
    <w:p>
      <w:pPr>
        <w:spacing w:after="0" w:line="158" w:lineRule="exact"/>
        <w:rPr>
          <w:sz w:val="20"/>
          <w:szCs w:val="20"/>
          <w:color w:val="auto"/>
        </w:rPr>
      </w:pPr>
    </w:p>
    <w:p>
      <w:pPr>
        <w:ind w:right="180"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Since our inception, we have granted to our executive officers and certain of our directors restricted share units and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our ordinary shares. Such award agreements may contain acceleration provisions upon certain transactions. See “Share Incentive Plans” in Item 6.B above.</w:t>
      </w:r>
    </w:p>
    <w:p>
      <w:pPr>
        <w:spacing w:after="0" w:line="173" w:lineRule="exact"/>
        <w:rPr>
          <w:sz w:val="20"/>
          <w:szCs w:val="20"/>
          <w:color w:val="auto"/>
        </w:rPr>
      </w:pPr>
    </w:p>
    <w:p>
      <w:pPr>
        <w:ind w:right="120" w:firstLine="5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Exculpation, Indemnification and Insurance. </w:t>
      </w:r>
      <w:r>
        <w:rPr>
          <w:rFonts w:ascii="Times New Roman" w:cs="Times New Roman" w:eastAsia="Times New Roman" w:hAnsi="Times New Roman"/>
          <w:sz w:val="18"/>
          <w:szCs w:val="18"/>
          <w:color w:val="auto"/>
        </w:rPr>
        <w:t>Our amended and restated articles of association permit us to exculpate, indemnify and insure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office holders to the fullest extent permitted by the Companies Law. We have entered into agreements with each of our directors and executive officers, exculpating them in advance from a breach of their duty of care to the fullest extent permitted by law and undertaking to indemnify them to the fullest extent permitted by law, subject to certain exceptions. See “Exculpation, Insurance and Indemnification of Office Holders.”</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Equity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Preferred Share Primary Financing and Secondary Sale</w:t>
      </w:r>
    </w:p>
    <w:p>
      <w:pPr>
        <w:spacing w:after="0" w:line="229" w:lineRule="exact"/>
        <w:rPr>
          <w:sz w:val="20"/>
          <w:szCs w:val="20"/>
          <w:color w:val="auto"/>
        </w:rPr>
      </w:pPr>
    </w:p>
    <w:p>
      <w:pPr>
        <w:ind w:right="140" w:firstLine="551"/>
        <w:spacing w:after="0" w:line="282" w:lineRule="auto"/>
        <w:rPr>
          <w:sz w:val="20"/>
          <w:szCs w:val="20"/>
          <w:color w:val="auto"/>
        </w:rPr>
      </w:pPr>
      <w:r>
        <w:rPr>
          <w:rFonts w:ascii="Times New Roman" w:cs="Times New Roman" w:eastAsia="Times New Roman" w:hAnsi="Times New Roman"/>
          <w:sz w:val="18"/>
          <w:szCs w:val="18"/>
          <w:color w:val="auto"/>
        </w:rPr>
        <w:t>On April 20, 2020, we sold an aggregate of 23,706 Series E preferred shares, each having a par value of NIS 0.01 at a price per share of $2,498.65 for an aggregate purchase price of $59,232,997. The following table summarizes purchases of our Series E preferred shares by related persons: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Series 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0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Ship S.à r.l.</w:t>
            </w: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50,000,485.15</w:t>
            </w:r>
          </w:p>
        </w:tc>
        <w:tc>
          <w:tcPr>
            <w:tcW w:w="100" w:type="dxa"/>
            <w:vAlign w:val="bottom"/>
            <w:shd w:val="clear" w:color="auto" w:fill="CCEEFF"/>
          </w:tcPr>
          <w:p>
            <w:pPr>
              <w:spacing w:after="0"/>
              <w:rPr>
                <w:sz w:val="18"/>
                <w:szCs w:val="18"/>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Deutsche Post Beteiligungen Holdings GmbH</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9,232,511.75</w:t>
            </w:r>
          </w:p>
        </w:tc>
      </w:tr>
    </w:tbl>
    <w:p>
      <w:pPr>
        <w:spacing w:after="0" w:line="179" w:lineRule="exact"/>
        <w:rPr>
          <w:sz w:val="20"/>
          <w:szCs w:val="20"/>
          <w:color w:val="auto"/>
        </w:rPr>
      </w:pPr>
    </w:p>
    <w:p>
      <w:pPr>
        <w:ind w:right="200" w:firstLine="551"/>
        <w:spacing w:after="0" w:line="266" w:lineRule="auto"/>
        <w:rPr>
          <w:sz w:val="20"/>
          <w:szCs w:val="20"/>
          <w:color w:val="auto"/>
        </w:rPr>
      </w:pPr>
      <w:r>
        <w:rPr>
          <w:rFonts w:ascii="Times New Roman" w:cs="Times New Roman" w:eastAsia="Times New Roman" w:hAnsi="Times New Roman"/>
          <w:sz w:val="18"/>
          <w:szCs w:val="18"/>
          <w:color w:val="auto"/>
        </w:rPr>
        <w:t>In conjunction with the foregoing issuance of Series E preferred shares, certain of our shareholders (including Amir Schlachet, Nir Debbi, Shahar Tamari) sold to Cross Ship S.à r.l. an aggregate of 5,547 ordinary shares and 11,179 preferred shares for an aggregate purchase price of approximately $35.3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 for September Secondary Follow-On Offering</w:t>
      </w:r>
    </w:p>
    <w:p>
      <w:pPr>
        <w:spacing w:after="0" w:line="229"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We entered into an underwriting agreement, dated September 9, 2021, with certain selling shareholders named therein, or the Selling Shareholders, and Goldman Sachs &amp; Co. LLC, Morgan Stanley &amp; Co. LLC, and Jefferies LLC, as representatives of the several underwriters named therein, for the underwritten secondary follow-on offering, by the underwriters, of 12,000,000 of our ordinary shares held by the Selling Shareholders, plus an additional 1,800,000 ordinary shares pursuant to a 30-day option granted to the underwriters by the Selling Shareholders that was exercised in full. We did not receive any proceeds from the sale of our ordinary shares by the Selling Shareholders. We and the Selling Shareholders have agreed to indemnify the underwriters against certain liabilities, including liabilities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DHL Service Agreement and Commercial Letter</w:t>
      </w:r>
    </w:p>
    <w:p>
      <w:pPr>
        <w:spacing w:after="0" w:line="229"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are party to a Commercial Letter with DHL International GmbH (“DHL International”), dated March 27, 2017 and amended on December 7, 2020, pursuant to which we use DHL International exclusively for the provision of express shipping services to our merchants, subject to certain exclusions described therein, and DHL International has undertaken certain commitments relating to the prices under which its services are offered to us. In recent months we have negotiated and reached commercial understandings regarding the terms under which such foregoing agreement will be extended until 2025.</w:t>
      </w:r>
    </w:p>
    <w:p>
      <w:pPr>
        <w:spacing w:after="0" w:line="183" w:lineRule="exact"/>
        <w:rPr>
          <w:sz w:val="20"/>
          <w:szCs w:val="20"/>
          <w:color w:val="auto"/>
        </w:rPr>
      </w:pPr>
    </w:p>
    <w:p>
      <w:pPr>
        <w:ind w:right="180" w:firstLine="551"/>
        <w:spacing w:after="0" w:line="258" w:lineRule="auto"/>
        <w:rPr>
          <w:sz w:val="20"/>
          <w:szCs w:val="20"/>
          <w:color w:val="auto"/>
        </w:rPr>
      </w:pPr>
      <w:r>
        <w:rPr>
          <w:rFonts w:ascii="Times New Roman" w:cs="Times New Roman" w:eastAsia="Times New Roman" w:hAnsi="Times New Roman"/>
          <w:sz w:val="18"/>
          <w:szCs w:val="18"/>
          <w:color w:val="auto"/>
        </w:rPr>
        <w:t>In addition, we are party to a services agreement with DHL International (UK) Limited (“DHL UK”), dated May 21, 2019, under which DHL UK provides us with express shipping services relating to the purchase and sale of our merchants’ products. The service agreement continues until terminated by either us or DHL UK in accordance with its terms. The consideration paid by us to DHL UK pursuant to the service agreement is contingent upon the extent of the shipping services provided. We have entered similar arrangements with other DHL affiliated entities in the Netherlands, the United States, France and Spain.</w:t>
      </w:r>
    </w:p>
    <w:p>
      <w:pPr>
        <w:spacing w:after="0" w:line="183" w:lineRule="exact"/>
        <w:rPr>
          <w:sz w:val="20"/>
          <w:szCs w:val="20"/>
          <w:color w:val="auto"/>
        </w:rPr>
      </w:pPr>
    </w:p>
    <w:p>
      <w:pPr>
        <w:ind w:right="200" w:firstLine="551"/>
        <w:spacing w:after="0" w:line="282" w:lineRule="auto"/>
        <w:rPr>
          <w:sz w:val="20"/>
          <w:szCs w:val="20"/>
          <w:color w:val="auto"/>
        </w:rPr>
      </w:pPr>
      <w:r>
        <w:rPr>
          <w:rFonts w:ascii="Times New Roman" w:cs="Times New Roman" w:eastAsia="Times New Roman" w:hAnsi="Times New Roman"/>
          <w:sz w:val="18"/>
          <w:szCs w:val="18"/>
          <w:color w:val="auto"/>
        </w:rPr>
        <w:t>See Note 11 to our audited consolidated financial statements appearing elsewhere in this Annual Report and Note 7 to our unaudited consolidated financial statements appearing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Shopify Agreement</w:t>
      </w:r>
    </w:p>
    <w:p>
      <w:pPr>
        <w:spacing w:after="0" w:line="229" w:lineRule="exact"/>
        <w:rPr>
          <w:sz w:val="20"/>
          <w:szCs w:val="20"/>
          <w:color w:val="auto"/>
        </w:rPr>
      </w:pPr>
    </w:p>
    <w:p>
      <w:pPr>
        <w:ind w:right="140" w:firstLine="551"/>
        <w:spacing w:after="0" w:line="254" w:lineRule="auto"/>
        <w:rPr>
          <w:sz w:val="20"/>
          <w:szCs w:val="20"/>
          <w:color w:val="auto"/>
        </w:rPr>
      </w:pPr>
      <w:r>
        <w:rPr>
          <w:rFonts w:ascii="Times New Roman" w:cs="Times New Roman" w:eastAsia="Times New Roman" w:hAnsi="Times New Roman"/>
          <w:sz w:val="18"/>
          <w:szCs w:val="18"/>
          <w:color w:val="auto"/>
        </w:rPr>
        <w:t>We are party to the 2021 Shopify Agreement with Shopify, dated April 12, 2021, pursuant to which we are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We will pay Shopify a fee equal to a percentage of the GMV for all transactions processed through our platform for applicable Shopify merchants. Although payment of such fee may initially negatively impact margins, we believe that our expanded partnership will afford us an enhanced market position, enabling us to increase GMV, and positions us to realize efficiencies in winning and onboarding Shopify merchants as a result of our permissions to access and exclusively integrate into the Shopify platform checkout.</w:t>
      </w:r>
    </w:p>
    <w:p>
      <w:pPr>
        <w:spacing w:after="0" w:line="192"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color w:val="auto"/>
        </w:rPr>
        <w:t>The agreement has an initial three-year term ending in April 2024,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without cause by providing at least 180 days’ prior written notice to the other party. In addition, upon the occurrence of certain events, either party may terminate the agreement immediately upon notice to the other party.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Note 15 to our audited consolidated financial statements appearing elsewhere in this Annual Report.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9" w:lineRule="exact"/>
        <w:rPr>
          <w:sz w:val="20"/>
          <w:szCs w:val="20"/>
          <w:color w:val="auto"/>
        </w:rPr>
      </w:pPr>
    </w:p>
    <w:p>
      <w:pPr>
        <w:ind w:right="20" w:firstLine="551"/>
        <w:spacing w:after="0" w:line="254" w:lineRule="auto"/>
        <w:rPr>
          <w:sz w:val="20"/>
          <w:szCs w:val="20"/>
          <w:color w:val="auto"/>
        </w:rPr>
      </w:pPr>
      <w:r>
        <w:rPr>
          <w:rFonts w:ascii="Times New Roman" w:cs="Times New Roman" w:eastAsia="Times New Roman" w:hAnsi="Times New Roman"/>
          <w:sz w:val="18"/>
          <w:szCs w:val="18"/>
          <w:color w:val="auto"/>
        </w:rPr>
        <w:t>On April 12, 2021, we entered into a warrant agreement (the “Original Shopify Warrant”) with Shopify pursuant to which we issued warrants to purchase up to an aggregate of 19,604,239 of our ordinary shares at a price of $0.01 per share expiring upon the earlier of April 12, 2031 and immediately prior to consummation of a merger or acquisition. The Original Shopify Warrant was issued in connection with the 2021 Shopify Agreement and 7,750,513 of the shares issuable under the Original Shopify Warrant were vested and became exercisable upon the entry into the 2021 Shopify Agreement on April 12, 2021. The remaining 11,853,726 ordinary shares issuable under the Original Shopify Warrant vest monthly, in equal amounts over a 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period, commencing on the second monthly anniversary of the effective date of the 2021 Shopify Agreement, and are subject to accelerated vesting</w:t>
      </w:r>
    </w:p>
    <w:p>
      <w:pPr>
        <w:spacing w:after="0" w:line="9" w:lineRule="exact"/>
        <w:rPr>
          <w:sz w:val="20"/>
          <w:szCs w:val="20"/>
          <w:color w:val="auto"/>
        </w:rPr>
      </w:pPr>
    </w:p>
    <w:p>
      <w:pPr>
        <w:ind w:right="80" w:firstLine="8"/>
        <w:spacing w:after="0" w:line="251" w:lineRule="auto"/>
        <w:tabs>
          <w:tab w:leader="none" w:pos="2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2021 Shopify Agreement by us for convenience and (ii) immediately prior to a merger and acquisition. On April 19, 2021, Shopify partially exercised the Shopify Warrant for 7,750,513 ordinary shares, at an exercise price of $0.01 per share. On April 21, 2021, we issued Shopify a replacement warrant (the “Shopify First Replacement Warrant”) to purchase up to an aggregate of 11,853,726 ordinary shares at a price of $0.01 per share on substantially similar terms as the Original Shopify Warrant. On June 29, 2021, Shopify partially exercised the Shopify First Replacement Warrant for 987,810 ordinary shares, at an exercise price of $0.01 per share. On July 14, 2021, we issued Shopify a replacement warrant (the “Shopify Second Replacement Warrant”) to purchase up to an aggregate of 10,865,916 ordinary shares at a price of $0.01 per share on substantially similar terms as the Shopify First Replacement Warrant. The Shopify Second Replacement Warrant contains customary provisions for the adjustment of the exercise price and the number of ordinary shares issuable upon exercise in the event of certain share dividends, share splits, reorganizations, recapitalizations, consolidations, mergers, or similar events affecting our ordinary shares and diluting issuances.</w:t>
      </w:r>
    </w:p>
    <w:p>
      <w:pPr>
        <w:spacing w:after="0" w:line="193" w:lineRule="exact"/>
        <w:rPr>
          <w:sz w:val="20"/>
          <w:szCs w:val="20"/>
          <w:color w:val="auto"/>
        </w:rPr>
      </w:pPr>
    </w:p>
    <w:p>
      <w:pPr>
        <w:ind w:right="680" w:firstLine="551"/>
        <w:spacing w:after="0" w:line="282" w:lineRule="auto"/>
        <w:rPr>
          <w:sz w:val="20"/>
          <w:szCs w:val="20"/>
          <w:color w:val="auto"/>
        </w:rPr>
      </w:pPr>
      <w:r>
        <w:rPr>
          <w:rFonts w:ascii="Times New Roman" w:cs="Times New Roman" w:eastAsia="Times New Roman" w:hAnsi="Times New Roman"/>
          <w:sz w:val="18"/>
          <w:szCs w:val="18"/>
          <w:color w:val="auto"/>
        </w:rPr>
        <w:t>The ordinary shares issuable to Shopify upon exercise of the foregoing are entitled to certain registration rights under the Investors’ Rights Agreement as described in greater detail below in the section titled “Registration Rights” in Item 7.B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Shopify Agreement</w:t>
      </w:r>
    </w:p>
    <w:p>
      <w:pPr>
        <w:spacing w:after="0" w:line="229"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Concurrently with the acquisition of Flow, we agreed to expand our existing partnership with Shopify and entered into the 2022 Shopify Agreement. Pursuant to the 2022 Shopify Agreement, Flow or its affiliate, are the exclusive provider of certain natively integrated cross-border solutions for Shopify’s merchants, including the ability for the merchants to sell their goods to Flow for sale to global customers on a one-to-one basis. The extended partnership between the parties is intended to enhance the offering to select Shopify merchants, among other things, catering for small and emerging brands and expand the capabilities and customer base in the segment.</w:t>
      </w:r>
    </w:p>
    <w:p>
      <w:pPr>
        <w:spacing w:after="0" w:line="183"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The 2022 Shopify Agreement has an initial three-year term,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during the 12-month period commencing with the effective date, without cause by providing at least 180 days’ prior written notice to the other party. In addition, upon the occurrence of certain events, either party may terminate the agreement immediately upon notice to the other party.</w:t>
      </w:r>
    </w:p>
    <w:p>
      <w:pPr>
        <w:spacing w:after="0" w:line="183"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2022 Shopify Agreement, we issued to Shopify warrants (the “2022 Shopify Warrants”) to purchase (A) up to an aggregate of 1,289,064 of our ordinary shares for a purchase price of $0.01 per share which vested on the date of the 2022 Shopify Agreement (and were exercised in full on February 2, 2022), and (B) up to an aggregate of 738,081 of our ordinary shares for a purchase price of $0.01 per share which vest upon certain performance milestones.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80" w:firstLine="551"/>
        <w:spacing w:after="0" w:line="266" w:lineRule="auto"/>
        <w:rPr>
          <w:sz w:val="20"/>
          <w:szCs w:val="20"/>
          <w:color w:val="auto"/>
        </w:rPr>
      </w:pPr>
      <w:r>
        <w:rPr>
          <w:rFonts w:ascii="Times New Roman" w:cs="Times New Roman" w:eastAsia="Times New Roman" w:hAnsi="Times New Roman"/>
          <w:sz w:val="18"/>
          <w:szCs w:val="18"/>
          <w:color w:val="auto"/>
        </w:rPr>
        <w:t>Our amended and restated investors’ rights agreement entitles certain of our shareholders to certain registration rights, as set forth below. In accordance with this agreement, and subject to conditions listed below, the following entities which as of the date of this Annual Report beneficially own more than 5% of our ordinary shares are entitled to registration rights: entities affiliated with each of DHL., Cross Ship S.à r.l and Shopify Inc.</w:t>
      </w:r>
    </w:p>
    <w:p>
      <w:pPr>
        <w:spacing w:after="0" w:line="172" w:lineRule="exact"/>
        <w:rPr>
          <w:sz w:val="20"/>
          <w:szCs w:val="20"/>
          <w:color w:val="auto"/>
        </w:rPr>
      </w:pPr>
    </w:p>
    <w:p>
      <w:pPr>
        <w:ind w:right="120" w:firstLine="55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Form F-1 Demand Rights</w:t>
      </w:r>
      <w:r>
        <w:rPr>
          <w:rFonts w:ascii="Times New Roman" w:cs="Times New Roman" w:eastAsia="Times New Roman" w:hAnsi="Times New Roman"/>
          <w:sz w:val="18"/>
          <w:szCs w:val="18"/>
          <w:color w:val="auto"/>
        </w:rPr>
        <w:t>. The holders of at least 30% of the registrable securities then outstanding may request that we register all or a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shares.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spacing w:after="0" w:line="176" w:lineRule="exact"/>
        <w:rPr>
          <w:sz w:val="20"/>
          <w:szCs w:val="20"/>
          <w:color w:val="auto"/>
        </w:rPr>
      </w:pPr>
    </w:p>
    <w:p>
      <w:pPr>
        <w:ind w:right="8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Form F-3 Demand Rights</w:t>
      </w:r>
      <w:r>
        <w:rPr>
          <w:rFonts w:ascii="Times New Roman" w:cs="Times New Roman" w:eastAsia="Times New Roman" w:hAnsi="Times New Roman"/>
          <w:sz w:val="18"/>
          <w:szCs w:val="18"/>
          <w:color w:val="auto"/>
        </w:rPr>
        <w:t>. The holders of at least 30% of the registrable securities then outstanding can make a request that we register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on Form F-3 if we are qualified to file a registration statement on Form F-3 and if the offering price, after payment of the underwriting discount and commissions, would equal or exceed $5,000,000. The company has the right to defer such registration under certain circumstances.</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6" w:name="page107"/>
    <w:bookmarkEnd w:id="106"/>
    <w:p>
      <w:pPr>
        <w:ind w:firstLine="5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r>
        <w:rPr>
          <w:rFonts w:ascii="Times New Roman" w:cs="Times New Roman" w:eastAsia="Times New Roman" w:hAnsi="Times New Roman"/>
          <w:sz w:val="18"/>
          <w:szCs w:val="18"/>
          <w:color w:val="auto"/>
        </w:rPr>
        <w:t>. In the event that we propose to register any of our securities under the Securities Act, either for our own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for the account of other security holders, then certain holders of our ordinary shares will be entitled, subject to any lock-up restrictions imposed by the underwriters in connection with our initial public offering (whether such restrictions terminate by their terms or are waived by the underwriters), to certain piggyback registration rights with respect to such offering, allowing such holders to include their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Policies and Procedures</w:t>
      </w:r>
    </w:p>
    <w:p>
      <w:pPr>
        <w:spacing w:after="0" w:line="229"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Arbitration Proceedings</w:t>
      </w:r>
    </w:p>
    <w:p>
      <w:pPr>
        <w:spacing w:after="0" w:line="229" w:lineRule="exact"/>
        <w:rPr>
          <w:sz w:val="20"/>
          <w:szCs w:val="20"/>
          <w:color w:val="auto"/>
        </w:rPr>
      </w:pPr>
    </w:p>
    <w:p>
      <w:pPr>
        <w:jc w:val="both"/>
        <w:ind w:right="100" w:firstLine="551"/>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100" w:firstLine="551"/>
        <w:spacing w:after="0" w:line="277" w:lineRule="auto"/>
        <w:rPr>
          <w:sz w:val="20"/>
          <w:szCs w:val="20"/>
          <w:color w:val="auto"/>
        </w:rPr>
      </w:pPr>
      <w:r>
        <w:rPr>
          <w:rFonts w:ascii="Times New Roman" w:cs="Times New Roman" w:eastAsia="Times New Roman" w:hAnsi="Times New Roman"/>
          <w:sz w:val="17"/>
          <w:szCs w:val="17"/>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“Dividend and Liquidation Rights” in Item 10.B below for additional information.</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dividends may be subject to Israeli withholding taxes. See “Israeli Tax Considerations” in Item 10.E below for additional information.</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29" w:lineRule="exact"/>
        <w:rPr>
          <w:sz w:val="20"/>
          <w:szCs w:val="20"/>
          <w:color w:val="auto"/>
        </w:rPr>
      </w:pPr>
    </w:p>
    <w:p>
      <w:pPr>
        <w:ind w:right="120" w:firstLine="549"/>
        <w:spacing w:after="0" w:line="282" w:lineRule="auto"/>
        <w:rPr>
          <w:sz w:val="20"/>
          <w:szCs w:val="20"/>
          <w:color w:val="auto"/>
        </w:rPr>
      </w:pPr>
      <w:r>
        <w:rPr>
          <w:rFonts w:ascii="Times New Roman" w:cs="Times New Roman" w:eastAsia="Times New Roman" w:hAnsi="Times New Roman"/>
          <w:sz w:val="18"/>
          <w:szCs w:val="18"/>
          <w:color w:val="auto"/>
        </w:rPr>
        <w:t>Our ordinary shares commenced trading on the Nasdaq Global Select Market on May 11, 2021, under the symbol “GLBE”. Prior to this, no public market existed for our ordinary shares.</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07" w:name="page108"/>
    <w:bookmarkEnd w:id="107"/>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“—Offer and Listing Details” above.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ind w:right="780" w:firstLine="549"/>
        <w:spacing w:after="0" w:line="282"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filed as Exhibit 1.1 to this Annual Report. Other than as set forth below, the information called for by this Item is set forth in Exhibit 2.2 to this Annual Report.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9" w:lineRule="exact"/>
        <w:rPr>
          <w:sz w:val="20"/>
          <w:szCs w:val="20"/>
          <w:color w:val="auto"/>
        </w:rPr>
      </w:pPr>
    </w:p>
    <w:p>
      <w:pPr>
        <w:ind w:right="160" w:firstLine="549"/>
        <w:spacing w:after="0" w:line="261" w:lineRule="auto"/>
        <w:rPr>
          <w:sz w:val="20"/>
          <w:szCs w:val="20"/>
          <w:color w:val="auto"/>
        </w:rPr>
      </w:pPr>
      <w:r>
        <w:rPr>
          <w:rFonts w:ascii="Times New Roman" w:cs="Times New Roman" w:eastAsia="Times New Roman" w:hAnsi="Times New Roman"/>
          <w:sz w:val="18"/>
          <w:szCs w:val="18"/>
          <w:color w:val="auto"/>
        </w:rPr>
        <w:t>We have not entered into any material contracts within the two years prior to the date of this annual report, other than contracts entered into in the ordinary course of business, or as otherwise described herein in Item 4.A “History and Development of the Company”, Item 4.B “Business Overview”, Item 5.B “Operating and Financial Review and Prospects—Liquidity and Capital Resources”, Item 6.C “Board Practices” and Item 7.B “Related Party Transactions”.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29" w:lineRule="exact"/>
        <w:rPr>
          <w:sz w:val="20"/>
          <w:szCs w:val="20"/>
          <w:color w:val="auto"/>
        </w:rPr>
      </w:pPr>
    </w:p>
    <w:p>
      <w:pPr>
        <w:ind w:right="60" w:firstLine="551"/>
        <w:spacing w:after="0" w:line="254"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This section also contains a discussion of material Israeli tax consequences concerning the ownership and disposition of our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29" w:lineRule="exact"/>
        <w:rPr>
          <w:sz w:val="20"/>
          <w:szCs w:val="20"/>
          <w:color w:val="auto"/>
        </w:rPr>
      </w:pPr>
    </w:p>
    <w:p>
      <w:pPr>
        <w:ind w:right="380" w:firstLine="551"/>
        <w:spacing w:after="0" w:line="282" w:lineRule="auto"/>
        <w:rPr>
          <w:sz w:val="20"/>
          <w:szCs w:val="20"/>
          <w:color w:val="auto"/>
        </w:rPr>
      </w:pPr>
      <w:r>
        <w:rPr>
          <w:rFonts w:ascii="Times New Roman" w:cs="Times New Roman" w:eastAsia="Times New Roman" w:hAnsi="Times New Roman"/>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Benefits and Grants for Research and Development</w:t>
      </w:r>
    </w:p>
    <w:p>
      <w:pPr>
        <w:spacing w:after="0" w:line="229" w:lineRule="exact"/>
        <w:rPr>
          <w:sz w:val="20"/>
          <w:szCs w:val="20"/>
          <w:color w:val="auto"/>
        </w:rPr>
      </w:pPr>
    </w:p>
    <w:p>
      <w:pPr>
        <w:ind w:right="200" w:firstLine="551"/>
        <w:spacing w:after="0" w:line="282"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62" w:lineRule="exact"/>
        <w:rPr>
          <w:sz w:val="20"/>
          <w:szCs w:val="20"/>
          <w:color w:val="auto"/>
        </w:rPr>
      </w:pPr>
    </w:p>
    <w:p>
      <w:pPr>
        <w:ind w:left="800" w:hanging="225"/>
        <w:spacing w:after="0"/>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are carried out by or on behalf of the company seeking such tax deduction.</w:t>
      </w:r>
    </w:p>
    <w:p>
      <w:pPr>
        <w:spacing w:after="0" w:line="225"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referred to as the Ordinance. Expenditures that do not qualify for this special deduction are deductible in equal amounts over three years.</w:t>
      </w:r>
    </w:p>
    <w:p>
      <w:pPr>
        <w:spacing w:after="0" w:line="180" w:lineRule="exact"/>
        <w:rPr>
          <w:sz w:val="20"/>
          <w:szCs w:val="20"/>
          <w:color w:val="auto"/>
        </w:rPr>
      </w:pPr>
    </w:p>
    <w:p>
      <w:pPr>
        <w:ind w:right="260" w:firstLine="551"/>
        <w:spacing w:after="0" w:line="282" w:lineRule="auto"/>
        <w:rPr>
          <w:sz w:val="20"/>
          <w:szCs w:val="20"/>
          <w:color w:val="auto"/>
        </w:rPr>
      </w:pPr>
      <w:r>
        <w:rPr>
          <w:rFonts w:ascii="Times New Roman" w:cs="Times New Roman" w:eastAsia="Times New Roman" w:hAnsi="Times New Roman"/>
          <w:sz w:val="18"/>
          <w:szCs w:val="18"/>
          <w:color w:val="auto"/>
        </w:rPr>
        <w:t>From time to time we may apply to the National Authority for Technological Innovation (the “IIA”) for approval to allow a tax deduction for all research and development expenses during the year incurred. There can be no assurance that such request will be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Non-Israeli Resident Shareholders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 Gains Taxes</w:t>
      </w:r>
    </w:p>
    <w:p>
      <w:pPr>
        <w:spacing w:after="0" w:line="227" w:lineRule="exact"/>
        <w:rPr>
          <w:sz w:val="20"/>
          <w:szCs w:val="20"/>
          <w:color w:val="auto"/>
        </w:rPr>
      </w:pPr>
    </w:p>
    <w:p>
      <w:pPr>
        <w:ind w:right="60" w:firstLine="551"/>
        <w:spacing w:after="0" w:line="274" w:lineRule="auto"/>
        <w:rPr>
          <w:sz w:val="20"/>
          <w:szCs w:val="20"/>
          <w:color w:val="auto"/>
        </w:rPr>
      </w:pPr>
      <w:r>
        <w:rPr>
          <w:rFonts w:ascii="Times New Roman" w:cs="Times New Roman" w:eastAsia="Times New Roman" w:hAnsi="Times New Roman"/>
          <w:sz w:val="17"/>
          <w:szCs w:val="17"/>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9" w:name="page110"/>
    <w:bookmarkEnd w:id="109"/>
    <w:p>
      <w:pPr>
        <w:ind w:firstLine="551"/>
        <w:spacing w:after="0" w:line="255" w:lineRule="auto"/>
        <w:rPr>
          <w:sz w:val="20"/>
          <w:szCs w:val="20"/>
          <w:color w:val="auto"/>
        </w:rPr>
      </w:pPr>
      <w:r>
        <w:rPr>
          <w:rFonts w:ascii="Times New Roman" w:cs="Times New Roman" w:eastAsia="Times New Roman" w:hAnsi="Times New Roman"/>
          <w:sz w:val="18"/>
          <w:szCs w:val="18"/>
          <w:color w:val="auto"/>
        </w:rPr>
        <w:t>Generally, Real Capital Gain accrued by individuals on the sale of our ordinary shares will be taxed at the rate of 25%. However, if the individual shareholder claims deduction of interest and linkage differences expenses in connection with the purchase and holding of such shares or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(23% in 2021).</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 non-Israeli resident (individuals and corporations) who derives capital gains from the sale of shares of an Israeli resident company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purchased after the company was listed for trading on a stock exchange outside of Israel will be exempt from Israeli capital gains tax so long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were not held through a permanent establishment that the non-Israeli resident maintains in Israel. However, non-Israeli corporations will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the foregoing exemption if Israeli residents (i) have a controlling interest of more than 25% in any of the means of control of such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Israeli corporation or (ii) are the beneficiaries of, or are entitled to, 25% or more of the revenues or profits of such non-Israeli corporation, whether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such exemption is not applicable to a person whose gains from selling or disposing the shares are deemed to be business income.</w:t>
      </w:r>
    </w:p>
    <w:p>
      <w:pPr>
        <w:spacing w:after="0" w:line="225"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w:t>
      </w:r>
      <w:r>
        <w:rPr>
          <w:rFonts w:ascii="Times New Roman" w:cs="Times New Roman" w:eastAsia="Times New Roman" w:hAnsi="Times New Roman"/>
          <w:sz w:val="18"/>
          <w:szCs w:val="18"/>
          <w:u w:val="single" w:color="auto"/>
          <w:color w:val="auto"/>
        </w:rPr>
        <w:t>United States-Israel Tax Treaty</w:t>
      </w:r>
      <w:r>
        <w:rPr>
          <w:rFonts w:ascii="Times New Roman" w:cs="Times New Roman" w:eastAsia="Times New Roman" w:hAnsi="Times New Roman"/>
          <w:sz w:val="18"/>
          <w:szCs w:val="18"/>
          <w:color w:val="auto"/>
        </w:rPr>
        <w:t>”), the sale, exchange or other disposition of shares by a shareholder who is a United States resident (for purposes of the United States-Israel Tax Treaty) holding the shares as a capital asset and is entitled to claim the benefits afforded to such a resident by the United States-Israel Tax Treaty (a “</w:t>
      </w:r>
      <w:r>
        <w:rPr>
          <w:rFonts w:ascii="Times New Roman" w:cs="Times New Roman" w:eastAsia="Times New Roman" w:hAnsi="Times New Roman"/>
          <w:sz w:val="18"/>
          <w:szCs w:val="18"/>
          <w:u w:val="single" w:color="auto"/>
          <w:color w:val="auto"/>
        </w:rPr>
        <w:t>Treaty U.S. Resident</w:t>
      </w:r>
      <w:r>
        <w:rPr>
          <w:rFonts w:ascii="Times New Roman" w:cs="Times New Roman" w:eastAsia="Times New Roman" w:hAnsi="Times New Roman"/>
          <w:sz w:val="18"/>
          <w:szCs w:val="18"/>
          <w:color w:val="auto"/>
        </w:rPr>
        <w: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rights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87" w:lineRule="exact"/>
        <w:rPr>
          <w:sz w:val="20"/>
          <w:szCs w:val="20"/>
          <w:color w:val="auto"/>
        </w:rPr>
      </w:pPr>
    </w:p>
    <w:p>
      <w:pPr>
        <w:ind w:right="20" w:firstLine="551"/>
        <w:spacing w:after="0" w:line="255"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85" w:lineRule="exact"/>
        <w:rPr>
          <w:sz w:val="20"/>
          <w:szCs w:val="20"/>
          <w:color w:val="auto"/>
        </w:rPr>
      </w:pPr>
    </w:p>
    <w:p>
      <w:pPr>
        <w:ind w:right="20" w:firstLine="55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Taxation on Receipt of 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Non-Israeli residents (whether individuals or corporations) are generally subject to Israeli income tax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0" w:name="page111"/>
    <w:bookmarkEnd w:id="110"/>
    <w:p>
      <w:pPr>
        <w:ind w:right="60" w:firstLine="551"/>
        <w:spacing w:after="0" w:line="255" w:lineRule="auto"/>
        <w:rPr>
          <w:sz w:val="20"/>
          <w:szCs w:val="20"/>
          <w:color w:val="auto"/>
        </w:rPr>
      </w:pPr>
      <w:r>
        <w:rPr>
          <w:rFonts w:ascii="Times New Roman" w:cs="Times New Roman" w:eastAsia="Times New Roman" w:hAnsi="Times New Roman"/>
          <w:sz w:val="18"/>
          <w:szCs w:val="18"/>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rights throughout the tax year in which the dividend is distributed as well as during the previous tax year, is 12.5%, provided that not more than 25% of our gross income for such preceding year consists of certain types of dividends and interest. U.S. residents who are subject to Israeli withholding tax on a dividend may be entitled to a credit or deduction for United States federal income tax purposes in the amount of the taxes withheld, subject to detailed rules contained in the Code.</w:t>
      </w:r>
    </w:p>
    <w:p>
      <w:pPr>
        <w:spacing w:after="0" w:line="189" w:lineRule="exact"/>
        <w:rPr>
          <w:sz w:val="20"/>
          <w:szCs w:val="20"/>
          <w:color w:val="auto"/>
        </w:rPr>
      </w:pPr>
    </w:p>
    <w:p>
      <w:pPr>
        <w:ind w:right="60" w:firstLine="551"/>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spacing w:after="0" w:line="176" w:lineRule="exact"/>
        <w:rPr>
          <w:sz w:val="20"/>
          <w:szCs w:val="20"/>
          <w:color w:val="auto"/>
        </w:rPr>
      </w:pPr>
    </w:p>
    <w:p>
      <w:pPr>
        <w:jc w:val="both"/>
        <w:ind w:right="380" w:firstLine="55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Surtax. </w:t>
      </w:r>
      <w:r>
        <w:rPr>
          <w:rFonts w:ascii="Times New Roman" w:cs="Times New Roman" w:eastAsia="Times New Roman" w:hAnsi="Times New Roman"/>
          <w:sz w:val="18"/>
          <w:szCs w:val="18"/>
          <w:color w:val="auto"/>
        </w:rPr>
        <w:t>Individuals who are subject to income tax in Israel (whether any such individual is an Israeli resident or non-Israeli resident) are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 additional tax at a rate of 3% on annual taxable income (including, but not limited to, income derived from dividends, interest and capital gains) exceeding NIS 647,640 for 2021, which amount is linked to the annual change in the Israeli consumer price index.</w:t>
      </w:r>
    </w:p>
    <w:p>
      <w:pPr>
        <w:spacing w:after="0" w:line="171"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Estate and Gift Tax.</w:t>
      </w:r>
      <w:r>
        <w:rPr>
          <w:sz w:val="20"/>
          <w:szCs w:val="20"/>
          <w:color w:val="auto"/>
        </w:rPr>
        <w:tab/>
      </w:r>
      <w:r>
        <w:rPr>
          <w:rFonts w:ascii="Times New Roman" w:cs="Times New Roman" w:eastAsia="Times New Roman" w:hAnsi="Times New Roman"/>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Industry (Taxes), 1969</w:t>
      </w:r>
    </w:p>
    <w:p>
      <w:pPr>
        <w:spacing w:after="0" w:line="229" w:lineRule="exact"/>
        <w:rPr>
          <w:sz w:val="20"/>
          <w:szCs w:val="20"/>
          <w:color w:val="auto"/>
        </w:rPr>
      </w:pPr>
    </w:p>
    <w:p>
      <w:pPr>
        <w:ind w:right="300" w:firstLine="551"/>
        <w:spacing w:after="0" w:line="266" w:lineRule="auto"/>
        <w:rPr>
          <w:sz w:val="20"/>
          <w:szCs w:val="20"/>
          <w:color w:val="auto"/>
        </w:rPr>
      </w:pPr>
      <w:r>
        <w:rPr>
          <w:rFonts w:ascii="Times New Roman" w:cs="Times New Roman" w:eastAsia="Times New Roman" w:hAnsi="Times New Roman"/>
          <w:sz w:val="18"/>
          <w:szCs w:val="18"/>
          <w:color w:val="auto"/>
        </w:rPr>
        <w:t>The Law for the Encouragement of Industry (Taxes), 1969, and the regulations promulgated thereunder, generally referred to as the Industry Encouragement Law, provides several tax benefits for “Industry Companies.” We believe that we currently qualify as an Industrial Company within the meaning of the Industry Encouragement Law.</w:t>
      </w:r>
    </w:p>
    <w:p>
      <w:pPr>
        <w:spacing w:after="0" w:line="176"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resident in Israel, of which 90% or more of its income in a certain tax year, other than income from government loans, is derived from an “Industrial Enterprise” owned by it and located in Israel or in the “Area” in accordance with the definition under section 3A of the Ordinance. An “Industrial Enterprise” is defined as an enterprise whose principal activity in a given tax year is industrial production activity.</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225" w:lineRule="exact"/>
        <w:rPr>
          <w:sz w:val="20"/>
          <w:szCs w:val="20"/>
          <w:color w:val="auto"/>
        </w:rPr>
      </w:pPr>
    </w:p>
    <w:p>
      <w:pPr>
        <w:ind w:left="800" w:right="240" w:hanging="225"/>
        <w:spacing w:after="0" w:line="282" w:lineRule="auto"/>
        <w:tabs>
          <w:tab w:leader="none" w:pos="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and rights to use a patent and know-how which are used for the development or advancement of the Industrial Enterprise, over an eight-year period, commencing on the year in which such rights were first exercised;</w:t>
      </w:r>
    </w:p>
    <w:p>
      <w:pPr>
        <w:spacing w:after="0" w:line="161"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w:t>
      </w:r>
    </w:p>
    <w:p>
      <w:pPr>
        <w:spacing w:after="0" w:line="2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a three-year period commencing on the year of the offering.</w:t>
      </w:r>
    </w:p>
    <w:p>
      <w:pPr>
        <w:spacing w:after="0" w:line="225"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w:t>
      </w:r>
    </w:p>
    <w:p>
      <w:pPr>
        <w:spacing w:after="0" w:line="22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The following summary describes certain United States federal income tax considerations generally applicable to United States Holders (as defined below) of our ordinary shares. This summary deals only with our ordinary shares held as capital assets within the meaning of Section 1221 of the Internal Revenue Code of 1986, as amended (“Internal Revenue Code”). This summary also does not address the tax consequences that may be relevant to holders in special tax situations including, without limitation, dealers in securities, traders that elect to use a mark-to-market method of accounting, holders that own our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ordinary shares in a compensatory transaction, holders which are entities or arrangements treated as partnerships for United States federal income tax purposes or holders that actually or constructively through attribution own 10% or more of the total voting power or value of our outstanding ordinary shares.</w:t>
      </w:r>
    </w:p>
    <w:p>
      <w:pPr>
        <w:spacing w:after="0" w:line="188"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183" w:lineRule="exact"/>
        <w:rPr>
          <w:sz w:val="20"/>
          <w:szCs w:val="20"/>
          <w:color w:val="auto"/>
        </w:rPr>
      </w:pPr>
    </w:p>
    <w:p>
      <w:pPr>
        <w:ind w:right="40" w:firstLine="551"/>
        <w:spacing w:after="0" w:line="256" w:lineRule="auto"/>
        <w:rPr>
          <w:sz w:val="20"/>
          <w:szCs w:val="20"/>
          <w:color w:val="auto"/>
        </w:rPr>
      </w:pPr>
      <w:r>
        <w:rPr>
          <w:rFonts w:ascii="Times New Roman" w:cs="Times New Roman" w:eastAsia="Times New Roman" w:hAnsi="Times New Roman"/>
          <w:sz w:val="18"/>
          <w:szCs w:val="18"/>
          <w:color w:val="auto"/>
        </w:rPr>
        <w:t>As used herein, the term “United States Holder” means a beneficial owner of our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Internal Revenue Code Section 7701(a)(30), or (b) that has a valid election in effect under applicable United States Treasury regulations to be treated as a “United States person.”</w:t>
      </w:r>
    </w:p>
    <w:p>
      <w:pPr>
        <w:spacing w:after="0" w:line="187"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United States federal income tax purposes acquires our ordinary shares, the tax treatment of a partner in the partnership generally will depend upon the status of the partner and the activities of the partnership. Such partner or partnership should consult its tax advisors regarding the United States federal income tax consequences of acquiring, owning, and disposing of our ordinary shares.</w:t>
      </w:r>
    </w:p>
    <w:p>
      <w:pPr>
        <w:spacing w:after="0" w:line="17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ORDINARY SHARES, INCLUDING THE APPLICABILITY AND EFFECT OF STATE, LOCAL AND NON-U.S. TAX LAWS AND POSSIBLE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Although we do not anticipate paying any dividends in the foreseeable future, as described in “Item 8.A. “Consolidated Statements and Other Financial Information—Dividend Policy” above, if we do make any distributions, subject to the discussion below under “—Passive Foreign Investment Company,” the amount of dividends paid to a United States Holder with respect to our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ordinary shares and thereafter as capital gain. However, we do not intend to calculate our earnings and profits under United States federal income tax principles. Therefore, United States Holders should expect to treat a distribution as a dividend even if that distribution would otherwise be treated as a non-taxable return of capital or as capital gain under the rules described above.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2" w:name="page113"/>
    <w:bookmarkEnd w:id="112"/>
    <w:p>
      <w:pPr>
        <w:ind w:right="20" w:firstLine="551"/>
        <w:spacing w:after="0" w:line="253" w:lineRule="auto"/>
        <w:rPr>
          <w:sz w:val="20"/>
          <w:szCs w:val="20"/>
          <w:color w:val="auto"/>
        </w:rPr>
      </w:pPr>
      <w:r>
        <w:rPr>
          <w:rFonts w:ascii="Times New Roman" w:cs="Times New Roman" w:eastAsia="Times New Roman" w:hAnsi="Times New Roman"/>
          <w:sz w:val="18"/>
          <w:szCs w:val="18"/>
          <w:color w:val="auto"/>
        </w:rPr>
        <w:t>Foreign withholding tax (if any) paid on dividends on our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situations.</w:t>
      </w:r>
    </w:p>
    <w:p>
      <w:pPr>
        <w:spacing w:after="0" w:line="187" w:lineRule="exact"/>
        <w:rPr>
          <w:sz w:val="20"/>
          <w:szCs w:val="20"/>
          <w:color w:val="auto"/>
        </w:rPr>
      </w:pPr>
    </w:p>
    <w:p>
      <w:pPr>
        <w:ind w:right="40" w:firstLine="551"/>
        <w:spacing w:after="0" w:line="254" w:lineRule="auto"/>
        <w:rPr>
          <w:sz w:val="20"/>
          <w:szCs w:val="20"/>
          <w:color w:val="auto"/>
        </w:rPr>
      </w:pPr>
      <w:r>
        <w:rPr>
          <w:rFonts w:ascii="Times New Roman" w:cs="Times New Roman" w:eastAsia="Times New Roman" w:hAnsi="Times New Roman"/>
          <w:sz w:val="18"/>
          <w:szCs w:val="18"/>
          <w:color w:val="auto"/>
        </w:rPr>
        <w:t>Dividends received by certain non-corporate United States Holders (including individuals) may be “qualified dividend income,” which is taxed at the lower capital gain rate, provided that (i) either our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shares generally are considered to be readily tradable on an established securities market in the United States if they are listed on Nasdaq, as our ordinary shares are. United States Holders should consult their tax advisors regarding the availability of the reduced tax rate on dividends paid with respect to our ordinary shares. The dividends will not be eligible for the dividends received deduction available to United States Holders that are corporations in respect of dividends received from other United States corporations.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Ordinary Shares</w:t>
      </w:r>
    </w:p>
    <w:p>
      <w:pPr>
        <w:spacing w:after="0" w:line="229" w:lineRule="exact"/>
        <w:rPr>
          <w:sz w:val="20"/>
          <w:szCs w:val="20"/>
          <w:color w:val="auto"/>
        </w:rPr>
      </w:pPr>
    </w:p>
    <w:p>
      <w:pPr>
        <w:ind w:firstLine="551"/>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a United States Holder generally will recognize capital gain or loss for United States federal income tax purposes on the sale or other taxable disposition of our ordinary shares equal to the difference, if any, between the amount realized and the United States Holder’s tax basis in those ordinary shares. If any Israeli tax is imposed on the sale, exchange or other disposition of our ordinary shares, a United States Holder’s amount realized will include the gross amount of the proceeds of the deposits before deduction of the Israeli tax. In general, capital gains recognized by a non-corporate United States Holder, including an individual, are subject to a lower rate under current law if such United States Holder held the ordinary shares for more than one year. The deductibility of capital losses is subject to limitations. Any such gain or loss generally will be treated as United States source income or loss for purposes of the foreign tax credit. A United States Holder’s tax basis in its ordinary shares generally will equal the cost of such shares. Because gain for the sale or other taxable disposition of our ordinary shares will be treated as United States source income, and a United States Holder may use foreign tax credits against only the portion of United States federal income tax liability that is attributed to foreign source income in the same category, a United States Holder’s ability to utilize a foreign tax credit with respect to the Israeli tax imposed on any such sale or other taxable disposition, if any, may be significantly limited. In addition, if a United States Holder is eligible for the benefit of the income tax convention between the United States and the State of Israel and pay Israeli tax in excess of the amount applicable to the United States Holder under such convention or if the Israeli tax paid is refundable, the United States Holder will not be able to claim any foreign tax credit or deduction with respect to such excess portion of the Israeli tax paid. United States Holders should consult their tax advisors as to whether the Israeli tax on gains may be creditable or deductible in light of their particular circumstances and their ability to apply the provisions of an applicable treaty.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9" w:lineRule="exact"/>
        <w:rPr>
          <w:sz w:val="20"/>
          <w:szCs w:val="20"/>
          <w:color w:val="auto"/>
        </w:rPr>
      </w:pPr>
    </w:p>
    <w:p>
      <w:pPr>
        <w:ind w:right="40" w:firstLine="551"/>
        <w:spacing w:after="0" w:line="268" w:lineRule="auto"/>
        <w:rPr>
          <w:sz w:val="20"/>
          <w:szCs w:val="20"/>
          <w:color w:val="auto"/>
        </w:rPr>
      </w:pPr>
      <w:r>
        <w:rPr>
          <w:rFonts w:ascii="Times New Roman" w:cs="Times New Roman" w:eastAsia="Times New Roman" w:hAnsi="Times New Roman"/>
          <w:sz w:val="17"/>
          <w:szCs w:val="17"/>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that we were not a FFIC for the year ended December 31, 2021 and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trading value of our ordinary shares, which could fluctuate significantly. In addition, it is possible that the IRS may take a contrary position with respect to our determination in any particular year, and therefore, there can be no assurance that we were not a PFIC for the year ended December 31, 2021 or will not be classified as a PFIC for the current taxable year or in the future. Certain adverse United States federal income tax consequences could apply to a United States Holder if we are treated as a PFIC for any taxable year during which such United States Holder holds our ordinary shares. Under the PFIC rules, if we were considered a PFIC at any time that a United States Holder holds our ordinary shares, we would continue to be treated as a PFIC with respect to such holder’s investment unless (i) we cease to be a PFIC, and (ii) the United States Holder has made a “deemed sale” election under the PFIC rules.</w:t>
      </w:r>
    </w:p>
    <w:p>
      <w:pPr>
        <w:spacing w:after="0" w:line="177" w:lineRule="exact"/>
        <w:rPr>
          <w:sz w:val="20"/>
          <w:szCs w:val="20"/>
          <w:color w:val="auto"/>
        </w:rPr>
      </w:pPr>
    </w:p>
    <w:p>
      <w:pPr>
        <w:ind w:firstLine="551"/>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that a United States Holder holds our ordinary shares, unless the United States Holder makes certain elections, any gain recognized by the United States Holder on a sale or other disposition of our ordinary shares would be allocated pro-rata over the United States Holder’s holding period for the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ordinary shares exceeds 125% of the average of the annual distributions on the ordinary shares received during the preceding three years or the United States Holder’s holding period, whichever is shorter, that distribution would be subject to taxation in the same manner as gain on the sale or other disposition of our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ordinary shares. In addition, a timely election to treat us as a qualified electing fund under the Internal Revenue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ordinary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160" w:firstLine="551"/>
        <w:spacing w:after="0" w:line="261" w:lineRule="auto"/>
        <w:rPr>
          <w:sz w:val="20"/>
          <w:szCs w:val="20"/>
          <w:color w:val="auto"/>
        </w:rPr>
      </w:pPr>
      <w:r>
        <w:rPr>
          <w:rFonts w:ascii="Times New Roman" w:cs="Times New Roman" w:eastAsia="Times New Roman" w:hAnsi="Times New Roman"/>
          <w:sz w:val="18"/>
          <w:szCs w:val="18"/>
          <w:color w:val="auto"/>
        </w:rPr>
        <w:t>Dividend payments and proceeds paid from the sale or other taxable disposition of our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ordinary shares paid within the United States or through certain U.S.-related financial intermediaries.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4" w:name="page115"/>
    <w:bookmarkEnd w:id="114"/>
    <w:p>
      <w:pPr>
        <w:ind w:right="260" w:firstLine="551"/>
        <w:spacing w:after="0" w:line="261" w:lineRule="auto"/>
        <w:rPr>
          <w:sz w:val="20"/>
          <w:szCs w:val="20"/>
          <w:color w:val="auto"/>
        </w:rPr>
      </w:pPr>
      <w:r>
        <w:rPr>
          <w:rFonts w:ascii="Times New Roman" w:cs="Times New Roman" w:eastAsia="Times New Roman" w:hAnsi="Times New Roman"/>
          <w:sz w:val="18"/>
          <w:szCs w:val="18"/>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Financial Asset Reporting</w:t>
      </w:r>
    </w:p>
    <w:p>
      <w:pPr>
        <w:spacing w:after="0" w:line="229"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Certain United States Holders are required to report their holdings of certain foreign financial assets, including equity of foreign entities, if the aggregate value of all of these assets exceeds certain threshold amounts. Our ordinary shares are expected to constitute foreign financial assets subject to these requirements unless the ordinary shares are held in an account at certain financial institutions. United States Holders should consult their tax advisors regarding the application of these reporting requirements.</w:t>
      </w:r>
    </w:p>
    <w:p>
      <w:pPr>
        <w:spacing w:after="0" w:line="176" w:lineRule="exact"/>
        <w:rPr>
          <w:sz w:val="20"/>
          <w:szCs w:val="20"/>
          <w:color w:val="auto"/>
        </w:rPr>
      </w:pPr>
    </w:p>
    <w:p>
      <w:pPr>
        <w:ind w:left="660" w:right="8320" w:hanging="328"/>
        <w:spacing w:after="0" w:line="500" w:lineRule="auto"/>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8920" w:hanging="328"/>
        <w:spacing w:after="0" w:line="530" w:lineRule="auto"/>
        <w:tabs>
          <w:tab w:leader="none" w:pos="66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60" w:hanging="328"/>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right="100" w:firstLine="551"/>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Our filings with the SEC are also available to the public through the SEC’s website at http://www.sec.gov. This site contains reports and other information about issuers, like us, that file electronically with the SEC. The address of that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maintain a corporate website at http://www.global-e.com. Information contained on, or that can be accessed through our website does not constitute a part of this Annual Report on Form 20-F. We also make available on our website’s investor relations page at http://investors.global-e.com,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83"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85" w:lineRule="exact"/>
        <w:rPr>
          <w:sz w:val="20"/>
          <w:szCs w:val="20"/>
          <w:color w:val="auto"/>
        </w:rPr>
      </w:pPr>
    </w:p>
    <w:p>
      <w:pPr>
        <w:ind w:left="660" w:right="8760" w:hanging="328"/>
        <w:spacing w:after="0" w:line="537" w:lineRule="auto"/>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firstLine="551"/>
        <w:spacing w:after="0" w:line="282" w:lineRule="auto"/>
        <w:rPr>
          <w:sz w:val="20"/>
          <w:szCs w:val="20"/>
          <w:color w:val="auto"/>
        </w:rPr>
      </w:pPr>
      <w:r>
        <w:rPr>
          <w:rFonts w:ascii="Times New Roman" w:cs="Times New Roman" w:eastAsia="Times New Roman" w:hAnsi="Times New Roman"/>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20" w:firstLine="551"/>
        <w:spacing w:after="0" w:line="256" w:lineRule="auto"/>
        <w:rPr>
          <w:sz w:val="20"/>
          <w:szCs w:val="20"/>
          <w:color w:val="auto"/>
        </w:rPr>
      </w:pPr>
      <w:r>
        <w:rPr>
          <w:rFonts w:ascii="Times New Roman" w:cs="Times New Roman" w:eastAsia="Times New Roman" w:hAnsi="Times New Roman"/>
          <w:sz w:val="18"/>
          <w:szCs w:val="18"/>
          <w:color w:val="auto"/>
        </w:rPr>
        <w:t>A majority of our purchase and sale transactions are carried out in different currencies, including the U.S. Dollar, Euro and Pounds Sterling, and we bear the risk of diminution in value of the relevant shopper’s purchasing currency in the interim periods between the various transaction stages (e.g. placement/payment and returns/refund). Additionally, we incur a substantial portion of our operating expenses in New Israeli Shekels, Pounds Sterling and U.S. Dollars, and to a lesser extent, other foreign currencies. Our results of operations and cash flows are, therefore, subject to fluctuations due to changes in foreign currency exchange rates. However, we believe we have a certain level of built-in “natural currency hedge” provided by our bi-directional volume of sales and broad international activity.</w:t>
      </w:r>
    </w:p>
    <w:p>
      <w:pPr>
        <w:spacing w:after="0" w:line="187"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Despite this natural hedge, we may incur additional costs and experience losses resulting from fluctuations in exchange rates for revenues in foreign currencies or upon translation of New Israeli Shekels expenses incurred in Israel, or Pounds Sterling expenses incurred in the United Kingdom, to U.S. Dollars.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December 31, 2021, we did not hedge our foreign currency exchange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229" w:lineRule="exact"/>
        <w:rPr>
          <w:sz w:val="20"/>
          <w:szCs w:val="20"/>
          <w:color w:val="auto"/>
        </w:rPr>
      </w:pPr>
    </w:p>
    <w:p>
      <w:pPr>
        <w:ind w:firstLine="551"/>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May 14, 2021, upon closing of the IPO, we amended and restated our articles of association. A copy of our amended and restated articles of association is attached as Exhibit 1.1 to this Annual Report.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2021. Based upon that evaluation, our Chief Executive Officer and Chief Financial Officer concluded that, as of December 31, 2021, our disclosure controls and procedures were effective to accomplish their objectives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(as such term is defined in Rules 13a-15(f) and 15d-15(f) under the Securities Exchange Act) or an attestation report of the company’s registered public accounting firm due to a transition period established by rules of the Securities and Exchange Commission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 Tzvia Broida is an audit committee financial expert as defined by the SEC rules and has the requisite financial experience as defined by the corporate governance rules of Nasdaq.</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determined that each member of our audit committee is “independent” as such term is defined in Rule 10A-3(b)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the Exchange Act, which is different from the general test for independence of board and committee members.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our employees, officers and directors. Our Code of Business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Business Conduct. Our Code of Business Conduct is intended to meet the definition of “code of ethics” under Item 16B of 20-F under the Exchange Act.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disclose on our website any amendment to, or waiver from, a provision of our Code of Business Conduct that applies to our directors or executive officers to the extent required under the rules of the SEC or the Nasdaq. Our Code of Business Conduct is available on our website at </w:t>
      </w:r>
      <w:r>
        <w:rPr>
          <w:rFonts w:ascii="Times New Roman" w:cs="Times New Roman" w:eastAsia="Times New Roman" w:hAnsi="Times New Roman"/>
          <w:sz w:val="18"/>
          <w:szCs w:val="18"/>
          <w:u w:val="single" w:color="auto"/>
          <w:color w:val="auto"/>
        </w:rPr>
        <w:t>https://investors.global-e.com/corporate-governance/documents-charters</w:t>
      </w:r>
      <w:r>
        <w:rPr>
          <w:rFonts w:ascii="Times New Roman" w:cs="Times New Roman" w:eastAsia="Times New Roman" w:hAnsi="Times New Roman"/>
          <w:sz w:val="18"/>
          <w:szCs w:val="18"/>
          <w:color w:val="auto"/>
        </w:rPr>
        <w:t>. The information contained on or through our website, or any other website referred to herein, is not incorporated by reference in this Annual Report.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granted no waivers under our Code of Business Conduct and Ethics in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Accounting Fees and Services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Global-E Online Ltd. at December 31, 2020 and 2021, and for each of the two years in the period ended December 31, 2021,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Tel Aviv 6492102, Israel</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of services rendered to us by Kost, Forer, Gabbay &amp; Kasierer, a member of Ernst &amp; Young Global, for services performed in the years ended December 31, 2020 and 2021, and breaks down these amounts by category of service: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Audit fees for the years ended December 31, 2020 and 2021 include fees for the audit of our annual financial statements. This category also includes services that the independent accountant generally provides, such as consents and assistance with and review of documents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Audit related fees for the year ended December 31, 2020 and 2021 related to services in connection with our IPO and our underwritten secondary follow-on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for the years ended December 31, 2020 and 2021 related to ongoing tax advisory, tax compliance and tax planning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fees in the years ended December 31, 2020 and 2021 related to services in connection with non-audit compliance and review work.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right="40" w:firstLine="551"/>
        <w:spacing w:after="0" w:line="253" w:lineRule="auto"/>
        <w:rPr>
          <w:sz w:val="20"/>
          <w:szCs w:val="20"/>
          <w:color w:val="auto"/>
        </w:rPr>
      </w:pPr>
      <w:r>
        <w:rPr>
          <w:rFonts w:ascii="Times New Roman" w:cs="Times New Roman" w:eastAsia="Times New Roman" w:hAnsi="Times New Roman"/>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194" w:lineRule="exact"/>
        <w:rPr>
          <w:sz w:val="20"/>
          <w:szCs w:val="20"/>
          <w:color w:val="auto"/>
        </w:rPr>
      </w:pPr>
    </w:p>
    <w:p>
      <w:pPr>
        <w:ind w:right="120" w:firstLine="551"/>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w:t>
      </w:r>
    </w:p>
    <w:p>
      <w:pPr>
        <w:spacing w:after="0" w:line="176" w:lineRule="exact"/>
        <w:rPr>
          <w:sz w:val="20"/>
          <w:szCs w:val="20"/>
          <w:color w:val="auto"/>
        </w:rPr>
      </w:pPr>
    </w:p>
    <w:p>
      <w:pPr>
        <w:ind w:firstLine="551"/>
        <w:spacing w:after="0" w:line="228" w:lineRule="auto"/>
        <w:rPr>
          <w:sz w:val="20"/>
          <w:szCs w:val="20"/>
          <w:color w:val="auto"/>
        </w:rPr>
      </w:pPr>
      <w:r>
        <w:rPr>
          <w:rFonts w:ascii="Times New Roman" w:cs="Times New Roman" w:eastAsia="Times New Roman" w:hAnsi="Times New Roman"/>
          <w:sz w:val="18"/>
          <w:szCs w:val="18"/>
          <w:color w:val="auto"/>
        </w:rPr>
        <w:t>We rely on this “foreign private issuer exemption” with respect to the quorum requirement for shareholder meetings. Whereas under the corporate governance rules of Nasdaq, a quorum requires the presence, in person or by proxy, of holders of at least 33</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of the total issued outstanding voting power of our shares at each general meeting of shareholders, pursuant to our amended and restated articles of association, and as permitted under the Companies Law, the quorum required for a general meeting of shareholders consists of at least two shareholders present in person or by proxy in accordance with the Companies Law, who hold or represent at least 33</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of the total voting power of our shares, except if (i) any such general meeting of shareholders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(and if the meeting is adjourned for a lack of quorum, the quorum for such adjourned meeting will be, subject to certain exceptions, any number of shareholders). We otherwise comply with and intend to continue to comply with the rules generally applicable to U.S. domestic companies listed on Nasdaq. We may, however, in the future decide to use the “foreign private issuer exemption” and opt out of some or all of the other corporate governance rules. Following our home country governance practices may provide less protection than is accorded to investors under the corporate governance rules of the Nasdaq applicable to domestic issuers.</w:t>
      </w:r>
    </w:p>
    <w:p>
      <w:pPr>
        <w:spacing w:after="0" w:line="20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 corporate governance rules.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audited consolidated financial statements as required under Item 18 are attached hereto starting on page F-1 of this Annual Report.</w:t>
      </w:r>
    </w:p>
    <w:p>
      <w:pPr>
        <w:sectPr>
          <w:pgSz w:w="11900" w:h="16838" w:orient="portrait"/>
          <w:cols w:equalWidth="0" w:num="1">
            <w:col w:w="11240"/>
          </w:cols>
          <w:pgMar w:left="320" w:top="333" w:right="339" w:bottom="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gridSpan w:val="16"/>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0" w:type="dxa"/>
            <w:vAlign w:val="bottom"/>
          </w:tcPr>
          <w:p>
            <w:pPr>
              <w:spacing w:after="0"/>
              <w:rPr>
                <w:sz w:val="1"/>
                <w:szCs w:val="1"/>
                <w:color w:val="auto"/>
              </w:rPr>
            </w:pPr>
          </w:p>
        </w:tc>
      </w:tr>
      <w:tr>
        <w:trPr>
          <w:trHeight w:val="34"/>
        </w:trPr>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0" w:type="dxa"/>
            <w:vAlign w:val="bottom"/>
            <w:gridSpan w:val="3"/>
          </w:tcPr>
          <w:p>
            <w:pPr>
              <w:jc w:val="center"/>
              <w:ind w:left="350"/>
              <w:spacing w:after="0" w:line="202" w:lineRule="exact"/>
              <w:rPr>
                <w:rFonts w:ascii="Times New Roman" w:cs="Times New Roman" w:eastAsia="Times New Roman" w:hAnsi="Times New Roman"/>
                <w:sz w:val="18"/>
                <w:szCs w:val="18"/>
                <w:color w:val="0000EE"/>
                <w:w w:val="97"/>
              </w:rPr>
            </w:pPr>
            <w:hyperlink r:id="rId140">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hyperlink>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gridSpan w:val="20"/>
          </w:tcPr>
          <w:p>
            <w:pPr>
              <w:spacing w:after="0" w:line="202"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 Articles of Association of the</w:t>
              </w:r>
            </w:hyperlink>
          </w:p>
        </w:tc>
        <w:tc>
          <w:tcPr>
            <w:tcW w:w="1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0000EE"/>
            </w:tcBorders>
            <w:gridSpan w:val="2"/>
            <w:vMerge w:val="restart"/>
          </w:tcPr>
          <w:p>
            <w:pPr>
              <w:spacing w:after="0" w:line="196" w:lineRule="exact"/>
              <w:rPr>
                <w:rFonts w:ascii="Times New Roman" w:cs="Times New Roman" w:eastAsia="Times New Roman" w:hAnsi="Times New Roman"/>
                <w:sz w:val="18"/>
                <w:szCs w:val="18"/>
                <w:color w:val="0000EE"/>
                <w:w w:val="97"/>
              </w:rPr>
            </w:pPr>
            <w:hyperlink r:id="rId140">
              <w:r>
                <w:rPr>
                  <w:rFonts w:ascii="Times New Roman" w:cs="Times New Roman" w:eastAsia="Times New Roman" w:hAnsi="Times New Roman"/>
                  <w:sz w:val="18"/>
                  <w:szCs w:val="18"/>
                  <w:color w:val="0000EE"/>
                  <w:w w:val="97"/>
                </w:rPr>
                <w:t>Registrant</w:t>
              </w:r>
            </w:hyperlink>
          </w:p>
        </w:tc>
        <w:tc>
          <w:tcPr>
            <w:tcW w:w="3100" w:type="dxa"/>
            <w:vAlign w:val="bottom"/>
            <w:tcBorders>
              <w:top w:val="single" w:sz="8" w:color="0000EE"/>
            </w:tcBorders>
            <w:gridSpan w:val="13"/>
            <w:vMerge w:val="restart"/>
          </w:tcPr>
          <w:p>
            <w:pPr>
              <w:spacing w:after="0"/>
              <w:rPr>
                <w:sz w:val="11"/>
                <w:szCs w:val="11"/>
                <w:color w:val="auto"/>
              </w:rPr>
            </w:pPr>
          </w:p>
        </w:tc>
        <w:tc>
          <w:tcPr>
            <w:tcW w:w="160" w:type="dxa"/>
            <w:vAlign w:val="bottom"/>
            <w:gridSpan w:val="5"/>
            <w:vMerge w:val="restart"/>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0000EE"/>
            </w:tcBorders>
            <w:gridSpan w:val="2"/>
            <w:vMerge w:val="continue"/>
          </w:tcPr>
          <w:p>
            <w:pPr>
              <w:spacing w:after="0"/>
              <w:rPr>
                <w:sz w:val="5"/>
                <w:szCs w:val="5"/>
                <w:color w:val="auto"/>
              </w:rPr>
            </w:pPr>
          </w:p>
        </w:tc>
        <w:tc>
          <w:tcPr>
            <w:tcW w:w="3100" w:type="dxa"/>
            <w:vAlign w:val="bottom"/>
            <w:gridSpan w:val="13"/>
            <w:vMerge w:val="continue"/>
          </w:tcPr>
          <w:p>
            <w:pPr>
              <w:spacing w:after="0"/>
              <w:rPr>
                <w:sz w:val="5"/>
                <w:szCs w:val="5"/>
                <w:color w:val="auto"/>
              </w:rPr>
            </w:pPr>
          </w:p>
        </w:tc>
        <w:tc>
          <w:tcPr>
            <w:tcW w:w="16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jc w:val="center"/>
              <w:ind w:left="350"/>
              <w:spacing w:after="0"/>
              <w:rPr>
                <w:rFonts w:ascii="Times New Roman" w:cs="Times New Roman" w:eastAsia="Times New Roman" w:hAnsi="Times New Roman"/>
                <w:sz w:val="18"/>
                <w:szCs w:val="18"/>
                <w:color w:val="0000EE"/>
                <w:w w:val="97"/>
              </w:rPr>
            </w:pPr>
            <w:hyperlink r:id="rId141">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Specimen share certificate</w:t>
              </w:r>
            </w:hyperlink>
          </w:p>
        </w:tc>
        <w:tc>
          <w:tcPr>
            <w:tcW w:w="1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0" w:type="dxa"/>
            <w:vAlign w:val="bottom"/>
            <w:gridSpan w:val="3"/>
            <w:vMerge w:val="restart"/>
          </w:tcPr>
          <w:p>
            <w:pPr>
              <w:jc w:val="center"/>
              <w:ind w:left="350"/>
              <w:spacing w:after="0"/>
              <w:rPr>
                <w:rFonts w:ascii="Times New Roman" w:cs="Times New Roman" w:eastAsia="Times New Roman" w:hAnsi="Times New Roman"/>
                <w:sz w:val="18"/>
                <w:szCs w:val="18"/>
                <w:color w:val="0000EE"/>
                <w:w w:val="97"/>
              </w:rPr>
            </w:pPr>
            <w:hyperlink w:anchor="page160">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2</w:t>
              </w:r>
            </w:hyperlink>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Description of Securities</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6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jc w:val="center"/>
              <w:ind w:left="350"/>
              <w:spacing w:after="0"/>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Indemnification Agreement</w:t>
              </w:r>
            </w:hyperlink>
          </w:p>
        </w:tc>
        <w:tc>
          <w:tcPr>
            <w:tcW w:w="1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80" w:type="dxa"/>
            <w:vAlign w:val="bottom"/>
            <w:gridSpan w:val="4"/>
            <w:vMerge w:val="restart"/>
          </w:tcPr>
          <w:p>
            <w:pPr>
              <w:jc w:val="center"/>
              <w:spacing w:after="0"/>
              <w:rPr>
                <w:rFonts w:ascii="Times New Roman" w:cs="Times New Roman" w:eastAsia="Times New Roman" w:hAnsi="Times New Roman"/>
                <w:sz w:val="18"/>
                <w:szCs w:val="18"/>
                <w:color w:val="0000EE"/>
                <w:w w:val="95"/>
              </w:rPr>
            </w:pPr>
            <w:hyperlink r:id="rId143">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2#</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2013 Share Incentive Plan</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gridSpan w:val="4"/>
            <w:vMerge w:val="restart"/>
          </w:tcPr>
          <w:p>
            <w:pPr>
              <w:jc w:val="center"/>
              <w:spacing w:after="0"/>
              <w:rPr>
                <w:rFonts w:ascii="Times New Roman" w:cs="Times New Roman" w:eastAsia="Times New Roman" w:hAnsi="Times New Roman"/>
                <w:sz w:val="18"/>
                <w:szCs w:val="18"/>
                <w:color w:val="0000EE"/>
                <w:w w:val="95"/>
              </w:rPr>
            </w:pPr>
            <w:hyperlink r:id="rId144">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3#</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2021 Share Incentive Plan.</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1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gridSpan w:val="4"/>
            <w:vMerge w:val="restart"/>
          </w:tcPr>
          <w:p>
            <w:pPr>
              <w:jc w:val="center"/>
              <w:spacing w:after="0"/>
              <w:rPr>
                <w:rFonts w:ascii="Times New Roman" w:cs="Times New Roman" w:eastAsia="Times New Roman" w:hAnsi="Times New Roman"/>
                <w:sz w:val="18"/>
                <w:szCs w:val="18"/>
                <w:color w:val="0000EE"/>
                <w:w w:val="95"/>
              </w:rPr>
            </w:pPr>
            <w:hyperlink r:id="rId146">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4#</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2021 Employee Stock Purchase Plan</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80" w:type="dxa"/>
            <w:vAlign w:val="bottom"/>
            <w:gridSpan w:val="4"/>
            <w:vMerge w:val="restart"/>
          </w:tcPr>
          <w:p>
            <w:pPr>
              <w:jc w:val="center"/>
              <w:spacing w:after="0"/>
              <w:rPr>
                <w:rFonts w:ascii="Times New Roman" w:cs="Times New Roman" w:eastAsia="Times New Roman" w:hAnsi="Times New Roman"/>
                <w:sz w:val="18"/>
                <w:szCs w:val="18"/>
                <w:color w:val="0000EE"/>
                <w:w w:val="95"/>
              </w:rPr>
            </w:pPr>
            <w:hyperlink r:id="rId147">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5#</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Compensation Policy for Directors and Officers</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0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 w:type="dxa"/>
            <w:vAlign w:val="bottom"/>
          </w:tcPr>
          <w:p>
            <w:pPr>
              <w:spacing w:after="0"/>
              <w:rPr>
                <w:sz w:val="11"/>
                <w:szCs w:val="11"/>
                <w:color w:val="auto"/>
              </w:rPr>
            </w:pPr>
          </w:p>
        </w:tc>
        <w:tc>
          <w:tcPr>
            <w:tcW w:w="700" w:type="dxa"/>
            <w:vAlign w:val="bottom"/>
            <w:gridSpan w:val="3"/>
            <w:vMerge w:val="restart"/>
          </w:tcPr>
          <w:p>
            <w:pPr>
              <w:jc w:val="center"/>
              <w:ind w:right="360"/>
              <w:spacing w:after="0"/>
              <w:rPr>
                <w:rFonts w:ascii="Times New Roman" w:cs="Times New Roman" w:eastAsia="Times New Roman" w:hAnsi="Times New Roman"/>
                <w:sz w:val="18"/>
                <w:szCs w:val="18"/>
                <w:color w:val="0000EE"/>
                <w:w w:val="95"/>
              </w:rPr>
            </w:pPr>
            <w:hyperlink r:id="rId148">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6</w:t>
              </w:r>
            </w:hyperlink>
            <w:r>
              <w:rPr>
                <w:rFonts w:ascii="Times New Roman" w:cs="Times New Roman" w:eastAsia="Times New Roman" w:hAnsi="Times New Roman"/>
                <w:sz w:val="18"/>
                <w:szCs w:val="18"/>
                <w:color w:val="000000"/>
                <w:w w:val="95"/>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0"/>
            <w:vMerge w:val="restart"/>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Service Agreement by and between DHL International</w:t>
              </w:r>
            </w:hyperlink>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80" w:type="dxa"/>
            <w:vAlign w:val="bottom"/>
          </w:tcPr>
          <w:p>
            <w:pPr>
              <w:spacing w:after="0"/>
              <w:rPr>
                <w:sz w:val="24"/>
                <w:szCs w:val="24"/>
                <w:color w:val="auto"/>
              </w:rPr>
            </w:pPr>
          </w:p>
        </w:tc>
        <w:tc>
          <w:tcPr>
            <w:tcW w:w="7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(UK) Limited and Global-e U.K. Ltd., dated as of</w:t>
              </w:r>
            </w:hyperlink>
          </w:p>
        </w:tc>
        <w:tc>
          <w:tcPr>
            <w:tcW w:w="38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gridSpan w:val="2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May 21, 2019</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700" w:type="dxa"/>
            <w:vAlign w:val="bottom"/>
            <w:gridSpan w:val="3"/>
          </w:tcPr>
          <w:p>
            <w:pPr>
              <w:jc w:val="center"/>
              <w:ind w:right="360"/>
              <w:spacing w:after="0"/>
              <w:rPr>
                <w:rFonts w:ascii="Times New Roman" w:cs="Times New Roman" w:eastAsia="Times New Roman" w:hAnsi="Times New Roman"/>
                <w:sz w:val="18"/>
                <w:szCs w:val="18"/>
                <w:color w:val="0000EE"/>
                <w:w w:val="95"/>
              </w:rPr>
            </w:pPr>
            <w:hyperlink r:id="rId150">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7</w:t>
              </w:r>
            </w:hyperlink>
            <w:r>
              <w:rPr>
                <w:rFonts w:ascii="Times New Roman" w:cs="Times New Roman" w:eastAsia="Times New Roman" w:hAnsi="Times New Roman"/>
                <w:sz w:val="18"/>
                <w:szCs w:val="18"/>
                <w:color w:val="000000"/>
                <w:w w:val="95"/>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0"/>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Letter Agreement re: DHL Special Rights between the</w:t>
              </w:r>
            </w:hyperlink>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Registrant and DHL International GmbH, dated as of</w:t>
              </w:r>
            </w:hyperlink>
          </w:p>
        </w:tc>
        <w:tc>
          <w:tcPr>
            <w:tcW w:w="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March 27, 2017, as amended</w:t>
              </w:r>
            </w:hyperlink>
          </w:p>
        </w:tc>
        <w:tc>
          <w:tcPr>
            <w:tcW w:w="1740" w:type="dxa"/>
            <w:vAlign w:val="bottom"/>
            <w:tcBorders>
              <w:top w:val="single" w:sz="8" w:color="0000EE"/>
            </w:tcBorders>
            <w:gridSpan w:val="7"/>
          </w:tcPr>
          <w:p>
            <w:pPr>
              <w:spacing w:after="0"/>
              <w:rPr>
                <w:sz w:val="17"/>
                <w:szCs w:val="17"/>
                <w:color w:val="auto"/>
              </w:rPr>
            </w:pPr>
          </w:p>
        </w:tc>
        <w:tc>
          <w:tcPr>
            <w:tcW w:w="1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jc w:val="center"/>
              <w:ind w:left="350"/>
              <w:spacing w:after="0"/>
              <w:rPr>
                <w:rFonts w:ascii="Times New Roman" w:cs="Times New Roman" w:eastAsia="Times New Roman" w:hAnsi="Times New Roman"/>
                <w:sz w:val="18"/>
                <w:szCs w:val="18"/>
                <w:color w:val="0000EE"/>
                <w:w w:val="97"/>
              </w:rPr>
            </w:pPr>
            <w:hyperlink r:id="rId15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0"/>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Stock Purchase Warrant dated as of July 14, 2021, by</w:t>
              </w:r>
            </w:hyperlink>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and between the Registrant and Shopify International</w:t>
              </w:r>
            </w:hyperlink>
          </w:p>
        </w:tc>
        <w:tc>
          <w:tcPr>
            <w:tcW w:w="20" w:type="dxa"/>
            <w:vAlign w:val="bottom"/>
            <w:tcBorders>
              <w:top w:val="single" w:sz="8" w:color="0000EE"/>
            </w:tcBorders>
          </w:tcPr>
          <w:p>
            <w:pPr>
              <w:spacing w:after="0"/>
              <w:rPr>
                <w:sz w:val="17"/>
                <w:szCs w:val="17"/>
                <w:color w:val="auto"/>
              </w:rPr>
            </w:pPr>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gridSpan w:val="20"/>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Limited</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700" w:type="dxa"/>
            <w:vAlign w:val="bottom"/>
            <w:gridSpan w:val="3"/>
          </w:tcPr>
          <w:p>
            <w:pPr>
              <w:jc w:val="center"/>
              <w:ind w:right="360"/>
              <w:spacing w:after="0"/>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9†</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gridSpan w:val="20"/>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Partnership and Services Agreement, dated as of</w:t>
              </w:r>
            </w:hyperlink>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April 12, 2021, by and between Shopify Inc. and the</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Registrant</w:t>
              </w:r>
            </w:hyperlink>
          </w:p>
        </w:tc>
        <w:tc>
          <w:tcPr>
            <w:tcW w:w="326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Share Purchase Warrant dated as of January 4, 2022 by</w:t>
              </w:r>
            </w:hyperlink>
          </w:p>
        </w:tc>
        <w:tc>
          <w:tcPr>
            <w:tcW w:w="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gridSpan w:val="21"/>
          </w:tcPr>
          <w:p>
            <w:pPr>
              <w:spacing w:after="0" w:line="176"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and between the Registrant and Shopify Strategic</w:t>
              </w:r>
            </w:hyperlink>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Holdings LLC</w:t>
              </w:r>
            </w:hyperlink>
          </w:p>
        </w:tc>
        <w:tc>
          <w:tcPr>
            <w:tcW w:w="2500" w:type="dxa"/>
            <w:vAlign w:val="bottom"/>
            <w:tcBorders>
              <w:top w:val="single" w:sz="8" w:color="0000EE"/>
            </w:tcBorders>
            <w:gridSpan w:val="7"/>
          </w:tcPr>
          <w:p>
            <w:pPr>
              <w:spacing w:after="0"/>
              <w:rPr>
                <w:sz w:val="17"/>
                <w:szCs w:val="17"/>
                <w:color w:val="auto"/>
              </w:rPr>
            </w:pPr>
          </w:p>
        </w:tc>
        <w:tc>
          <w:tcPr>
            <w:tcW w:w="4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5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333-259371</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p>
    <w:p>
      <w:pPr>
        <w:spacing w:after="0" w:line="482" w:lineRule="exact"/>
        <w:rPr>
          <w:sz w:val="20"/>
          <w:szCs w:val="20"/>
          <w:color w:val="auto"/>
        </w:rPr>
      </w:pPr>
    </w:p>
    <w:p>
      <w:pPr>
        <w:sectPr>
          <w:pgSz w:w="11900" w:h="16838" w:orient="portrait"/>
          <w:cols w:equalWidth="0" w:num="2">
            <w:col w:w="6480" w:space="100"/>
            <w:col w:w="4660"/>
          </w:cols>
          <w:pgMar w:left="320" w:top="333" w:right="339" w:bottom="0" w:gutter="0" w:footer="0" w:header="0"/>
          <w:type w:val="continuous"/>
        </w:sectPr>
      </w:pPr>
    </w:p>
    <w:tbl>
      <w:tblPr>
        <w:tblLayout w:type="fixed"/>
        <w:tblInd w:w="340" w:type="dxa"/>
        <w:tblCellMar>
          <w:top w:w="0" w:type="dxa"/>
          <w:left w:w="0" w:type="dxa"/>
          <w:bottom w:w="0" w:type="dxa"/>
          <w:right w:w="0" w:type="dxa"/>
        </w:tblCellMar>
      </w:tblPr>
      <w:tr>
        <w:trPr>
          <w:trHeight w:val="207"/>
        </w:trPr>
        <w:tc>
          <w:tcPr>
            <w:tcW w:w="860" w:type="dxa"/>
            <w:vAlign w:val="bottom"/>
            <w:gridSpan w:val="4"/>
          </w:tcPr>
          <w:p>
            <w:pPr>
              <w:jc w:val="center"/>
              <w:ind w:right="460"/>
              <w:spacing w:after="0"/>
              <w:rPr>
                <w:rFonts w:ascii="Times New Roman" w:cs="Times New Roman" w:eastAsia="Times New Roman" w:hAnsi="Times New Roman"/>
                <w:sz w:val="18"/>
                <w:szCs w:val="18"/>
                <w:color w:val="0000EE"/>
                <w:w w:val="98"/>
              </w:rPr>
            </w:pPr>
            <w:hyperlink w:anchor="page182">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11†</w:t>
              </w:r>
            </w:hyperlink>
          </w:p>
        </w:tc>
        <w:tc>
          <w:tcPr>
            <w:tcW w:w="4280" w:type="dxa"/>
            <w:vAlign w:val="bottom"/>
            <w:gridSpan w:val="13"/>
          </w:tcPr>
          <w:p>
            <w:pPr>
              <w:spacing w:after="0"/>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Share Purchase Warrant dated as of January 4, 2022 by</w:t>
              </w:r>
            </w:hyperlink>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and between the Registrant and Shopify Strategic</w:t>
              </w:r>
            </w:hyperlink>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82">
              <w:r>
                <w:rPr>
                  <w:rFonts w:ascii="Times New Roman" w:cs="Times New Roman" w:eastAsia="Times New Roman" w:hAnsi="Times New Roman"/>
                  <w:sz w:val="18"/>
                  <w:szCs w:val="18"/>
                  <w:color w:val="0000EE"/>
                  <w:w w:val="99"/>
                </w:rPr>
                <w:t>Holdings LLC</w:t>
              </w:r>
            </w:hyperlink>
          </w:p>
        </w:tc>
        <w:tc>
          <w:tcPr>
            <w:tcW w:w="2500" w:type="dxa"/>
            <w:vAlign w:val="bottom"/>
            <w:tcBorders>
              <w:top w:val="single" w:sz="8" w:color="0000EE"/>
            </w:tcBorders>
            <w:gridSpan w:val="6"/>
          </w:tcPr>
          <w:p>
            <w:pPr>
              <w:spacing w:after="0"/>
              <w:rPr>
                <w:sz w:val="17"/>
                <w:szCs w:val="17"/>
                <w:color w:val="auto"/>
              </w:rPr>
            </w:pPr>
          </w:p>
        </w:tc>
        <w:tc>
          <w:tcPr>
            <w:tcW w:w="7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gridSpan w:val="4"/>
          </w:tcPr>
          <w:p>
            <w:pPr>
              <w:jc w:val="center"/>
              <w:ind w:right="460"/>
              <w:spacing w:after="0"/>
              <w:rPr>
                <w:rFonts w:ascii="Times New Roman" w:cs="Times New Roman" w:eastAsia="Times New Roman" w:hAnsi="Times New Roman"/>
                <w:sz w:val="18"/>
                <w:szCs w:val="18"/>
                <w:color w:val="0000EE"/>
                <w:w w:val="98"/>
              </w:rPr>
            </w:pPr>
            <w:hyperlink w:anchor="page196">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12†</w:t>
              </w:r>
            </w:hyperlink>
          </w:p>
        </w:tc>
        <w:tc>
          <w:tcPr>
            <w:tcW w:w="4280" w:type="dxa"/>
            <w:vAlign w:val="bottom"/>
            <w:gridSpan w:val="13"/>
          </w:tcPr>
          <w:p>
            <w:pPr>
              <w:spacing w:after="0"/>
              <w:rPr>
                <w:rFonts w:ascii="Times New Roman" w:cs="Times New Roman" w:eastAsia="Times New Roman" w:hAnsi="Times New Roman"/>
                <w:sz w:val="18"/>
                <w:szCs w:val="18"/>
                <w:color w:val="0000EE"/>
              </w:rPr>
            </w:pPr>
            <w:hyperlink w:anchor="page196">
              <w:r>
                <w:rPr>
                  <w:rFonts w:ascii="Times New Roman" w:cs="Times New Roman" w:eastAsia="Times New Roman" w:hAnsi="Times New Roman"/>
                  <w:sz w:val="18"/>
                  <w:szCs w:val="18"/>
                  <w:color w:val="0000EE"/>
                </w:rPr>
                <w:t>Amended and Restated Master Services Agreement,</w:t>
              </w:r>
            </w:hyperlink>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2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dated as of January 4, 2022, by and between Shopify</w:t>
              </w:r>
            </w:hyperlink>
          </w:p>
        </w:tc>
        <w:tc>
          <w:tcPr>
            <w:tcW w:w="46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Inc., Flow Commerce Inc. and the Registrant</w:t>
              </w:r>
            </w:hyperlink>
          </w:p>
        </w:tc>
        <w:tc>
          <w:tcPr>
            <w:tcW w:w="10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40" w:type="dxa"/>
            <w:vAlign w:val="bottom"/>
          </w:tcPr>
          <w:p>
            <w:pPr>
              <w:jc w:val="center"/>
              <w:spacing w:after="0"/>
              <w:rPr>
                <w:rFonts w:ascii="Times New Roman" w:cs="Times New Roman" w:eastAsia="Times New Roman" w:hAnsi="Times New Roman"/>
                <w:sz w:val="18"/>
                <w:szCs w:val="18"/>
                <w:color w:val="0000EE"/>
                <w:w w:val="88"/>
              </w:rPr>
            </w:pPr>
            <w:hyperlink r:id="rId15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13</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80" w:type="dxa"/>
            <w:vAlign w:val="bottom"/>
            <w:gridSpan w:val="13"/>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Third Amended and Restated Investors’ Rights</w:t>
              </w:r>
            </w:hyperlink>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8"/>
              </w:rPr>
              <w:t>September 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80" w:type="dxa"/>
            <w:vAlign w:val="bottom"/>
            <w:gridSpan w:val="13"/>
            <w:vMerge w:val="restart"/>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Agreement, by and among the Registrant and certain of</w:t>
              </w:r>
            </w:hyperlink>
          </w:p>
        </w:tc>
        <w:tc>
          <w:tcPr>
            <w:tcW w:w="920" w:type="dxa"/>
            <w:vAlign w:val="bottom"/>
            <w:vMerge w:val="restart"/>
          </w:tcPr>
          <w:p>
            <w:pPr>
              <w:ind w:left="280"/>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1600" w:type="dxa"/>
            <w:vAlign w:val="bottom"/>
            <w:vMerge w:val="restart"/>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333-259371</w:t>
            </w:r>
          </w:p>
        </w:tc>
        <w:tc>
          <w:tcPr>
            <w:tcW w:w="760" w:type="dxa"/>
            <w:vAlign w:val="bottom"/>
            <w:vMerge w:val="restart"/>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80" w:type="dxa"/>
            <w:vAlign w:val="bottom"/>
            <w:gridSpan w:val="1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Borders>
              <w:top w:val="single" w:sz="8" w:color="0000EE"/>
            </w:tcBorders>
            <w:gridSpan w:val="2"/>
            <w:vMerge w:val="restart"/>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its shareholders</w:t>
              </w:r>
            </w:hyperlink>
          </w:p>
        </w:tc>
        <w:tc>
          <w:tcPr>
            <w:tcW w:w="2860" w:type="dxa"/>
            <w:vAlign w:val="bottom"/>
            <w:tcBorders>
              <w:top w:val="single" w:sz="8" w:color="0000EE"/>
            </w:tcBorders>
            <w:gridSpan w:val="10"/>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2860" w:type="dxa"/>
            <w:vAlign w:val="bottom"/>
            <w:gridSpan w:val="10"/>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80" w:type="dxa"/>
            <w:vAlign w:val="bottom"/>
            <w:gridSpan w:val="13"/>
          </w:tcPr>
          <w:p>
            <w:pPr>
              <w:spacing w:after="0"/>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List of subsidiaries of the Registrant</w:t>
              </w:r>
            </w:hyperlink>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2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88"/>
              </w:rPr>
            </w:pPr>
            <w:hyperlink w:anchor="page242">
              <w:r>
                <w:rPr>
                  <w:rFonts w:ascii="Times New Roman" w:cs="Times New Roman" w:eastAsia="Times New Roman" w:hAnsi="Times New Roman"/>
                  <w:sz w:val="18"/>
                  <w:szCs w:val="18"/>
                  <w:color w:val="0000EE"/>
                  <w:w w:val="88"/>
                </w:rPr>
                <w:t>12.</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42">
              <w:r>
                <w:rPr>
                  <w:rFonts w:ascii="Times New Roman" w:cs="Times New Roman" w:eastAsia="Times New Roman" w:hAnsi="Times New Roman"/>
                  <w:sz w:val="18"/>
                  <w:szCs w:val="18"/>
                  <w:color w:val="0000EE"/>
                  <w:w w:val="99"/>
                </w:rPr>
                <w:t>Principal Executive Officer Certification Pursuant to</w:t>
              </w:r>
            </w:hyperlink>
          </w:p>
        </w:tc>
        <w:tc>
          <w:tcPr>
            <w:tcW w:w="48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80" w:type="dxa"/>
            <w:vAlign w:val="bottom"/>
            <w:gridSpan w:val="13"/>
          </w:tcPr>
          <w:p>
            <w:pPr>
              <w:spacing w:after="0" w:line="196" w:lineRule="exact"/>
              <w:rPr>
                <w:rFonts w:ascii="Times New Roman" w:cs="Times New Roman" w:eastAsia="Times New Roman" w:hAnsi="Times New Roman"/>
                <w:sz w:val="18"/>
                <w:szCs w:val="18"/>
                <w:color w:val="0000EE"/>
              </w:rPr>
            </w:pPr>
            <w:hyperlink w:anchor="page242">
              <w:r>
                <w:rPr>
                  <w:rFonts w:ascii="Times New Roman" w:cs="Times New Roman" w:eastAsia="Times New Roman" w:hAnsi="Times New Roman"/>
                  <w:sz w:val="18"/>
                  <w:szCs w:val="18"/>
                  <w:color w:val="0000EE"/>
                </w:rPr>
                <w:t>Section 302 of the Sarbanes-Oxley Act of 2002</w:t>
              </w:r>
            </w:hyperlink>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240" w:type="dxa"/>
            <w:vAlign w:val="bottom"/>
          </w:tcPr>
          <w:p>
            <w:pPr>
              <w:jc w:val="center"/>
              <w:spacing w:after="0"/>
              <w:rPr>
                <w:rFonts w:ascii="Times New Roman" w:cs="Times New Roman" w:eastAsia="Times New Roman" w:hAnsi="Times New Roman"/>
                <w:sz w:val="18"/>
                <w:szCs w:val="18"/>
                <w:color w:val="0000EE"/>
                <w:w w:val="88"/>
              </w:rPr>
            </w:pPr>
            <w:hyperlink w:anchor="page243">
              <w:r>
                <w:rPr>
                  <w:rFonts w:ascii="Times New Roman" w:cs="Times New Roman" w:eastAsia="Times New Roman" w:hAnsi="Times New Roman"/>
                  <w:sz w:val="18"/>
                  <w:szCs w:val="18"/>
                  <w:color w:val="0000EE"/>
                  <w:w w:val="88"/>
                </w:rPr>
                <w:t>12.</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80" w:type="dxa"/>
            <w:vAlign w:val="bottom"/>
            <w:gridSpan w:val="13"/>
          </w:tcPr>
          <w:p>
            <w:pPr>
              <w:spacing w:after="0"/>
              <w:rPr>
                <w:rFonts w:ascii="Times New Roman" w:cs="Times New Roman" w:eastAsia="Times New Roman" w:hAnsi="Times New Roman"/>
                <w:sz w:val="18"/>
                <w:szCs w:val="18"/>
                <w:color w:val="0000EE"/>
              </w:rPr>
            </w:pPr>
            <w:hyperlink w:anchor="page243">
              <w:r>
                <w:rPr>
                  <w:rFonts w:ascii="Times New Roman" w:cs="Times New Roman" w:eastAsia="Times New Roman" w:hAnsi="Times New Roman"/>
                  <w:sz w:val="18"/>
                  <w:szCs w:val="18"/>
                  <w:color w:val="0000EE"/>
                </w:rPr>
                <w:t>Principal Financial Officer Certification Pursuant to</w:t>
              </w:r>
            </w:hyperlink>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43">
              <w:r>
                <w:rPr>
                  <w:rFonts w:ascii="Times New Roman" w:cs="Times New Roman" w:eastAsia="Times New Roman" w:hAnsi="Times New Roman"/>
                  <w:sz w:val="18"/>
                  <w:szCs w:val="18"/>
                  <w:color w:val="0000EE"/>
                </w:rPr>
                <w:t>Section 302 of the Sarbanes-Oxley Act of 2002</w:t>
              </w:r>
            </w:hyperlink>
          </w:p>
        </w:tc>
        <w:tc>
          <w:tcPr>
            <w:tcW w:w="52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24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88"/>
              </w:rPr>
            </w:pPr>
            <w:hyperlink w:anchor="page244">
              <w:r>
                <w:rPr>
                  <w:rFonts w:ascii="Times New Roman" w:cs="Times New Roman" w:eastAsia="Times New Roman" w:hAnsi="Times New Roman"/>
                  <w:sz w:val="18"/>
                  <w:szCs w:val="18"/>
                  <w:color w:val="0000EE"/>
                  <w:w w:val="88"/>
                </w:rPr>
                <w:t>13.</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44">
              <w:r>
                <w:rPr>
                  <w:rFonts w:ascii="Times New Roman" w:cs="Times New Roman" w:eastAsia="Times New Roman" w:hAnsi="Times New Roman"/>
                  <w:sz w:val="18"/>
                  <w:szCs w:val="18"/>
                  <w:color w:val="0000EE"/>
                  <w:w w:val="99"/>
                </w:rPr>
                <w:t>Principal Executive Officer Certification Pursuant to</w:t>
              </w:r>
            </w:hyperlink>
          </w:p>
        </w:tc>
        <w:tc>
          <w:tcPr>
            <w:tcW w:w="48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0" w:gutter="0" w:footer="0" w:header="0"/>
          <w:type w:val="continuous"/>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gridSpan w:val="7"/>
          </w:tcPr>
          <w:p>
            <w:pPr>
              <w:spacing w:after="0"/>
              <w:rPr>
                <w:rFonts w:ascii="Times New Roman" w:cs="Times New Roman" w:eastAsia="Times New Roman" w:hAnsi="Times New Roman"/>
                <w:sz w:val="18"/>
                <w:szCs w:val="18"/>
                <w:color w:val="0000EE"/>
              </w:rPr>
            </w:pPr>
            <w:hyperlink w:anchor="page244">
              <w:r>
                <w:rPr>
                  <w:rFonts w:ascii="Times New Roman" w:cs="Times New Roman" w:eastAsia="Times New Roman" w:hAnsi="Times New Roman"/>
                  <w:sz w:val="18"/>
                  <w:szCs w:val="18"/>
                  <w:color w:val="0000EE"/>
                </w:rPr>
                <w:t>Section 906 of the Sarbanes-Oxley Act of 2002</w:t>
              </w:r>
            </w:hyperlink>
          </w:p>
        </w:tc>
        <w:tc>
          <w:tcPr>
            <w:tcW w:w="59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320" w:type="dxa"/>
            <w:vAlign w:val="bottom"/>
          </w:tcPr>
          <w:p>
            <w:pPr>
              <w:jc w:val="right"/>
              <w:spacing w:after="0"/>
              <w:rPr>
                <w:rFonts w:ascii="Times New Roman" w:cs="Times New Roman" w:eastAsia="Times New Roman" w:hAnsi="Times New Roman"/>
                <w:sz w:val="18"/>
                <w:szCs w:val="18"/>
                <w:color w:val="0000EE"/>
                <w:w w:val="95"/>
              </w:rPr>
            </w:pPr>
            <w:hyperlink w:anchor="page245">
              <w:r>
                <w:rPr>
                  <w:rFonts w:ascii="Times New Roman" w:cs="Times New Roman" w:eastAsia="Times New Roman" w:hAnsi="Times New Roman"/>
                  <w:sz w:val="18"/>
                  <w:szCs w:val="18"/>
                  <w:color w:val="0000EE"/>
                  <w:w w:val="95"/>
                </w:rPr>
                <w:t>13.</w:t>
              </w:r>
              <w:r>
                <w:rPr>
                  <w:rFonts w:ascii="Times New Roman" w:cs="Times New Roman" w:eastAsia="Times New Roman" w:hAnsi="Times New Roman"/>
                  <w:sz w:val="18"/>
                  <w:szCs w:val="18"/>
                  <w:u w:val="single" w:color="auto"/>
                  <w:color w:val="0000EE"/>
                  <w:w w:val="95"/>
                </w:rPr>
                <w:t>2</w:t>
              </w:r>
            </w:hyperlink>
          </w:p>
        </w:tc>
        <w:tc>
          <w:tcPr>
            <w:tcW w:w="500" w:type="dxa"/>
            <w:vAlign w:val="bottom"/>
          </w:tcPr>
          <w:p>
            <w:pPr>
              <w:spacing w:after="0"/>
              <w:rPr>
                <w:sz w:val="21"/>
                <w:szCs w:val="21"/>
                <w:color w:val="auto"/>
              </w:rPr>
            </w:pPr>
          </w:p>
        </w:tc>
        <w:tc>
          <w:tcPr>
            <w:tcW w:w="4120" w:type="dxa"/>
            <w:vAlign w:val="bottom"/>
            <w:gridSpan w:val="7"/>
          </w:tcPr>
          <w:p>
            <w:pPr>
              <w:spacing w:after="0"/>
              <w:rPr>
                <w:rFonts w:ascii="Times New Roman" w:cs="Times New Roman" w:eastAsia="Times New Roman" w:hAnsi="Times New Roman"/>
                <w:sz w:val="18"/>
                <w:szCs w:val="18"/>
                <w:color w:val="0000EE"/>
              </w:rPr>
            </w:pPr>
            <w:hyperlink w:anchor="page245">
              <w:r>
                <w:rPr>
                  <w:rFonts w:ascii="Times New Roman" w:cs="Times New Roman" w:eastAsia="Times New Roman" w:hAnsi="Times New Roman"/>
                  <w:sz w:val="18"/>
                  <w:szCs w:val="18"/>
                  <w:color w:val="0000EE"/>
                </w:rPr>
                <w:t>Principal Financial Officer Certification Pursuant to</w:t>
              </w:r>
            </w:hyperlink>
          </w:p>
        </w:tc>
        <w:tc>
          <w:tcPr>
            <w:tcW w:w="5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7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45">
              <w:r>
                <w:rPr>
                  <w:rFonts w:ascii="Times New Roman" w:cs="Times New Roman" w:eastAsia="Times New Roman" w:hAnsi="Times New Roman"/>
                  <w:sz w:val="18"/>
                  <w:szCs w:val="18"/>
                  <w:color w:val="0000EE"/>
                </w:rPr>
                <w:t>Section 906 of the Sarbanes-Oxley Act of 2002.</w:t>
              </w:r>
            </w:hyperlink>
          </w:p>
        </w:tc>
        <w:tc>
          <w:tcPr>
            <w:tcW w:w="380" w:type="dxa"/>
            <w:vAlign w:val="bottom"/>
            <w:gridSpan w:val="2"/>
          </w:tcPr>
          <w:p>
            <w:pPr>
              <w:spacing w:after="0"/>
              <w:rPr>
                <w:sz w:val="17"/>
                <w:szCs w:val="17"/>
                <w:color w:val="auto"/>
              </w:rPr>
            </w:pPr>
          </w:p>
        </w:tc>
        <w:tc>
          <w:tcPr>
            <w:tcW w:w="5920" w:type="dxa"/>
            <w:vAlign w:val="bottom"/>
          </w:tcPr>
          <w:p>
            <w:pPr>
              <w:spacing w:after="0"/>
              <w:rPr>
                <w:sz w:val="17"/>
                <w:szCs w:val="17"/>
                <w:color w:val="auto"/>
              </w:rPr>
            </w:pPr>
          </w:p>
        </w:tc>
      </w:tr>
      <w:tr>
        <w:trPr>
          <w:trHeight w:val="20"/>
        </w:trPr>
        <w:tc>
          <w:tcPr>
            <w:tcW w:w="1200" w:type="dxa"/>
            <w:vAlign w:val="bottom"/>
            <w:gridSpan w:val="3"/>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32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5"/>
              </w:rPr>
            </w:pPr>
            <w:hyperlink w:anchor="page246">
              <w:r>
                <w:rPr>
                  <w:rFonts w:ascii="Times New Roman" w:cs="Times New Roman" w:eastAsia="Times New Roman" w:hAnsi="Times New Roman"/>
                  <w:sz w:val="18"/>
                  <w:szCs w:val="18"/>
                  <w:color w:val="0000EE"/>
                  <w:w w:val="95"/>
                </w:rPr>
                <w:t>15.</w:t>
              </w:r>
              <w:r>
                <w:rPr>
                  <w:rFonts w:ascii="Times New Roman" w:cs="Times New Roman" w:eastAsia="Times New Roman" w:hAnsi="Times New Roman"/>
                  <w:sz w:val="18"/>
                  <w:szCs w:val="18"/>
                  <w:u w:val="single" w:color="auto"/>
                  <w:color w:val="0000EE"/>
                  <w:w w:val="95"/>
                </w:rPr>
                <w:t>1</w:t>
              </w:r>
            </w:hyperlink>
          </w:p>
        </w:tc>
        <w:tc>
          <w:tcPr>
            <w:tcW w:w="500" w:type="dxa"/>
            <w:vAlign w:val="bottom"/>
          </w:tcPr>
          <w:p>
            <w:pPr>
              <w:spacing w:after="0"/>
              <w:rPr>
                <w:sz w:val="21"/>
                <w:szCs w:val="21"/>
                <w:color w:val="auto"/>
              </w:rPr>
            </w:pPr>
          </w:p>
        </w:tc>
        <w:tc>
          <w:tcPr>
            <w:tcW w:w="3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46">
              <w:r>
                <w:rPr>
                  <w:rFonts w:ascii="Times New Roman" w:cs="Times New Roman" w:eastAsia="Times New Roman" w:hAnsi="Times New Roman"/>
                  <w:sz w:val="18"/>
                  <w:szCs w:val="18"/>
                  <w:color w:val="0000EE"/>
                  <w:w w:val="99"/>
                </w:rPr>
                <w:t>Consent of Kost, Forer, Gabbay &amp; Kasierer, a member</w:t>
              </w:r>
            </w:hyperlink>
          </w:p>
        </w:tc>
        <w:tc>
          <w:tcPr>
            <w:tcW w:w="180" w:type="dxa"/>
            <w:vAlign w:val="bottom"/>
          </w:tcPr>
          <w:p>
            <w:pPr>
              <w:spacing w:after="0"/>
              <w:rPr>
                <w:sz w:val="21"/>
                <w:szCs w:val="21"/>
                <w:color w:val="auto"/>
              </w:rPr>
            </w:pPr>
          </w:p>
        </w:tc>
        <w:tc>
          <w:tcPr>
            <w:tcW w:w="5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gridSpan w:val="7"/>
          </w:tcPr>
          <w:p>
            <w:pPr>
              <w:spacing w:after="0" w:line="196" w:lineRule="exact"/>
              <w:rPr>
                <w:rFonts w:ascii="Times New Roman" w:cs="Times New Roman" w:eastAsia="Times New Roman" w:hAnsi="Times New Roman"/>
                <w:sz w:val="18"/>
                <w:szCs w:val="18"/>
                <w:color w:val="0000EE"/>
              </w:rPr>
            </w:pPr>
            <w:hyperlink w:anchor="page246">
              <w:r>
                <w:rPr>
                  <w:rFonts w:ascii="Times New Roman" w:cs="Times New Roman" w:eastAsia="Times New Roman" w:hAnsi="Times New Roman"/>
                  <w:sz w:val="18"/>
                  <w:szCs w:val="18"/>
                  <w:color w:val="0000EE"/>
                </w:rPr>
                <w:t>of Ernst &amp; Young Global, independent registered</w:t>
              </w:r>
            </w:hyperlink>
          </w:p>
        </w:tc>
        <w:tc>
          <w:tcPr>
            <w:tcW w:w="592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46">
              <w:r>
                <w:rPr>
                  <w:rFonts w:ascii="Times New Roman" w:cs="Times New Roman" w:eastAsia="Times New Roman" w:hAnsi="Times New Roman"/>
                  <w:sz w:val="18"/>
                  <w:szCs w:val="18"/>
                  <w:color w:val="0000EE"/>
                </w:rPr>
                <w:t>accounting firm for the Registrant.</w:t>
              </w:r>
            </w:hyperlink>
          </w:p>
        </w:tc>
        <w:tc>
          <w:tcPr>
            <w:tcW w:w="580" w:type="dxa"/>
            <w:vAlign w:val="bottom"/>
            <w:gridSpan w:val="3"/>
          </w:tcPr>
          <w:p>
            <w:pPr>
              <w:spacing w:after="0"/>
              <w:rPr>
                <w:sz w:val="17"/>
                <w:szCs w:val="17"/>
                <w:color w:val="auto"/>
              </w:rPr>
            </w:pPr>
          </w:p>
        </w:tc>
        <w:tc>
          <w:tcPr>
            <w:tcW w:w="5920" w:type="dxa"/>
            <w:vAlign w:val="bottom"/>
          </w:tcPr>
          <w:p>
            <w:pPr>
              <w:spacing w:after="0"/>
              <w:rPr>
                <w:sz w:val="17"/>
                <w:szCs w:val="17"/>
                <w:color w:val="auto"/>
              </w:rPr>
            </w:pPr>
          </w:p>
        </w:tc>
      </w:tr>
      <w:tr>
        <w:trPr>
          <w:trHeight w:val="655"/>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120</w:t>
            </w:r>
          </w:p>
        </w:tc>
      </w:tr>
      <w:tr>
        <w:trPr>
          <w:trHeight w:val="61"/>
        </w:trPr>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121" w:name="page122"/>
    <w:bookmarkEnd w:id="121"/>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bl>
    <w:p>
      <w:pPr>
        <w:spacing w:after="0" w:line="198" w:lineRule="exact"/>
        <w:rPr>
          <w:sz w:val="20"/>
          <w:szCs w:val="20"/>
          <w:color w:val="auto"/>
        </w:rPr>
      </w:pPr>
    </w:p>
    <w:p>
      <w:pPr>
        <w:ind w:left="1260" w:hanging="766"/>
        <w:spacing w:after="0"/>
        <w:tabs>
          <w:tab w:leader="none" w:pos="12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Annual Report on Form 20-F, included in the Exhibit 101 Inline XBRL Document Set.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36" w:lineRule="exact"/>
        <w:rPr>
          <w:rFonts w:ascii="Times New Roman" w:cs="Times New Roman" w:eastAsia="Times New Roman" w:hAnsi="Times New Roman"/>
          <w:sz w:val="18"/>
          <w:szCs w:val="18"/>
          <w:color w:val="auto"/>
        </w:rPr>
      </w:pPr>
    </w:p>
    <w:p>
      <w:pPr>
        <w:ind w:left="480" w:hanging="459"/>
        <w:spacing w:after="0"/>
        <w:tabs>
          <w:tab w:leader="none" w:pos="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15709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16" w:lineRule="exact"/>
        <w:rPr>
          <w:sz w:val="20"/>
          <w:szCs w:val="20"/>
          <w:color w:val="auto"/>
        </w:rPr>
      </w:pPr>
    </w:p>
    <w:p>
      <w:pPr>
        <w:ind w:left="480" w:right="100" w:hanging="459"/>
        <w:spacing w:after="0" w:line="260" w:lineRule="auto"/>
        <w:tabs>
          <w:tab w:leader="none" w:pos="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pursuant to Item 4 of the “Instructions As To Exhibits” of Form 20-F because the Company customarily and actually treats the redacted information as private or confidential and the omitted information is not material. The Company hereby agrees to furnish an unredacted copy of the exhibit to the Commission upon request.</w:t>
      </w:r>
    </w:p>
    <w:p>
      <w:pPr>
        <w:spacing w:after="0" w:line="2" w:lineRule="exact"/>
        <w:rPr>
          <w:sz w:val="20"/>
          <w:szCs w:val="20"/>
          <w:color w:val="auto"/>
        </w:rPr>
      </w:pPr>
    </w:p>
    <w:p>
      <w:pPr>
        <w:ind w:left="480" w:hanging="459"/>
        <w:spacing w:after="0"/>
        <w:tabs>
          <w:tab w:leader="none" w:pos="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GLOBAL-E ONLINE LTD</w:t>
            </w:r>
            <w:r>
              <w:rPr>
                <w:rFonts w:ascii="Times New Roman" w:cs="Times New Roman" w:eastAsia="Times New Roman" w:hAnsi="Times New Roman"/>
                <w:sz w:val="18"/>
                <w:szCs w:val="18"/>
                <w:color w:val="auto"/>
              </w:rPr>
              <w:t>.</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Amir Schlachet</w:t>
            </w:r>
          </w:p>
        </w:tc>
      </w:tr>
      <w:tr>
        <w:trPr>
          <w:trHeight w:val="198"/>
        </w:trPr>
        <w:tc>
          <w:tcPr>
            <w:tcW w:w="3540" w:type="dxa"/>
            <w:vAlign w:val="bottom"/>
          </w:tcPr>
          <w:p>
            <w:pPr>
              <w:spacing w:after="0"/>
              <w:rPr>
                <w:sz w:val="17"/>
                <w:szCs w:val="17"/>
                <w:color w:val="auto"/>
              </w:rPr>
            </w:pPr>
          </w:p>
        </w:tc>
        <w:tc>
          <w:tcPr>
            <w:tcW w:w="26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Amir Schlachet</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08"/>
        </w:trPr>
        <w:tc>
          <w:tcPr>
            <w:tcW w:w="3540" w:type="dxa"/>
            <w:vAlign w:val="bottom"/>
          </w:tcPr>
          <w:p>
            <w:pPr>
              <w:spacing w:after="0"/>
              <w:rPr>
                <w:sz w:val="24"/>
                <w:szCs w:val="24"/>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122</w:t>
            </w:r>
          </w:p>
        </w:tc>
        <w:tc>
          <w:tcPr>
            <w:tcW w:w="5040" w:type="dxa"/>
            <w:vAlign w:val="bottom"/>
          </w:tcPr>
          <w:p>
            <w:pPr>
              <w:spacing w:after="0"/>
              <w:rPr>
                <w:sz w:val="24"/>
                <w:szCs w:val="24"/>
                <w:color w:val="auto"/>
              </w:rPr>
            </w:pPr>
          </w:p>
        </w:tc>
      </w:tr>
      <w:tr>
        <w:trPr>
          <w:trHeight w:val="61"/>
        </w:trPr>
        <w:tc>
          <w:tcPr>
            <w:tcW w:w="354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Global-E Online LTD.</w:t>
            </w: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4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5"/>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40" w:type="dxa"/>
            <w:vAlign w:val="bottom"/>
          </w:tcPr>
          <w:p>
            <w:pPr>
              <w:spacing w:after="0"/>
              <w:rPr>
                <w:sz w:val="24"/>
                <w:szCs w:val="24"/>
                <w:color w:val="auto"/>
              </w:rPr>
            </w:pPr>
          </w:p>
        </w:tc>
      </w:tr>
      <w:tr>
        <w:trPr>
          <w:trHeight w:val="176"/>
        </w:trPr>
        <w:tc>
          <w:tcPr>
            <w:tcW w:w="9500" w:type="dxa"/>
            <w:vAlign w:val="bottom"/>
            <w:gridSpan w:val="8"/>
          </w:tcPr>
          <w:p>
            <w:pPr>
              <w:spacing w:after="0" w:line="17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1281)</w:t>
            </w:r>
          </w:p>
        </w:tc>
        <w:tc>
          <w:tcPr>
            <w:tcW w:w="1680" w:type="dxa"/>
            <w:vAlign w:val="bottom"/>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40" w:type="dxa"/>
            <w:vAlign w:val="bottom"/>
          </w:tcPr>
          <w:p>
            <w:pPr>
              <w:spacing w:after="0"/>
              <w:rPr>
                <w:sz w:val="15"/>
                <w:szCs w:val="15"/>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5280" w:type="dxa"/>
            <w:vAlign w:val="bottom"/>
            <w:gridSpan w:val="2"/>
          </w:tcPr>
          <w:p>
            <w:pPr>
              <w:spacing w:after="0"/>
              <w:rPr>
                <w:sz w:val="17"/>
                <w:szCs w:val="17"/>
                <w:color w:val="auto"/>
              </w:rPr>
            </w:pPr>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40" w:type="dxa"/>
            <w:vAlign w:val="bottom"/>
          </w:tcPr>
          <w:p>
            <w:pPr>
              <w:spacing w:after="0"/>
              <w:rPr>
                <w:sz w:val="17"/>
                <w:szCs w:val="17"/>
                <w:color w:val="auto"/>
              </w:rPr>
            </w:pPr>
          </w:p>
        </w:tc>
      </w:tr>
      <w:tr>
        <w:trPr>
          <w:trHeight w:val="196"/>
        </w:trPr>
        <w:tc>
          <w:tcPr>
            <w:tcW w:w="9500" w:type="dxa"/>
            <w:vAlign w:val="bottom"/>
            <w:gridSpan w:val="8"/>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Consolidated Statements of Operations</w:t>
              </w:r>
            </w:hyperlink>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40" w:type="dxa"/>
            <w:vAlign w:val="bottom"/>
          </w:tcPr>
          <w:p>
            <w:pPr>
              <w:spacing w:after="0"/>
              <w:rPr>
                <w:sz w:val="17"/>
                <w:szCs w:val="17"/>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Consolidated Statements of Comprehensive Income (loss)</w:t>
              </w:r>
            </w:hyperlink>
          </w:p>
        </w:tc>
        <w:tc>
          <w:tcPr>
            <w:tcW w:w="5300" w:type="dxa"/>
            <w:vAlign w:val="bottom"/>
            <w:gridSpan w:val="3"/>
          </w:tcPr>
          <w:p>
            <w:pPr>
              <w:spacing w:after="0"/>
              <w:rPr>
                <w:sz w:val="17"/>
                <w:szCs w:val="17"/>
                <w:color w:val="auto"/>
              </w:rPr>
            </w:pPr>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40" w:type="dxa"/>
            <w:vAlign w:val="bottom"/>
          </w:tcPr>
          <w:p>
            <w:pPr>
              <w:spacing w:after="0"/>
              <w:rPr>
                <w:sz w:val="17"/>
                <w:szCs w:val="17"/>
                <w:color w:val="auto"/>
              </w:rPr>
            </w:pPr>
          </w:p>
        </w:tc>
      </w:tr>
      <w:tr>
        <w:trPr>
          <w:trHeight w:val="196"/>
        </w:trPr>
        <w:tc>
          <w:tcPr>
            <w:tcW w:w="6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29">
              <w:r>
                <w:rPr>
                  <w:rFonts w:ascii="Times New Roman" w:cs="Times New Roman" w:eastAsia="Times New Roman" w:hAnsi="Times New Roman"/>
                  <w:sz w:val="18"/>
                  <w:szCs w:val="18"/>
                  <w:color w:val="0000EE"/>
                  <w:w w:val="99"/>
                </w:rPr>
                <w:t>Consolidated Statements of Convertible Preferred Shares and Shareholders’ Equity (Deficit)</w:t>
              </w:r>
            </w:hyperlink>
          </w:p>
        </w:tc>
        <w:tc>
          <w:tcPr>
            <w:tcW w:w="2840" w:type="dxa"/>
            <w:vAlign w:val="bottom"/>
          </w:tcPr>
          <w:p>
            <w:pPr>
              <w:spacing w:after="0"/>
              <w:rPr>
                <w:sz w:val="17"/>
                <w:szCs w:val="17"/>
                <w:color w:val="auto"/>
              </w:rPr>
            </w:pPr>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40" w:type="dxa"/>
            <w:vAlign w:val="bottom"/>
          </w:tcPr>
          <w:p>
            <w:pPr>
              <w:spacing w:after="0"/>
              <w:rPr>
                <w:sz w:val="17"/>
                <w:szCs w:val="17"/>
                <w:color w:val="auto"/>
              </w:rPr>
            </w:pP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30">
              <w:r>
                <w:rPr>
                  <w:rFonts w:ascii="Times New Roman" w:cs="Times New Roman" w:eastAsia="Times New Roman" w:hAnsi="Times New Roman"/>
                  <w:sz w:val="18"/>
                  <w:szCs w:val="18"/>
                  <w:color w:val="0000EE"/>
                  <w:w w:val="99"/>
                </w:rPr>
                <w:t>Consolidated Statements of Cash Flows</w:t>
              </w:r>
            </w:hyperlink>
          </w:p>
        </w:tc>
        <w:tc>
          <w:tcPr>
            <w:tcW w:w="6620" w:type="dxa"/>
            <w:vAlign w:val="bottom"/>
            <w:gridSpan w:val="5"/>
          </w:tcPr>
          <w:p>
            <w:pPr>
              <w:spacing w:after="0"/>
              <w:rPr>
                <w:sz w:val="17"/>
                <w:szCs w:val="17"/>
                <w:color w:val="auto"/>
              </w:rPr>
            </w:pPr>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40" w:type="dxa"/>
            <w:vAlign w:val="bottom"/>
          </w:tcPr>
          <w:p>
            <w:pPr>
              <w:spacing w:after="0"/>
              <w:rPr>
                <w:sz w:val="17"/>
                <w:szCs w:val="17"/>
                <w:color w:val="auto"/>
              </w:rPr>
            </w:pPr>
          </w:p>
        </w:tc>
      </w:tr>
      <w:tr>
        <w:trPr>
          <w:trHeight w:val="196"/>
        </w:trPr>
        <w:tc>
          <w:tcPr>
            <w:tcW w:w="9500" w:type="dxa"/>
            <w:vAlign w:val="bottom"/>
            <w:gridSpan w:val="8"/>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Notes to Consolidated Financial Statements</w:t>
              </w:r>
            </w:hyperlink>
          </w:p>
        </w:tc>
        <w:tc>
          <w:tcPr>
            <w:tcW w:w="16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40" w:type="dxa"/>
            <w:vAlign w:val="bottom"/>
          </w:tcPr>
          <w:p>
            <w:pPr>
              <w:spacing w:after="0"/>
              <w:rPr>
                <w:sz w:val="17"/>
                <w:szCs w:val="17"/>
                <w:color w:val="auto"/>
              </w:rPr>
            </w:pPr>
          </w:p>
        </w:tc>
      </w:tr>
      <w:tr>
        <w:trPr>
          <w:trHeight w:val="439"/>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9"/>
              </w:rPr>
              <w:t>F - 1</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1"/>
        </w:trPr>
        <w:tc>
          <w:tcPr>
            <w:tcW w:w="2100" w:type="dxa"/>
            <w:vAlign w:val="bottom"/>
            <w:tcBorders>
              <w:bottom w:val="single" w:sz="8" w:color="EEEEEE"/>
            </w:tcBorders>
          </w:tcPr>
          <w:p>
            <w:pPr>
              <w:spacing w:after="0"/>
              <w:rPr>
                <w:sz w:val="10"/>
                <w:szCs w:val="10"/>
                <w:color w:val="auto"/>
              </w:rPr>
            </w:pPr>
          </w:p>
        </w:tc>
        <w:tc>
          <w:tcPr>
            <w:tcW w:w="720" w:type="dxa"/>
            <w:vAlign w:val="bottom"/>
            <w:tcBorders>
              <w:bottom w:val="single" w:sz="8" w:color="EEEEEE"/>
            </w:tcBorders>
          </w:tcPr>
          <w:p>
            <w:pPr>
              <w:spacing w:after="0"/>
              <w:rPr>
                <w:sz w:val="10"/>
                <w:szCs w:val="10"/>
                <w:color w:val="auto"/>
              </w:rPr>
            </w:pPr>
          </w:p>
        </w:tc>
        <w:tc>
          <w:tcPr>
            <w:tcW w:w="6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1040" w:type="dxa"/>
            <w:vAlign w:val="bottom"/>
            <w:tcBorders>
              <w:bottom w:val="single" w:sz="8" w:color="EEEEEE"/>
            </w:tcBorders>
          </w:tcPr>
          <w:p>
            <w:pPr>
              <w:spacing w:after="0"/>
              <w:rPr>
                <w:sz w:val="10"/>
                <w:szCs w:val="10"/>
                <w:color w:val="auto"/>
              </w:rPr>
            </w:pPr>
          </w:p>
        </w:tc>
        <w:tc>
          <w:tcPr>
            <w:tcW w:w="20" w:type="dxa"/>
            <w:vAlign w:val="bottom"/>
            <w:tcBorders>
              <w:bottom w:val="single" w:sz="8" w:color="EEEEEE"/>
            </w:tcBorders>
          </w:tcPr>
          <w:p>
            <w:pPr>
              <w:spacing w:after="0"/>
              <w:rPr>
                <w:sz w:val="10"/>
                <w:szCs w:val="10"/>
                <w:color w:val="auto"/>
              </w:rPr>
            </w:pPr>
          </w:p>
        </w:tc>
        <w:tc>
          <w:tcPr>
            <w:tcW w:w="2440" w:type="dxa"/>
            <w:vAlign w:val="bottom"/>
            <w:tcBorders>
              <w:bottom w:val="single" w:sz="8" w:color="EEEEEE"/>
            </w:tcBorders>
          </w:tcPr>
          <w:p>
            <w:pPr>
              <w:spacing w:after="0"/>
              <w:rPr>
                <w:sz w:val="10"/>
                <w:szCs w:val="10"/>
                <w:color w:val="auto"/>
              </w:rPr>
            </w:pPr>
          </w:p>
        </w:tc>
        <w:tc>
          <w:tcPr>
            <w:tcW w:w="2840" w:type="dxa"/>
            <w:vAlign w:val="bottom"/>
            <w:tcBorders>
              <w:bottom w:val="single" w:sz="8" w:color="EEEEEE"/>
            </w:tcBorders>
          </w:tcPr>
          <w:p>
            <w:pPr>
              <w:spacing w:after="0"/>
              <w:rPr>
                <w:sz w:val="10"/>
                <w:szCs w:val="10"/>
                <w:color w:val="auto"/>
              </w:rPr>
            </w:pPr>
          </w:p>
        </w:tc>
        <w:tc>
          <w:tcPr>
            <w:tcW w:w="1680" w:type="dxa"/>
            <w:vAlign w:val="bottom"/>
            <w:tcBorders>
              <w:bottom w:val="single" w:sz="8" w:color="EEEEEE"/>
            </w:tcBorders>
          </w:tcPr>
          <w:p>
            <w:pPr>
              <w:spacing w:after="0"/>
              <w:rPr>
                <w:sz w:val="10"/>
                <w:szCs w:val="10"/>
                <w:color w:val="auto"/>
              </w:rPr>
            </w:pPr>
          </w:p>
        </w:tc>
        <w:tc>
          <w:tcPr>
            <w:tcW w:w="40" w:type="dxa"/>
            <w:vAlign w:val="bottom"/>
            <w:tcBorders>
              <w:bottom w:val="single" w:sz="8" w:color="EEEEEE"/>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023485" cy="951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023485" cy="95123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Global-E Online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Global-E Online Ltd. (the Company) as of December 31, 2020 and 2021, the related consolidated statements of operations, comprehensive income (loss), convertible preferred shares and shareholders’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2020 and 2021, and the results of its operations and its cash flows for each of the three years in the period ended December 31, 2021,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68,637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18,464</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Funds receivable, including cash in banks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34,492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57,635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agreement asset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223,667</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Shares and Shareholders’ Equity (Deficit)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related party payables of $14,058 and $18,158 as of December 31, 2020 and 2021,</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24,064</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(including related party payables of $3,120 and $3,357 as of December</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 and 2021,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29,432</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47,358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Funds payable to Customers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34,492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operating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w:t>
            </w:r>
          </w:p>
        </w:tc>
      </w:tr>
      <w:tr>
        <w:trPr>
          <w:trHeight w:val="27"/>
        </w:trPr>
        <w:tc>
          <w:tcPr>
            <w:tcW w:w="86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83,896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to preferred shares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operating lease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93,252</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shares, with no par value, 162,875 and no shares authorized as of December 31, 2020 and 2021,</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162,101 and no issued and outstanding as of December 31, 2020 and 2021,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112,553</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with no par value, 5,902,275,000 and 300,000,000 shares authorized as of December 31, 2020 and</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respectively; 21,761,400 and 150,456,501, shares issued and outstanding as of December 31, 2020 and 2021,</w:t>
            </w: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823,550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comprehensive income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(52,708)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(127,641)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 equity</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shares and shareholders’ (deficit) 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846,127</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245,274</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(including related party costs of $26,106, $53,861 and $90,315 for the years ended</w:t>
            </w: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92,902</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153,841</w:t>
            </w: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 2020 and 2021, respectively)</w:t>
            </w: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104,687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157,091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attributable to participating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ordinary shareholders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share attributable to ordinary shareholders,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 attributable to ordinary shareholders,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ordinary shareholders,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19,654,276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21,120,208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101,737,026</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ordinary shareholders,</w:t>
            </w: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19,654,276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28,637,801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101,737,026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SHARES AND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000" w:type="dxa"/>
            <w:vAlign w:val="bottom"/>
            <w:tcBorders>
              <w:right w:val="single" w:sz="8" w:color="auto"/>
            </w:tcBorders>
            <w:gridSpan w:val="4"/>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200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0"/>
                <w:szCs w:val="10"/>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2000" w:type="dxa"/>
            <w:vAlign w:val="bottom"/>
            <w:tcBorders>
              <w:right w:val="single" w:sz="8" w:color="auto"/>
            </w:tcBorders>
            <w:gridSpan w:val="4"/>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80" w:type="dxa"/>
            <w:vAlign w:val="bottom"/>
          </w:tcPr>
          <w:p>
            <w:pPr>
              <w:spacing w:after="0"/>
              <w:rPr>
                <w:sz w:val="8"/>
                <w:szCs w:val="8"/>
                <w:color w:val="auto"/>
              </w:rPr>
            </w:pPr>
          </w:p>
        </w:tc>
        <w:tc>
          <w:tcPr>
            <w:tcW w:w="19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200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8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January 1,</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53,732</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19,502,400</w:t>
            </w:r>
          </w:p>
        </w:tc>
        <w:tc>
          <w:tcPr>
            <w:tcW w:w="7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(49,078)</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(45,854)</w:t>
            </w:r>
          </w:p>
        </w:tc>
        <w:tc>
          <w:tcPr>
            <w:tcW w:w="0" w:type="dxa"/>
            <w:vAlign w:val="bottom"/>
          </w:tcPr>
          <w:p>
            <w:pPr>
              <w:spacing w:after="0"/>
              <w:rPr>
                <w:sz w:val="1"/>
                <w:szCs w:val="1"/>
                <w:color w:val="auto"/>
              </w:rPr>
            </w:pPr>
          </w:p>
        </w:tc>
      </w:tr>
      <w:tr>
        <w:trPr>
          <w:trHeight w:val="198"/>
        </w:trPr>
        <w:tc>
          <w:tcPr>
            <w:tcW w:w="2080" w:type="dxa"/>
            <w:vAlign w:val="bottom"/>
            <w:tcBorders>
              <w:top w:val="single" w:sz="8" w:color="CCEEFF"/>
            </w:tcBorders>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upon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share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218,400</w:t>
            </w:r>
          </w:p>
        </w:tc>
        <w:tc>
          <w:tcPr>
            <w:tcW w:w="7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(7,544)</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53,732</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19,720,800</w:t>
            </w:r>
          </w:p>
        </w:tc>
        <w:tc>
          <w:tcPr>
            <w:tcW w:w="7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3,592</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(56,622)</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(53,030)</w:t>
            </w: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Series 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convertible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shares,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of issuance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costs of $473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23,706</w:t>
            </w: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58,821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upon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share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2,040,600</w:t>
            </w:r>
          </w:p>
        </w:tc>
        <w:tc>
          <w:tcPr>
            <w:tcW w:w="7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on</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available-for-sale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marketable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securities, net</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Profit</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162,101</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112,553</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21,761,400</w:t>
            </w:r>
          </w:p>
        </w:tc>
        <w:tc>
          <w:tcPr>
            <w:tcW w:w="7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8,087</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(52,708)</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(44,510)</w:t>
            </w: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ordinary shares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(162,101)</w:t>
            </w:r>
          </w:p>
        </w:tc>
        <w:tc>
          <w:tcPr>
            <w:tcW w:w="96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(112,553)</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97,260,600</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112,553</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112,553</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warrants to</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280,842</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280,842</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RSUs granted to</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2,018,942</w:t>
            </w:r>
          </w:p>
        </w:tc>
        <w:tc>
          <w:tcPr>
            <w:tcW w:w="7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shares in IPO, net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17,250,000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396,344</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396,344</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12,165,559</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12,139</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(74,933)</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as of December</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150,456,501</w:t>
            </w:r>
          </w:p>
        </w:tc>
        <w:tc>
          <w:tcPr>
            <w:tcW w:w="74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823,550</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(127,641)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695,750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001"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73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8"/>
              </w:rPr>
              <w:t>Global-E Online LTD.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27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profit (loss) 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agreement asset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 term deposit revaluation</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marketable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 liabilities to preferred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(5,591)</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(3,916)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funds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(29,272)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long-term receivables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funds payable to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23,143</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(increase) operating lease ROU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deferred contract acquisition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17,926</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(decrease) in deferred tax liabilities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(16,759)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marketable securities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(117,185)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81,657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of convertible preferred shares, net of issuance costs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issuance of Ordinary shares in IPO, net of issuance costs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396,494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warrants to ordinary shares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59,360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398,607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cash-beginning of period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85,033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85,033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458,899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during the period included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ROU assets and lease liabilities created during the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of warrants liability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Recognition of Commercial agreement asset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Global-E Online Ltd. was incorporated on February 21, 2013 under the laws of the state of Israel and commenced operations at that time.</w:t>
      </w:r>
    </w:p>
    <w:p>
      <w:pPr>
        <w:spacing w:after="0" w:line="18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(together, "Global-E", the "Company") offer a leading platform to enable and accelerate global, direct-to-consumer (“D2C”) cross-border e-commerce. The platform was purpose-built for international shoppers to buy seamlessly online and for merchants to sell from, and to, anywhere in the world. The Company’s platform localizes the shopper experience in effort to make international transactions as seamless as domestic ones. The platform increases the conversion of international traffic into sales by removing much of the complexity associated with international e-commerce. The platform provides an integrated solution that creates a localized and frictionless shopper experience and is simple to manage, flexible to adjust and smart in its local market insights and best practices. The vast capabilities of the Company’s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184"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Global-E Online Ltd. and its wholly owned subsidiaries.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period amounts have been reclassified in order to conform to the current period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14, the Company has completed its initial public offering (“IPO”), pursuant to which the Company issued and sold 17,250,000 Ordinary Shares at an offering price of $25 per share, including 2,500,000 Ordinary Shares for exercising the underwriters’ option to purchase additional shares. The Company has received proceeds of $396.4 million net of deduction of underwriting discounts and commissions of $30.2 million, and other issuance costs of $4.7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consumption of the IPO, 19,298 Preferred A Shares, 20,364 Preferred A-1 Shares, 37,361 Preferred B-1 Shares, 17,792 Preferred B-2 Shares, 15,822 Preferred C Shares, 27,758 Preferred D-1 Shares and 23,706 Preferred E Shares were converted to Ordinary Shares in a 1:600 ratio.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total of 464,400 warrants to purchase the Company's convertible Preferred Shares were converted to Ordinary Shares upon consummation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and accompanying notes. Significant items subject to such estimates and assumptions include, but are not limited to, the allocation of transaction price among various performance obligations, the estimated customer life on deferred contract acquisition costs, the allowance for doubtful accounts, the fair value of financial assets and liabilities; including accounting and fair value of derivatives, the fair value of acquired intangible assets and goodwill, the useful lives of acquired intangible assets and property and equipment, share-based compensation including the determination of the fair value of the Company’s Ordinary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 is the U.S. dollar. Accordingly, foreign currency assets and liabilities are remeasured into U.S. dollars at the end-of-period exchange rates except for non-monetary assets and liabilities, which are measured at historical exchange rates. Revenue and expenses are remeasured each day at the exchange rate in effect on the day the transaction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restricted cash, short-term deposits, accounts receivable and marketable securities. The Company maintains its cash, cash equivalents, restricted cash, and short-term deposits with high-quality financial institutions mainly in the U.S., UK and Israel, the composition and maturities of which are regularly monitored by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2019, 2020 and 2021, the revenue generated by the Company’s largest customer was $16,219, $24,534 and $31,346, respectively. As of December 31, 2020 and 2021, the net amount due to the Company’s largest customer was $8,264 and $8,482,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in banks. The Company considers all highly liquid investments, with an original maturity of three months or less at the date of purchase, to be cash equivalents. The Company maintains certain cash amounts restricted as to its withdrawal or use. The Company’s restricted cash primarily consists of security deposits collateralizing the Company’s operating leases.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68,637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included in funds receivable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16,193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20,369</w:t>
            </w:r>
          </w:p>
        </w:tc>
        <w:tc>
          <w:tcPr>
            <w:tcW w:w="120" w:type="dxa"/>
            <w:vAlign w:val="bottom"/>
          </w:tcPr>
          <w:p>
            <w:pPr>
              <w:spacing w:after="0"/>
              <w:rPr>
                <w:sz w:val="18"/>
                <w:szCs w:val="18"/>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85,033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458,899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 The Company carries these securities at fair value and records unrealized gains and losses, net of taxes, in accumulated other comprehensive income, which is reflected as a component of shareholders’ equity (deficit). The Company periodically evaluates its marketable securities to assess whether those with unrealized loss positions are other-than-temporarily impaired. If the cost of an individual security exceeds its fair value, the Company evaluates, among other factors, general market conditions, the duration and extent to which the fair value is less than the cost basis, and the Company’s intent and ability to hold the security. If the Company believes that a decline in fair value is determined to be other-than-temporary, the Company writes down the security to fair value. Realized gains and losses and declines in fair value judged to be other than temporary on available-for-sale marketable securities are reported in interest income, net in the Consolidated Statements of Operations. For the year ended December 31, 2021 the Company has recognized other than temporary impairment in the amount of $140 in its Consolidated Statements of Operations as a result of the Company intention to sell specific Marketable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Three levels of inputs may be used to measure fair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restricted cash, short-term deposits, accounts receivables, accounts payables, accrued liabilities, warrants to convertible preferred shares and marketable securities. Short-term deposits, Cash and cash equivalents, accounts receivable, accounts payable, and accrued liabilities are stated at their carrying value, which approximates fair value due to the short time to the expected receipt or payment date. Warrants to preferred share and marketable securities are stated at fair value on a recurring basis. See note 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comprehensive income (loss) in accordance with Accounting Standards Codification No. 220, "Comprehensive Income" ("ASC No. 220"). This statement establishes standards for the reporting and display of comprehensive income and its components in a full set of general-purpose financial statements. Comprehensive income generally represents all changes in shareholders' deficit during the period except those resulting from investments by, or distributions to shareholders.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total accumulated other comprehensive income was comprised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194"/>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gain 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gain (loss) 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income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amounts for which revenue has been recognized but not invoiced, net of allowance for doubtful accounts.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doubtful accounts when identified. The allowance of doubtful accounts was not material for the periods presented.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respective assets. Expenditures for maintenance and repairs are expensed as incurred.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3580" w:type="dxa"/>
            <w:vAlign w:val="bottom"/>
          </w:tcPr>
          <w:p>
            <w:pPr>
              <w:spacing w:after="0"/>
              <w:rPr>
                <w:sz w:val="20"/>
                <w:szCs w:val="20"/>
                <w:color w:val="auto"/>
              </w:rPr>
            </w:pPr>
          </w:p>
        </w:tc>
      </w:tr>
      <w:tr>
        <w:trPr>
          <w:trHeight w:val="216"/>
        </w:trPr>
        <w:tc>
          <w:tcPr>
            <w:tcW w:w="7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software</w:t>
            </w:r>
          </w:p>
        </w:tc>
        <w:tc>
          <w:tcPr>
            <w:tcW w:w="35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5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 – 7 years</w:t>
            </w:r>
          </w:p>
        </w:tc>
      </w:tr>
      <w:tr>
        <w:trPr>
          <w:trHeight w:val="198"/>
        </w:trPr>
        <w:tc>
          <w:tcPr>
            <w:tcW w:w="7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shd w:val="clear" w:color="auto" w:fill="CCEEFF"/>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rPr>
              <w:t>Shorter of remaining lease</w:t>
            </w:r>
          </w:p>
        </w:tc>
      </w:tr>
      <w:tr>
        <w:trPr>
          <w:trHeight w:val="234"/>
        </w:trPr>
        <w:tc>
          <w:tcPr>
            <w:tcW w:w="7660" w:type="dxa"/>
            <w:vAlign w:val="bottom"/>
            <w:shd w:val="clear" w:color="auto" w:fill="CCEEFF"/>
          </w:tcPr>
          <w:p>
            <w:pPr>
              <w:spacing w:after="0"/>
              <w:rPr>
                <w:sz w:val="20"/>
                <w:szCs w:val="20"/>
                <w:color w:val="auto"/>
              </w:rPr>
            </w:pPr>
          </w:p>
        </w:tc>
        <w:tc>
          <w:tcPr>
            <w:tcW w:w="35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term or estimated useful life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including property and equipment and intangible assets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the Company’s business strategy. Recoverability of these assets is measured by a comparison of the carrying amounts to the future undiscounted cash flows the assets are expected to generate. If such review indicates that the carrying amount of long-lived assets is not recoverable, the carrying amount of such assets is reduced to fair value. There were no impairment charges to long-lived assets during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related to software acquired, developed, or modified solely to meet the Company’s internal requirements, with no substantive plans to market such software at the time of development are capitalized. Costs incurred during the preliminary planning and evaluation stage of the project and during the post implementation operational stage are expensed as incurred. Costs incurred during the application development stage of the project are capitalized. Maintenance costs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revenues are comprised of:</w:t>
      </w:r>
    </w:p>
    <w:p>
      <w:pPr>
        <w:spacing w:after="0" w:line="225" w:lineRule="exact"/>
        <w:rPr>
          <w:sz w:val="20"/>
          <w:szCs w:val="20"/>
          <w:color w:val="auto"/>
        </w:rPr>
      </w:pPr>
    </w:p>
    <w:p>
      <w:pPr>
        <w:ind w:left="1300" w:hanging="320"/>
        <w:spacing w:after="0" w:line="282" w:lineRule="auto"/>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 Fees –The Company provides merchants a cross-border e-commerce platform which enables to sell their products to consumers worldwide. Revenue is generated as a percentage of the value of transactions that flow through the Company’s platform.</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Fulfillment services – The Company offers shipping, handling, and other global delivery services in order to deliver merchants’ goods to consumers.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goods or services are delivered. The amount of revenue recognized reflects the consideration that the Company expects to receive in exchange for these goods or services. To achieve the core principle of this standard, the Company applied the following five steps:</w:t>
      </w:r>
    </w:p>
    <w:p>
      <w:pPr>
        <w:spacing w:after="0" w:line="174"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that it has a contract with a 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spacing w:after="0" w:line="178"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Identification of the performance obligations in the contract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 The Company Offers its platform service solution on a standalone basis (i.e., without the fulfillment services), fulfillment services are offered on an optional basis. Customers may choose to utilize or cease utilizing fulfillment services, either in whole or for select markets, at any time and from time to time.</w:t>
      </w:r>
    </w:p>
    <w:p>
      <w:pPr>
        <w:spacing w:after="0" w:line="187"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spacing w:after="0" w:line="178" w:lineRule="exact"/>
        <w:rPr>
          <w:sz w:val="20"/>
          <w:szCs w:val="20"/>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 To determine SSP, the Company maximizes the use of observable standalone sales and observable data, where available. In instances where performance obligations do not have observable standalone sales, the Company uses the expected cost-plus margin approach to estimate the standalone selling price based on a defined matrix that takes into consideration, among others, the weight, volume and shipping lane of the package. The Company also utilizes available information that may include market conditions, pricing strategies, and other observable inputs. In some cases, the Company provides the platform service solution on a standalone basis. (i.e., without the fulfillment services) since fulfillment service is optional. As for the fulfillment services, the Company provides such services only alongside the platform service solution.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Recognition of the revenue when, or as, a performance obligation is satisfied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spacing w:after="0" w:line="176" w:lineRule="exact"/>
        <w:rPr>
          <w:sz w:val="20"/>
          <w:szCs w:val="20"/>
          <w:color w:val="auto"/>
        </w:rPr>
      </w:pPr>
    </w:p>
    <w:p>
      <w:pPr>
        <w:jc w:val="both"/>
        <w:ind w:left="980" w:hanging="324"/>
        <w:spacing w:after="0" w:line="25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 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services - the service is recognized over the shipment time starting upon the dispatch to the carrier until it reaches the consumer. The Company determined it acts as a principal since it is the primary obligor to fulfill its promise to its customers, controls the services (i.e. the Company directs other parties to provide services on its behalf), has discretion in determining the carrier it uses to provide the service and bears the risk of loss if the actual cost of the fulfillment service will exceed the fee. Therefore, revenues derived from the fulfillment services are presented on a gross basis.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to apply the optional exemption under ASC 606 not to disclose the remaining performance obligations that relate to contracts with an original expected duration of one year or 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revenue by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49,927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96,659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Fulfillment services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86,448</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148,615</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3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Company's revenues from service fees provided on a standalone basis were $1,002, $2,627 and $8,366 for the years ended December 31, 2019, 2020 and 2021,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revenue by merchant outbound region: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80,122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6"/>
              </w:rPr>
              <w:t>47%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34,140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71,095</w:t>
            </w:r>
          </w:p>
        </w:tc>
        <w:tc>
          <w:tcPr>
            <w:tcW w:w="100" w:type="dxa"/>
            <w:vAlign w:val="bottom"/>
          </w:tcPr>
          <w:p>
            <w:pPr>
              <w:spacing w:after="0"/>
              <w:rPr>
                <w:sz w:val="18"/>
                <w:szCs w:val="18"/>
                <w:color w:val="auto"/>
              </w:rPr>
            </w:pPr>
          </w:p>
        </w:tc>
        <w:tc>
          <w:tcPr>
            <w:tcW w:w="1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6"/>
              </w:rPr>
              <w:t>29%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21,269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58,177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c>
          <w:tcPr>
            <w:tcW w:w="1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136,375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245,274</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 Contract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capitalizes sales commissions paid to sales personnel that are incremental to the acquisition of customer contracts. These costs are recorded as deferred contract acquisition costs on the consolidated balance sheets. The Company determines whether costs should be deferred based on its sales compensation plans and if the commissions are incremental and would not have occurred absent the customer contract.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commissions paid upon the initial acquisition of a customer contract for sales personnel and affiliates are amortized mainly over an estimated period of benefit of five years. The Company determines the period of benefit for sales commissions paid for the acquisition of the initial customer contract by taking into consideration the estimated technological life of the Company’s solution.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of sales commissions are consistent with each performance obligation and are included in sales and marketing expense in the consolidated statements of operations. The Company has applied the practical expedient in ASC 606 to expense costs as incurred for costs to obtain a contract with a customer when the amortization period would have been one year or 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a rollforward of deferred contract acquisition costs: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acquisition costs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w:t>
            </w:r>
            <w:r>
              <w:rPr>
                <w:rFonts w:ascii="Times New Roman" w:cs="Times New Roman" w:eastAsia="Times New Roman" w:hAnsi="Times New Roman"/>
                <w:sz w:val="18"/>
                <w:szCs w:val="18"/>
                <w:b w:val="1"/>
                <w:bCs w:val="1"/>
                <w:color w:val="auto"/>
              </w:rPr>
              <w:t>)</w:t>
            </w:r>
          </w:p>
        </w:tc>
      </w:tr>
      <w:tr>
        <w:trPr>
          <w:trHeight w:val="27"/>
        </w:trPr>
        <w:tc>
          <w:tcPr>
            <w:tcW w:w="7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w:t>
            </w: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contract acquisition costs (to be recognized in next 12 months included in other current</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w:t>
            </w:r>
          </w:p>
        </w:tc>
      </w:tr>
      <w:tr>
        <w:trPr>
          <w:trHeight w:val="27"/>
        </w:trPr>
        <w:tc>
          <w:tcPr>
            <w:tcW w:w="7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w:t>
            </w: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expenses related to fulfillment of its services, which mainly include shipping costs, acquiring costs, payroll and allocated overhead. Overhead is allocated to cost of revenue based on applicable headcount.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associated with the Company’s development personnel responsible for the design, development and testing of its products, cost of development environments and tools, and allocated overhead. Overhead is allocated to research and development based on applicable headcount. Research and development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include mainly personnel-related expenses, sales commissions, direct marketing, events, public relations, commercial agreement amortization (See note 5) and allocated overhead. Overhead is allocated to sales and marketing based on applicable headcount.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including share-based compensation expenses, associated primarily with the Company’s finance, legal, human resources and other operational and administrative functions, professional fees for external legal, accounting and other consulting services, and allocated overhead.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 for share-based compensation in accordance with ASC No. 718, “Compensation - Stock Compensation” (“ASC No. 718”). Share-based compensation expense related to share awards is recognized based on the fair value of the awards granted. The fair value of restricted stock units (“RSU”) is based on the closing market value of the underlying shares at the date of grant. 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option, the expected volatility of the price of the Company’s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is subject to income taxes in Israel, the U.S., U.K and other foreign jurisdictions. These foreign jurisdictions may have different statutory rates than in Israel. Income taxes are accounted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The financial effect of changes in tax laws or rates is accounted for in the period of enactment. Valuation allowances are provided when necessary to reduce deferred tax assets to the amount expected to be realized.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(including net interest and penalties),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(Loss) Per Share Attributable to Ordinary Shareholders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computes net earnings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Ordinary Shares, on a pro-rata basis assuming conversion of all convertible preferred shares into Ordinary Shares. These participating securities do not contractually require the holders of such shares to participate in the Company’s losses. During the periods when the Company is in a net loss position, the net loss attributable to common shareholders was not allocated to the convertible Preferred Shares under the two-class method as these securities do not have a contractual obligation to share in our losses. The Company’s basic net earnings (loss) per share is calculated by dividing net earnings (loss) attributable to ordinary shareholders by the weighted-average number of shares of Ordinary Shares outstanding for the period, without consideration of potentially dilutive securities.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diluted net earnings per share is calculated by giving effect to all potentially dilutive securities outstanding for the period using the treasury share method or the if-converted method based on the nature of such securities. During the periods when there is a net loss attributable to common shareholders, potentially dilutive common share equivalents have been excluded from the calculation of diluted net loss per share attributable to common shareholders as their effect is anti-dilutive.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The Company’s chief operating decision maker allocates resources and assesses performance based upon discrete financial information at the consolidated level.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geographical region can be found in the revenue recognition disclosures in Note 2 above. The following table presents the Company’s property and equipment, net of depreciation and amortization as well as the Company’s operating lease ROU assets by geographic region: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23,376</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Severance Pay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Israel’s Severance Pay Law, Israeli employees are entitled to severance pay equal to one month’s salary for each year of employment, or a portion thereof. The Company has elected to include its employees in Israel under Section 14 of the Severance Pay Law, under which these employees are entitled only to monthly deposits made in their name with insurance companies, at a rate of 8.33% of their monthly salary. These payments release the Company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2020 and 2021, the Company recorded $838 and $1,428, respectively, in severance expenses related to these employees.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preferred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IPO, the Company issued warrants to purchase the Company's convertible preferred shares which were classified as a liability on the balance sheet and measured at fair value. The Company measured the warrants at fair value by applying the Option Pricing Method ("OPM") in each reporting period until they were converted. Changes in the fair value being recognized in the Company's statement of operations as financial income or expense, as appropriate.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shares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(11,610)</w:t>
            </w:r>
          </w:p>
        </w:tc>
      </w:tr>
      <w:tr>
        <w:trPr>
          <w:trHeight w:val="27"/>
        </w:trPr>
        <w:tc>
          <w:tcPr>
            <w:tcW w:w="7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receivable and payable to customers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Funds receivable represent cash received or settled from end-customers via third-party payment service providers, which flows through a Company bank account for payment to the Company’s customers. This cash and related receivables represent the total amount due to the Company’s customers and as such, a liability for the same amount is recorded to funds payable to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new guidance was adopted by the Company on January 1, 2020 with no impact on its consolidated financial statements and related disclosures.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new guidance was adopted by the Company on January 1, 2021 with no impact on its consolidated financial statements and related disclosures.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 by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The standard requires an acquirer in a business combination to recognize and measure contract assets and contract liabilities acquired in a business combination in accordance with ASC 606, Revenue from Contracts with Customers, as if it had originated the contracts. The standard is effective for fiscal years, and interim periods within those fiscal years, beginning after December 15, 2023. Early adoption is permitted. The Company is currently evaluating the impact of the new guidance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Disclosure by Business Entities about Government Assistance.” The new standard improves the transparency of government assistance received by most business entities by requiring the disclosure of: (1) the types of government assistance received; (2) the accounting for such assistance; and (3) the effect of the assistance on a business entity's financial statements. This guidance is effective for financial statements issued for annual periods beginning after December 15, 2021. Early adoption is permitted. The Company does not expect the adoption of the standard will have a material impact on its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Components</w:t>
      </w:r>
    </w:p>
    <w:p>
      <w:pPr>
        <w:spacing w:after="0" w:line="225"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tax receivables and related prepaid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46,568</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software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4,303</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8680" w:type="dxa"/>
            <w:vAlign w:val="bottom"/>
            <w:tcBorders>
              <w:top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were $171, $235 and $331 for the years ended December 31, 2019, 2020 and 2021, respectively. During the year ended December 31, 2021, the Company wrote-off $3 of fully depreciated assets.</w:t>
      </w:r>
    </w:p>
    <w:p>
      <w:pPr>
        <w:spacing w:after="0" w:line="158"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Commercial Agreement Asset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2021, the Company recognized an asset in connection with a commercial agreement with Shopify Inc., in which the Company granted warrants in exchange for the benefit of being an exclusive third-party provider of an end-to-end cross border solution. This asset represents the probable future economic benefit to be realized over a four-year expected benefit period and is valued based on the fair value of the vested warrants on the grant date. The Company recognized an asset of $280.8 million associated with the fair value of the vested warrants. For the year ended December 31, 2021, the Company recorded amortization expense related to the commercial agreement asset of $84.3 million in the Company’s consolidated statements of operations and comprehensive loss as a component of sales and marketing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b w:val="1"/>
                <w:bCs w:val="1"/>
                <w:i w:val="1"/>
                <w:iCs w:val="1"/>
                <w:color w:val="auto"/>
              </w:rPr>
              <w:t>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indirect taxes and related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Advancements from customers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47,358</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Convertible Preferred shares, shareholders’ Equity (Deficit) and Equity incentive Plan</w:t>
      </w:r>
    </w:p>
    <w:p>
      <w:pPr>
        <w:spacing w:after="0" w:line="229"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entitle their holders to receive notice to participate and vote in general meetings of the Company, the right to share in distributions upon liquidation of the Company, and to receive dividends, if declared.</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2021, the Company's shareholders approved the change of share capital from NIS 0.01 par value to no par-value. The change in par value has not yet been filed with and by the Israel Corporate Registrar, which filing is declarative in nature.</w:t>
      </w:r>
    </w:p>
    <w:p>
      <w:pPr>
        <w:spacing w:after="0" w:line="16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2021, the Company's shareholders approved a share split of the Company’s Ordinary Shares at a ratio of 1-to 600. As a result of the share split, (i) every one authorized, issued and outstanding ordinary share was increased to six hundred (600) of shares authorized, issued and outstanding Ordinary Shares, (ii) the number of Ordinary Shares into which each outstanding option to purchase an Ordinary Share is exercisable was proportionally increased on a 1-to 600 basis, (iii) all share prices and exercise prices were proportionally decreased. All of the share numbers, share prices, and exercise prices have been adjusted within these consolidated financial statements, on a retroactive basis, to reflect this 1-to 600 shares split, and (iv) the conversion ratio for the convertible preferred shares to Ordinary Shares was updated on a 1-to 600 basis.</w:t>
      </w:r>
    </w:p>
    <w:p>
      <w:pPr>
        <w:spacing w:after="0" w:line="187"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ordinary and convertible preferred shares amounts and per share amounts have been retroactively restated to reflect the change in par value as if it had taken place as of the beginning of the earliest period presented.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plans: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the Company adopted the Global-e Online Ltd. 2013 Share Incentive Plan (“2013 Plan”), under which the Company may grant various forms of equity incentive compensation at the discretion of the board of directors, including share options. The awards have varying terms, but generally vest over four years. Share options expire 10 years after the date of grant. The Company issues new Ordinary Shares upon exercise of share options.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the Company extended the contractual term for all share option grants from 7 years to 10 years. The Company concluded that the extension of the contractual term for all share option grants modified the terms of all outstanding share options held by employees and nonemployees.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no longer grant any awards under the 2013 Plan as it was superseded by the 2021 Plan, although previously granted awards remain outstanding. Ordinary Shares subject to outstanding options granted under the 2013 Plan that expire or become unexercisable without having been exercised in full will become available again for future grant under the 2021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2021 Share Incentive Plan, or the 2021 Plan, was adopted by our board of directors on March 1,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maximum number Ordinary Shares available for issuance under the 2021 Plan is equal to the sum of (i) 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Ordinary Shares reserved and available for issuance under the 2021 Plan in its discretion.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share option activity under the Company’s equity incentive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5160" w:type="dxa"/>
            <w:vAlign w:val="bottom"/>
            <w:tcBorders>
              <w:bottom w:val="single" w:sz="8" w:color="auto"/>
            </w:tcBorders>
            <w:gridSpan w:val="9"/>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thousands, except share, life and per share data)</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121,325.91</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(1,994,371)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124,762.70</w:t>
            </w:r>
          </w:p>
        </w:tc>
      </w:tr>
      <w:tr>
        <w:trPr>
          <w:trHeight w:val="22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(291,825)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10,132,154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619,339.90</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7,955,457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487,203.07</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2019 and 2020, was $0.13, $3.05 respectively. During the year ended December 31, 2021, no options were granted. As of December 31, 2021, unrecognized share-based compensation cost related to unvested share options was $8,787, which is expected to be recognized over a weighted-average period 2.30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assumptions used to value the employee options at the grant dates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6.11</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- 2.6%</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0.37% - 1.45%</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14"/>
        </w:trPr>
        <w:tc>
          <w:tcPr>
            <w:tcW w:w="3580" w:type="dxa"/>
            <w:vAlign w:val="bottom"/>
          </w:tcPr>
          <w:p>
            <w:pPr>
              <w:spacing w:after="0"/>
              <w:rPr>
                <w:sz w:val="24"/>
                <w:szCs w:val="24"/>
                <w:color w:val="auto"/>
              </w:rPr>
            </w:pPr>
          </w:p>
        </w:tc>
        <w:tc>
          <w:tcPr>
            <w:tcW w:w="5760" w:type="dxa"/>
            <w:vAlign w:val="bottom"/>
            <w:gridSpan w:val="2"/>
          </w:tcPr>
          <w:p>
            <w:pPr>
              <w:jc w:val="right"/>
              <w:ind w:right="3410"/>
              <w:spacing w:after="0"/>
              <w:rPr>
                <w:sz w:val="20"/>
                <w:szCs w:val="20"/>
                <w:color w:val="auto"/>
              </w:rPr>
            </w:pPr>
            <w:r>
              <w:rPr>
                <w:rFonts w:ascii="Times New Roman" w:cs="Times New Roman" w:eastAsia="Times New Roman" w:hAnsi="Times New Roman"/>
                <w:sz w:val="18"/>
                <w:szCs w:val="18"/>
                <w:color w:val="auto"/>
              </w:rPr>
              <w:t>F - 23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3580" w:type="dxa"/>
            <w:vAlign w:val="bottom"/>
            <w:tcBorders>
              <w:bottom w:val="single" w:sz="8" w:color="EEEEEE"/>
            </w:tcBorders>
          </w:tcPr>
          <w:p>
            <w:pPr>
              <w:spacing w:after="0"/>
              <w:rPr>
                <w:sz w:val="10"/>
                <w:szCs w:val="10"/>
                <w:color w:val="auto"/>
              </w:rPr>
            </w:pPr>
          </w:p>
        </w:tc>
        <w:tc>
          <w:tcPr>
            <w:tcW w:w="5020" w:type="dxa"/>
            <w:vAlign w:val="bottom"/>
            <w:tcBorders>
              <w:bottom w:val="single" w:sz="8" w:color="EEEEEE"/>
            </w:tcBorders>
          </w:tcPr>
          <w:p>
            <w:pPr>
              <w:spacing w:after="0"/>
              <w:rPr>
                <w:sz w:val="10"/>
                <w:szCs w:val="10"/>
                <w:color w:val="auto"/>
              </w:rPr>
            </w:pPr>
          </w:p>
        </w:tc>
        <w:tc>
          <w:tcPr>
            <w:tcW w:w="740" w:type="dxa"/>
            <w:vAlign w:val="bottom"/>
            <w:tcBorders>
              <w:bottom w:val="single" w:sz="8" w:color="EEEEEE"/>
            </w:tcBorders>
          </w:tcPr>
          <w:p>
            <w:pPr>
              <w:spacing w:after="0"/>
              <w:rPr>
                <w:sz w:val="10"/>
                <w:szCs w:val="10"/>
                <w:color w:val="auto"/>
              </w:rPr>
            </w:pPr>
          </w:p>
        </w:tc>
        <w:tc>
          <w:tcPr>
            <w:tcW w:w="360" w:type="dxa"/>
            <w:vAlign w:val="bottom"/>
            <w:tcBorders>
              <w:bottom w:val="single" w:sz="8" w:color="EEEEEE"/>
            </w:tcBorders>
          </w:tcPr>
          <w:p>
            <w:pPr>
              <w:spacing w:after="0"/>
              <w:rPr>
                <w:sz w:val="10"/>
                <w:szCs w:val="10"/>
                <w:color w:val="auto"/>
              </w:rPr>
            </w:pPr>
          </w:p>
        </w:tc>
        <w:tc>
          <w:tcPr>
            <w:tcW w:w="280" w:type="dxa"/>
            <w:vAlign w:val="bottom"/>
            <w:tcBorders>
              <w:bottom w:val="single" w:sz="8" w:color="EEEEEE"/>
            </w:tcBorders>
          </w:tcPr>
          <w:p>
            <w:pPr>
              <w:spacing w:after="0"/>
              <w:rPr>
                <w:sz w:val="10"/>
                <w:szCs w:val="10"/>
                <w:color w:val="auto"/>
              </w:rPr>
            </w:pPr>
          </w:p>
        </w:tc>
        <w:tc>
          <w:tcPr>
            <w:tcW w:w="1100" w:type="dxa"/>
            <w:vAlign w:val="bottom"/>
            <w:tcBorders>
              <w:bottom w:val="single" w:sz="8" w:color="EEEEEE"/>
            </w:tcBorders>
          </w:tcPr>
          <w:p>
            <w:pPr>
              <w:spacing w:after="0"/>
              <w:rPr>
                <w:sz w:val="10"/>
                <w:szCs w:val="10"/>
                <w:color w:val="auto"/>
              </w:rPr>
            </w:pPr>
          </w:p>
        </w:tc>
        <w:tc>
          <w:tcPr>
            <w:tcW w:w="140" w:type="dxa"/>
            <w:vAlign w:val="bottom"/>
            <w:tcBorders>
              <w:bottom w:val="single" w:sz="8" w:color="EEEEEE"/>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assumptions and estimates were determined as follows:</w:t>
      </w:r>
    </w:p>
    <w:p>
      <w:pPr>
        <w:spacing w:after="0" w:line="221" w:lineRule="exact"/>
        <w:rPr>
          <w:sz w:val="20"/>
          <w:szCs w:val="20"/>
          <w:color w:val="auto"/>
        </w:rPr>
      </w:pPr>
    </w:p>
    <w:p>
      <w:pPr>
        <w:jc w:val="both"/>
        <w:ind w:left="980" w:hanging="324"/>
        <w:spacing w:after="0" w:line="268"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Fair Value of Ordinary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IPO, the fair value was determined by our board of directors, with input from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reports prepared by third-party valuation specialists. Post IPO, the fair value of each ordinary share was based on the closing price of our publicly traded Ordinary Shares as reported on the date of the grant.</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 The risk-free rate for the expected term of the options is based on the Black-Scholes option-pricing model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yields of U.S. Treasury securities with maturities appropriate for the expected term of employee share option awards.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 The expected term represents the period that options are expected to be outstanding. For option grants that are considered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“plain vanilla,” the Company determines the expected term using the simplified method. The simplified method deems the term to be the average of the time-to-vesting and the contractual life of the options.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 Since the Company has no trading history of its Ordinary Shares, the expected volatility is derived from the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share volatilities of several unrelated public companies within the Company’s industry that the Company considers to be comparable to its own business over a period equivalent to the option’s expected term.</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Dividend Yield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never declared or paid any cash dividends and does not presently plan to pay cash dividends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foreseeable future. As a result, an expected dividend yield of zero percent was used.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A summary of RSU’s activity under the Company’s equity incentive plan and related information is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24,571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443,018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63.49</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unrecognized share-based compensation cost related to unvested RSU’s was $23,402, which is expected to be recognized over a weighted-average period 2.55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share-based compensation expense by line item in the accompanying consolidated statements of operations is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100" w:type="dxa"/>
            <w:vAlign w:val="bottom"/>
            <w:gridSpan w:val="11"/>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7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4,192</w:t>
            </w: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98"/>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Convertible preferred shares at December 31, 2020 consisted of the following: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7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194"/>
        </w:trPr>
        <w:tc>
          <w:tcPr>
            <w:tcW w:w="7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Designated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45"/>
        </w:trPr>
        <w:tc>
          <w:tcPr>
            <w:tcW w:w="7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 w:type="dxa"/>
            <w:vAlign w:val="bottom"/>
            <w:gridSpan w:val="2"/>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gridSpan w:val="2"/>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19,298</w:t>
            </w:r>
          </w:p>
        </w:tc>
        <w:tc>
          <w:tcPr>
            <w:tcW w:w="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A-1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20,364</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20,364</w:t>
            </w: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37,361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37,361</w:t>
            </w:r>
          </w:p>
        </w:tc>
        <w:tc>
          <w:tcPr>
            <w:tcW w:w="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B-2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17,792</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17,792</w:t>
            </w: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15,822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15,822</w:t>
            </w:r>
          </w:p>
        </w:tc>
        <w:tc>
          <w:tcPr>
            <w:tcW w:w="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27,758</w:t>
            </w:r>
          </w:p>
        </w:tc>
        <w:tc>
          <w:tcPr>
            <w:tcW w:w="20" w:type="dxa"/>
            <w:vAlign w:val="bottom"/>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23,706</w:t>
            </w:r>
          </w:p>
        </w:tc>
        <w:tc>
          <w:tcPr>
            <w:tcW w:w="2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shares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162,101</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162,101</w:t>
            </w:r>
          </w:p>
        </w:tc>
        <w:tc>
          <w:tcPr>
            <w:tcW w:w="20" w:type="dxa"/>
            <w:vAlign w:val="bottom"/>
            <w:shd w:val="clear" w:color="auto" w:fill="CCEEFF"/>
          </w:tcPr>
          <w:p>
            <w:pPr>
              <w:spacing w:after="0"/>
              <w:rPr>
                <w:sz w:val="22"/>
                <w:szCs w:val="22"/>
                <w:color w:val="auto"/>
              </w:rPr>
            </w:pPr>
          </w:p>
        </w:tc>
      </w:tr>
      <w:tr>
        <w:trPr>
          <w:trHeight w:val="385"/>
        </w:trPr>
        <w:tc>
          <w:tcPr>
            <w:tcW w:w="732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The Company has the following Ordinary Shares reserved for future issuance:</w:t>
            </w:r>
          </w:p>
        </w:tc>
        <w:tc>
          <w:tcPr>
            <w:tcW w:w="8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12"/>
        </w:trPr>
        <w:tc>
          <w:tcPr>
            <w:tcW w:w="7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7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shares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97,260,600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12,418,350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10,132,154</w:t>
            </w:r>
          </w:p>
        </w:tc>
        <w:tc>
          <w:tcPr>
            <w:tcW w:w="2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Remaining shares available for future issuance under the 2021 Plan</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3,470,250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2,749,064</w:t>
            </w:r>
          </w:p>
        </w:tc>
        <w:tc>
          <w:tcPr>
            <w:tcW w:w="20" w:type="dxa"/>
            <w:vAlign w:val="bottom"/>
          </w:tcPr>
          <w:p>
            <w:pPr>
              <w:spacing w:after="0"/>
              <w:rPr>
                <w:sz w:val="19"/>
                <w:szCs w:val="19"/>
                <w:color w:val="auto"/>
              </w:rPr>
            </w:pPr>
          </w:p>
        </w:tc>
      </w:tr>
      <w:tr>
        <w:trPr>
          <w:trHeight w:val="257"/>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shares of ordinary shares reserved</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113,149,200</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13,324,236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426"/>
        </w:trPr>
        <w:tc>
          <w:tcPr>
            <w:tcW w:w="7320" w:type="dxa"/>
            <w:vAlign w:val="bottom"/>
            <w:tcBorders>
              <w:top w:val="single" w:sz="8" w:color="CCEEFF"/>
            </w:tcBorders>
          </w:tcPr>
          <w:p>
            <w:pPr>
              <w:ind w:left="5400"/>
              <w:spacing w:after="0"/>
              <w:rPr>
                <w:sz w:val="20"/>
                <w:szCs w:val="20"/>
                <w:color w:val="auto"/>
              </w:rPr>
            </w:pPr>
            <w:r>
              <w:rPr>
                <w:rFonts w:ascii="Times New Roman" w:cs="Times New Roman" w:eastAsia="Times New Roman" w:hAnsi="Times New Roman"/>
                <w:sz w:val="18"/>
                <w:szCs w:val="18"/>
                <w:color w:val="auto"/>
              </w:rPr>
              <w:t>F - 25</w:t>
            </w:r>
          </w:p>
        </w:tc>
        <w:tc>
          <w:tcPr>
            <w:tcW w:w="8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08"/>
        </w:trPr>
        <w:tc>
          <w:tcPr>
            <w:tcW w:w="732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100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100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Ordinary Share warrants are included as a component of additional paid in capital within the consolidated balance sheets.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warrants to purchase 19,604,239 shares of Ordinary Shares in connection with a commercial agreement with Shopify Inc. The exercise price was $0.01 per share, and the term of the warrants was 10 years. We valued the warrants at the grant date using the Black-Scholes-Merton option pricing model. In connection with these warrants, we recognized an asset of $280.8 million at December 31, 2021 associated with the fair value of the warrants, of which 11,701,759 were vested and exercised as of December 31, 2021. This asset is recorded in the Company’s consolidated balance sheets. Refer to Note 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Party Share Transactions</w:t>
      </w:r>
    </w:p>
    <w:p>
      <w:pPr>
        <w:spacing w:after="0" w:line="200" w:lineRule="exact"/>
        <w:rPr>
          <w:sz w:val="20"/>
          <w:szCs w:val="20"/>
          <w:color w:val="auto"/>
        </w:rPr>
      </w:pPr>
    </w:p>
    <w:p>
      <w:pPr>
        <w:spacing w:after="0" w:line="2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April and November 2020, the Company recorded $1,346 and $809, respectively, of share-based compensation expenses associated with the two secondary share purchase transactions during the year ended December 31, 2020. The secondary share purchase transactions were executed among certain of the Company’s founders, employees, and shareholders. The April 2020 secondary share purchase transaction was consummated concurrently with the issuance of the Company’s Series E convertible preferred shares. The Company assessed the impact of these transactions as holders of economic interest in the Company acquired shares from the Company’s employees and founders at a price in excess of fair value of such shares. Accordingly, the Company recognized such excess value as share-based compensation expense.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include offices worldwide, as well as car leases, which are all classified as operating leases. Certain leases include renewal options that are under the Company`s sole discretion. The renewal options were included in the ROU and liability calculation if it was reasonably certain that the Company will exercise the option.</w:t>
      </w:r>
    </w:p>
    <w:p>
      <w:pPr>
        <w:spacing w:after="0" w:line="176"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short-term leases with a term of 12 months or less, operating lease ROU assets and liabilities are not recognized and the Company records lease payments in the Consolidated Statements of Operations on a straight-line basis over the lease term.</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supplemental cash flow information related to leases for the years ended December 31, 2019, 2020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from obtaining ROU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firstLine="5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weighted average remaining lease term is 9.1 years, and the weighted average discount rate is 3.29 percent. The discount rate was determined based on the estimated collateralized borrowing rate of the Company, adjusted to the specific lease term and location of each lease.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Maturities of lease liabilities as of December 31, 2021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1002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0020" w:type="dxa"/>
            <w:vAlign w:val="bottom"/>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24,426</w:t>
            </w:r>
          </w:p>
        </w:tc>
        <w:tc>
          <w:tcPr>
            <w:tcW w:w="8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21,321</w:t>
            </w:r>
          </w:p>
        </w:tc>
        <w:tc>
          <w:tcPr>
            <w:tcW w:w="80" w:type="dxa"/>
            <w:vAlign w:val="bottom"/>
          </w:tcPr>
          <w:p>
            <w:pPr>
              <w:spacing w:after="0"/>
              <w:rPr>
                <w:sz w:val="19"/>
                <w:szCs w:val="19"/>
                <w:color w:val="auto"/>
              </w:rPr>
            </w:pPr>
          </w:p>
        </w:tc>
      </w:tr>
    </w:tbl>
    <w:p>
      <w:pPr>
        <w:spacing w:after="0" w:line="194"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Israeli taxation:</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Encouragement (Taxes) Law, 1969</w:t>
      </w:r>
    </w:p>
    <w:p>
      <w:pPr>
        <w:spacing w:after="0" w:line="22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status of an "industrial company" within the meaning of this law. In accordance with this status and by virtue of published regulations, the Company is entitled to claim a depreciation deduction at increased rates in respect of equipment used in industrial activity, as stipulated in regulations by virtue of the Adjustments Law. In addition, the Company is entitled to a reduction in respect of a patent or the right to utilize a patent or knowledge, used for the development or promotion of the plant, to deduct expenses for the issuance of shares listed on the stock exchange and to file a consolidated report under certain conditions.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taxable income in Israel is subject to a corporate tax rate of 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final tax assessments since inception.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net operating losses from prior tax periods which may be subjected to examination in future periods. As of December 31, 2021, the Company’s tax years until December 31, 2015 are subject to statutes of limitation in Israel.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taxable income in U.S. dollars:</w:t>
      </w:r>
    </w:p>
    <w:p>
      <w:pPr>
        <w:spacing w:after="0" w:line="225"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has elected to measure its taxable income and file its tax return under the Israeli Income Tax Regulations (Principles Regarding the Management of Books of Account of Foreign Invested Companies and Certain Partnerships and the Determination of Their Taxable Income), 1986. Accordingly, results for tax purposes are measured in terms of earnings in dollars.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of non-Israeli subsidiaries: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Non-Israeli subsidiaries are taxed according to the tax laws in their respective countries of residence.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provide deferred tax liabilities when it intends to reinvest earnings of foreign subsidiaries indefinitely no tax liability will be imposed. Undistributed earnings of foreign subsidiaries that are not distributed amounted to $5,030 and unrecognized deferred tax liability related to such earning amounted to $1,157 as of December 31, 2021.</w:t>
      </w:r>
    </w:p>
    <w:p>
      <w:pPr>
        <w:spacing w:after="0" w:line="176"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the net profit (loss) before the provision for income taxes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(4,932)</w:t>
            </w:r>
          </w:p>
        </w:tc>
        <w:tc>
          <w:tcPr>
            <w:tcW w:w="14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(83,028)</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(2,578)</w:t>
            </w: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2,781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w:t>
            </w:r>
          </w:p>
        </w:tc>
      </w:tr>
      <w:tr>
        <w:trPr>
          <w:trHeight w:val="256"/>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3"/>
              </w:rPr>
              <w:t>(7,510)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4,074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income taxes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5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Israel</w:t>
            </w:r>
          </w:p>
        </w:tc>
        <w:tc>
          <w:tcPr>
            <w:tcW w:w="36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shd w:val="clear" w:color="auto" w:fill="CCEEFF"/>
          </w:tcPr>
          <w:p>
            <w:pPr>
              <w:spacing w:after="0"/>
              <w:rPr>
                <w:sz w:val="18"/>
                <w:szCs w:val="18"/>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23"/>
        </w:trPr>
        <w:tc>
          <w:tcPr>
            <w:tcW w:w="4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7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Israel</w:t>
            </w:r>
          </w:p>
        </w:tc>
        <w:tc>
          <w:tcPr>
            <w:tcW w:w="2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23"/>
        </w:trPr>
        <w:tc>
          <w:tcPr>
            <w:tcW w:w="4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57"/>
        </w:trPr>
        <w:tc>
          <w:tcPr>
            <w:tcW w:w="45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7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425"/>
        </w:trPr>
        <w:tc>
          <w:tcPr>
            <w:tcW w:w="4540" w:type="dxa"/>
            <w:vAlign w:val="bottom"/>
          </w:tcPr>
          <w:p>
            <w:pPr>
              <w:spacing w:after="0"/>
              <w:rPr>
                <w:sz w:val="24"/>
                <w:szCs w:val="24"/>
                <w:color w:val="auto"/>
              </w:rPr>
            </w:pPr>
          </w:p>
        </w:tc>
        <w:tc>
          <w:tcPr>
            <w:tcW w:w="36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F - 29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540" w:type="dxa"/>
            <w:vAlign w:val="bottom"/>
            <w:tcBorders>
              <w:bottom w:val="single" w:sz="8" w:color="EEEEEE"/>
            </w:tcBorders>
          </w:tcPr>
          <w:p>
            <w:pPr>
              <w:spacing w:after="0"/>
              <w:rPr>
                <w:sz w:val="10"/>
                <w:szCs w:val="10"/>
                <w:color w:val="auto"/>
              </w:rPr>
            </w:pPr>
          </w:p>
        </w:tc>
        <w:tc>
          <w:tcPr>
            <w:tcW w:w="2780" w:type="dxa"/>
            <w:vAlign w:val="bottom"/>
            <w:tcBorders>
              <w:bottom w:val="single" w:sz="8" w:color="EEEEEE"/>
            </w:tcBorders>
          </w:tcPr>
          <w:p>
            <w:pPr>
              <w:spacing w:after="0"/>
              <w:rPr>
                <w:sz w:val="10"/>
                <w:szCs w:val="10"/>
                <w:color w:val="auto"/>
              </w:rPr>
            </w:pPr>
          </w:p>
        </w:tc>
        <w:tc>
          <w:tcPr>
            <w:tcW w:w="840" w:type="dxa"/>
            <w:vAlign w:val="bottom"/>
            <w:tcBorders>
              <w:bottom w:val="single" w:sz="8" w:color="EEEEEE"/>
            </w:tcBorders>
          </w:tcPr>
          <w:p>
            <w:pPr>
              <w:spacing w:after="0"/>
              <w:rPr>
                <w:sz w:val="10"/>
                <w:szCs w:val="10"/>
                <w:color w:val="auto"/>
              </w:rPr>
            </w:pPr>
          </w:p>
        </w:tc>
        <w:tc>
          <w:tcPr>
            <w:tcW w:w="300" w:type="dxa"/>
            <w:vAlign w:val="bottom"/>
            <w:tcBorders>
              <w:bottom w:val="single" w:sz="8" w:color="EEEEEE"/>
            </w:tcBorders>
          </w:tcPr>
          <w:p>
            <w:pPr>
              <w:spacing w:after="0"/>
              <w:rPr>
                <w:sz w:val="10"/>
                <w:szCs w:val="10"/>
                <w:color w:val="auto"/>
              </w:rPr>
            </w:pPr>
          </w:p>
        </w:tc>
        <w:tc>
          <w:tcPr>
            <w:tcW w:w="140" w:type="dxa"/>
            <w:vAlign w:val="bottom"/>
            <w:tcBorders>
              <w:bottom w:val="single" w:sz="8" w:color="EEEEEE"/>
            </w:tcBorders>
          </w:tcPr>
          <w:p>
            <w:pPr>
              <w:spacing w:after="0"/>
              <w:rPr>
                <w:sz w:val="10"/>
                <w:szCs w:val="10"/>
                <w:color w:val="auto"/>
              </w:rPr>
            </w:pPr>
          </w:p>
        </w:tc>
        <w:tc>
          <w:tcPr>
            <w:tcW w:w="100" w:type="dxa"/>
            <w:vAlign w:val="bottom"/>
            <w:tcBorders>
              <w:bottom w:val="single" w:sz="8" w:color="EEEEEE"/>
            </w:tcBorders>
          </w:tcPr>
          <w:p>
            <w:pPr>
              <w:spacing w:after="0"/>
              <w:rPr>
                <w:sz w:val="10"/>
                <w:szCs w:val="10"/>
                <w:color w:val="auto"/>
              </w:rPr>
            </w:pPr>
          </w:p>
        </w:tc>
        <w:tc>
          <w:tcPr>
            <w:tcW w:w="240" w:type="dxa"/>
            <w:vAlign w:val="bottom"/>
            <w:tcBorders>
              <w:bottom w:val="single" w:sz="8" w:color="EEEEEE"/>
            </w:tcBorders>
          </w:tcPr>
          <w:p>
            <w:pPr>
              <w:spacing w:after="0"/>
              <w:rPr>
                <w:sz w:val="10"/>
                <w:szCs w:val="10"/>
                <w:color w:val="auto"/>
              </w:rPr>
            </w:pPr>
          </w:p>
        </w:tc>
        <w:tc>
          <w:tcPr>
            <w:tcW w:w="860" w:type="dxa"/>
            <w:vAlign w:val="bottom"/>
            <w:tcBorders>
              <w:bottom w:val="single" w:sz="8" w:color="EEEEEE"/>
            </w:tcBorders>
          </w:tcPr>
          <w:p>
            <w:pPr>
              <w:spacing w:after="0"/>
              <w:rPr>
                <w:sz w:val="10"/>
                <w:szCs w:val="10"/>
                <w:color w:val="auto"/>
              </w:rPr>
            </w:pPr>
          </w:p>
        </w:tc>
        <w:tc>
          <w:tcPr>
            <w:tcW w:w="220" w:type="dxa"/>
            <w:vAlign w:val="bottom"/>
            <w:tcBorders>
              <w:bottom w:val="single" w:sz="8" w:color="EEEEEE"/>
            </w:tcBorders>
          </w:tcPr>
          <w:p>
            <w:pPr>
              <w:spacing w:after="0"/>
              <w:rPr>
                <w:sz w:val="10"/>
                <w:szCs w:val="10"/>
                <w:color w:val="auto"/>
              </w:rPr>
            </w:pPr>
          </w:p>
        </w:tc>
        <w:tc>
          <w:tcPr>
            <w:tcW w:w="300" w:type="dxa"/>
            <w:vAlign w:val="bottom"/>
            <w:tcBorders>
              <w:bottom w:val="single" w:sz="8" w:color="EEEEEE"/>
            </w:tcBorders>
          </w:tcPr>
          <w:p>
            <w:pPr>
              <w:spacing w:after="0"/>
              <w:rPr>
                <w:sz w:val="10"/>
                <w:szCs w:val="10"/>
                <w:color w:val="auto"/>
              </w:rPr>
            </w:pPr>
          </w:p>
        </w:tc>
        <w:tc>
          <w:tcPr>
            <w:tcW w:w="820" w:type="dxa"/>
            <w:vAlign w:val="bottom"/>
            <w:tcBorders>
              <w:bottom w:val="single" w:sz="8" w:color="EEEEEE"/>
            </w:tcBorders>
          </w:tcPr>
          <w:p>
            <w:pPr>
              <w:spacing w:after="0"/>
              <w:rPr>
                <w:sz w:val="10"/>
                <w:szCs w:val="10"/>
                <w:color w:val="auto"/>
              </w:rPr>
            </w:pPr>
          </w:p>
        </w:tc>
        <w:tc>
          <w:tcPr>
            <w:tcW w:w="80" w:type="dxa"/>
            <w:vAlign w:val="bottom"/>
            <w:tcBorders>
              <w:bottom w:val="single" w:sz="8" w:color="EEEEEE"/>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the theoretical tax expenses: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Company’s theoretical income tax expense to actual income tax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Theoretical income tax expense (benefit)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(17,072)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true ups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impact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f.</w:t>
        <w:tab/>
        <w:t>Deferred tax assets and liabilities: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30,129</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4,327</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Leasing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4,823</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(9,255)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(36,077)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Leasing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4,548</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Refer to note 8g.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 The Company has established a valuation allowance to offset the deferred tax assets at December 31, 2020 and 2021 due to the uncertainty of realizing future tax benefits from its net operating loss carryforwards and other deferred tax assets. The net change in the total valuation allowance for the year ended December 31, 2021 was a decrease of $26,822.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$103,832 in net operating loss carryforwards in Israel that can be carried forward indefinitely.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in various countries, and accordingly attempts to utilize an efficient operating model to structure its tax payments based on the laws in the countries in which the Company operates. This can cause disputes between the Company and various tax authorities in different parts of the world.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is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As of December 31, 2021 unrecognized tax benefit in amount of $19.4 million was related to Net operating loss carryforwards for which the Company has recognized valuation allowance.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Earnings (Loss) Per Share Attributable to Ordinary Shareholders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ordinary shareholders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9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except share and</w:t>
            </w: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share data)</w:t>
            </w: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profit (loss) per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profit (loss)</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(7,544)</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r>
      <w:tr>
        <w:trPr>
          <w:trHeight w:val="22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allocated to preferred shareholders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3,189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 of net profit (loss) attributable to Ordinary shareholders</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(7,544)</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r>
      <w:tr>
        <w:trPr>
          <w:trHeight w:val="175"/>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7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profit (loss) per share attributable to Ordinary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19,654,276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21,120,208</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101,737,026</w:t>
            </w:r>
          </w:p>
        </w:tc>
      </w:tr>
      <w:tr>
        <w:trPr>
          <w:trHeight w:val="223"/>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profit (loss) per share attributable to Ordinary shareholders</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profit (loss) per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profit (loss) attributable for diluted computation</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(7,544)</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(74,933)</w:t>
            </w: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used in computing net earnings per share of ordinary share, basic</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19,654,276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21,120,208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101,737,026</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 - effect of stock-based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7,517,593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profit (loss) per share attributable to Ordinary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19,654,276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28,637,801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101,737,026</w:t>
            </w:r>
          </w:p>
        </w:tc>
      </w:tr>
      <w:tr>
        <w:trPr>
          <w:trHeight w:val="23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profit (loss) per share attributable to ordinary shareholders</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9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1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452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w:t>
            </w:r>
          </w:p>
        </w:tc>
        <w:tc>
          <w:tcPr>
            <w:tcW w:w="4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83,037,000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92,946,600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443,018</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Ordinary Shares</w:t>
            </w:r>
          </w:p>
        </w:tc>
        <w:tc>
          <w:tcPr>
            <w:tcW w:w="4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7,902,480</w:t>
            </w:r>
          </w:p>
        </w:tc>
        <w:tc>
          <w:tcPr>
            <w:tcW w:w="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convertible shares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312,600</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 options</w:t>
            </w:r>
          </w:p>
        </w:tc>
        <w:tc>
          <w:tcPr>
            <w:tcW w:w="3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9,154,800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10,132,154</w:t>
            </w:r>
          </w:p>
        </w:tc>
        <w:tc>
          <w:tcPr>
            <w:tcW w:w="20" w:type="dxa"/>
            <w:vAlign w:val="bottom"/>
            <w:shd w:val="clear" w:color="auto" w:fill="CCEEFF"/>
          </w:tcPr>
          <w:p>
            <w:pPr>
              <w:spacing w:after="0"/>
              <w:rPr>
                <w:sz w:val="18"/>
                <w:szCs w:val="18"/>
                <w:color w:val="auto"/>
              </w:rPr>
            </w:pPr>
          </w:p>
        </w:tc>
      </w:tr>
      <w:tr>
        <w:trPr>
          <w:trHeight w:val="27"/>
        </w:trPr>
        <w:tc>
          <w:tcPr>
            <w:tcW w:w="41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92,191,800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93,259,200</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18,477,652</w:t>
            </w:r>
          </w:p>
        </w:tc>
        <w:tc>
          <w:tcPr>
            <w:tcW w:w="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4180" w:type="dxa"/>
            <w:vAlign w:val="bottom"/>
          </w:tcPr>
          <w:p>
            <w:pPr>
              <w:spacing w:after="0"/>
              <w:rPr>
                <w:sz w:val="24"/>
                <w:szCs w:val="24"/>
                <w:color w:val="auto"/>
              </w:rPr>
            </w:pPr>
          </w:p>
        </w:tc>
        <w:tc>
          <w:tcPr>
            <w:tcW w:w="45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 - 33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180" w:type="dxa"/>
            <w:vAlign w:val="bottom"/>
            <w:tcBorders>
              <w:bottom w:val="single" w:sz="8" w:color="EEEEEE"/>
            </w:tcBorders>
          </w:tcPr>
          <w:p>
            <w:pPr>
              <w:spacing w:after="0"/>
              <w:rPr>
                <w:sz w:val="9"/>
                <w:szCs w:val="9"/>
                <w:color w:val="auto"/>
              </w:rPr>
            </w:pPr>
          </w:p>
        </w:tc>
        <w:tc>
          <w:tcPr>
            <w:tcW w:w="3140" w:type="dxa"/>
            <w:vAlign w:val="bottom"/>
            <w:tcBorders>
              <w:bottom w:val="single" w:sz="8" w:color="EEEEEE"/>
            </w:tcBorders>
          </w:tcPr>
          <w:p>
            <w:pPr>
              <w:spacing w:after="0"/>
              <w:rPr>
                <w:sz w:val="9"/>
                <w:szCs w:val="9"/>
                <w:color w:val="auto"/>
              </w:rPr>
            </w:pPr>
          </w:p>
        </w:tc>
        <w:tc>
          <w:tcPr>
            <w:tcW w:w="1140" w:type="dxa"/>
            <w:vAlign w:val="bottom"/>
            <w:tcBorders>
              <w:bottom w:val="single" w:sz="8" w:color="EEEEEE"/>
            </w:tcBorders>
          </w:tcPr>
          <w:p>
            <w:pPr>
              <w:spacing w:after="0"/>
              <w:rPr>
                <w:sz w:val="9"/>
                <w:szCs w:val="9"/>
                <w:color w:val="auto"/>
              </w:rPr>
            </w:pPr>
          </w:p>
        </w:tc>
        <w:tc>
          <w:tcPr>
            <w:tcW w:w="240" w:type="dxa"/>
            <w:vAlign w:val="bottom"/>
            <w:tcBorders>
              <w:bottom w:val="single" w:sz="8" w:color="EEEEEE"/>
            </w:tcBorders>
          </w:tcPr>
          <w:p>
            <w:pPr>
              <w:spacing w:after="0"/>
              <w:rPr>
                <w:sz w:val="9"/>
                <w:szCs w:val="9"/>
                <w:color w:val="auto"/>
              </w:rPr>
            </w:pPr>
          </w:p>
        </w:tc>
        <w:tc>
          <w:tcPr>
            <w:tcW w:w="110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86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party to a Commercial Letter with DHL International GmbH (“DHL International”), dated March 27, 2017 and amended on December 7, 2020, pursuant to which the Company has undertaken to use DHL International exclusively for the provision of express shipping services to the Company’s customers, subject to certain exclusions described therein, and DHL International has undertaken certain commitments relating to the prices under which its services are offered to the Company. The current term of the Commercial Letter ends on March 27, 2022 and shall renew automatically thereafter until terminated by either the Company or DHL International upon twelve (12) months’ notice. In addition, the Company is party to a services agreement with DHL International (UK) Limited (“DHL UK”), dated May 21, 2019, under which DHL UK provides the Company with express shipping services relating to the purchase and sale of the Company’s customers’ products. The service agreement continues until terminated by either the Company or DHL UK in accordance with its terms. The consideration paid by the Company to DHL UK pursuant to the service agreement is contingent upon the extent of the shipping services provided. The Company entered similar arrangements with other DHL affiliated entities in the Netherlands, France and Spain. In connection with these arrangements, the Company recorded expenses included in Cost of revenue in the total amount of $26,106, $53,861 and $90,315 to DHL affiliated entities in the years ended December 31, 2019, 2020 and 2021, respectively. As of December 31, 2020 and 2021, the balances of accounts payable and accrued expenses in regards to DHL and its affiliated entities were $17,178 and $21,515, respectively (including duties charged by DHL).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at fair value on a recurring basis include warrants to convertible preferred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9"/>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 type</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3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auto"/>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15,282</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15,282</w:t>
            </w:r>
          </w:p>
        </w:tc>
        <w:tc>
          <w:tcPr>
            <w:tcW w:w="20" w:type="dxa"/>
            <w:vAlign w:val="bottom"/>
          </w:tcPr>
          <w:p>
            <w:pPr>
              <w:spacing w:after="0"/>
              <w:rPr>
                <w:sz w:val="19"/>
                <w:szCs w:val="19"/>
                <w:color w:val="auto"/>
              </w:rPr>
            </w:pPr>
          </w:p>
        </w:tc>
      </w:tr>
      <w:tr>
        <w:trPr>
          <w:trHeight w:val="256"/>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financials assets</w:t>
            </w:r>
          </w:p>
        </w:tc>
        <w:tc>
          <w:tcPr>
            <w:tcW w:w="2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426"/>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F - 34</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40" w:type="dxa"/>
            <w:vAlign w:val="bottom"/>
            <w:tcBorders>
              <w:bottom w:val="single" w:sz="8" w:color="EEEEEE"/>
            </w:tcBorders>
          </w:tcPr>
          <w:p>
            <w:pPr>
              <w:spacing w:after="0"/>
              <w:rPr>
                <w:sz w:val="9"/>
                <w:szCs w:val="9"/>
                <w:color w:val="auto"/>
              </w:rPr>
            </w:pPr>
          </w:p>
        </w:tc>
        <w:tc>
          <w:tcPr>
            <w:tcW w:w="3040" w:type="dxa"/>
            <w:vAlign w:val="bottom"/>
            <w:tcBorders>
              <w:bottom w:val="single" w:sz="8" w:color="EEEEEE"/>
            </w:tcBorders>
          </w:tcPr>
          <w:p>
            <w:pPr>
              <w:spacing w:after="0"/>
              <w:rPr>
                <w:sz w:val="9"/>
                <w:szCs w:val="9"/>
                <w:color w:val="auto"/>
              </w:rPr>
            </w:pPr>
          </w:p>
        </w:tc>
        <w:tc>
          <w:tcPr>
            <w:tcW w:w="240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94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94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92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86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 type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14,312</w:t>
            </w:r>
          </w:p>
        </w:tc>
      </w:tr>
      <w:tr>
        <w:trPr>
          <w:trHeight w:val="25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financials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16,871</w:t>
            </w:r>
          </w:p>
        </w:tc>
      </w:tr>
      <w:tr>
        <w:trPr>
          <w:trHeight w:val="209"/>
        </w:trPr>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5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to convertible preferred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financials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2021 the Company held marketable securities classified as available-for-sale securities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gridSpan w:val="2"/>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15,282</w:t>
            </w:r>
          </w:p>
        </w:tc>
        <w:tc>
          <w:tcPr>
            <w:tcW w:w="20" w:type="dxa"/>
            <w:vAlign w:val="bottom"/>
            <w:shd w:val="clear" w:color="auto" w:fill="CCEEFF"/>
          </w:tcPr>
          <w:p>
            <w:pPr>
              <w:spacing w:after="0"/>
              <w:rPr>
                <w:sz w:val="20"/>
                <w:szCs w:val="20"/>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18,464</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gridSpan w:val="2"/>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14,312</w:t>
            </w:r>
          </w:p>
        </w:tc>
        <w:tc>
          <w:tcPr>
            <w:tcW w:w="20" w:type="dxa"/>
            <w:vAlign w:val="bottom"/>
            <w:shd w:val="clear" w:color="auto" w:fill="CCEEFF"/>
          </w:tcPr>
          <w:p>
            <w:pPr>
              <w:spacing w:after="0"/>
              <w:rPr>
                <w:sz w:val="20"/>
                <w:szCs w:val="20"/>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8"/>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16,871</w:t>
            </w:r>
          </w:p>
        </w:tc>
        <w:tc>
          <w:tcPr>
            <w:tcW w:w="20" w:type="dxa"/>
            <w:vAlign w:val="bottom"/>
          </w:tcPr>
          <w:p>
            <w:pPr>
              <w:spacing w:after="0"/>
              <w:rPr>
                <w:sz w:val="19"/>
                <w:szCs w:val="19"/>
                <w:color w:val="auto"/>
              </w:rPr>
            </w:pPr>
          </w:p>
        </w:tc>
      </w:tr>
      <w:tr>
        <w:trPr>
          <w:trHeight w:val="41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 - 35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62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24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240" w:type="dxa"/>
            <w:vAlign w:val="bottom"/>
            <w:tcBorders>
              <w:bottom w:val="single" w:sz="8" w:color="EEEEEE"/>
            </w:tcBorders>
          </w:tcPr>
          <w:p>
            <w:pPr>
              <w:spacing w:after="0"/>
              <w:rPr>
                <w:sz w:val="10"/>
                <w:szCs w:val="10"/>
                <w:color w:val="auto"/>
              </w:rPr>
            </w:pPr>
          </w:p>
        </w:tc>
        <w:tc>
          <w:tcPr>
            <w:tcW w:w="100" w:type="dxa"/>
            <w:vAlign w:val="bottom"/>
            <w:tcBorders>
              <w:bottom w:val="single" w:sz="8" w:color="EEEEEE"/>
            </w:tcBorders>
          </w:tcPr>
          <w:p>
            <w:pPr>
              <w:spacing w:after="0"/>
              <w:rPr>
                <w:sz w:val="10"/>
                <w:szCs w:val="10"/>
                <w:color w:val="auto"/>
              </w:rPr>
            </w:pPr>
          </w:p>
        </w:tc>
        <w:tc>
          <w:tcPr>
            <w:tcW w:w="1000" w:type="dxa"/>
            <w:vAlign w:val="bottom"/>
            <w:tcBorders>
              <w:bottom w:val="single" w:sz="8" w:color="EEEEEE"/>
            </w:tcBorders>
          </w:tcPr>
          <w:p>
            <w:pPr>
              <w:spacing w:after="0"/>
              <w:rPr>
                <w:sz w:val="10"/>
                <w:szCs w:val="10"/>
                <w:color w:val="auto"/>
              </w:rPr>
            </w:pPr>
          </w:p>
        </w:tc>
        <w:tc>
          <w:tcPr>
            <w:tcW w:w="22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980" w:type="dxa"/>
            <w:vAlign w:val="bottom"/>
            <w:tcBorders>
              <w:bottom w:val="single" w:sz="8" w:color="EEEEEE"/>
            </w:tcBorders>
          </w:tcPr>
          <w:p>
            <w:pPr>
              <w:spacing w:after="0"/>
              <w:rPr>
                <w:sz w:val="10"/>
                <w:szCs w:val="10"/>
                <w:color w:val="auto"/>
              </w:rPr>
            </w:pPr>
          </w:p>
        </w:tc>
        <w:tc>
          <w:tcPr>
            <w:tcW w:w="22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1000" w:type="dxa"/>
            <w:vAlign w:val="bottom"/>
            <w:tcBorders>
              <w:bottom w:val="single" w:sz="8" w:color="EEEEEE"/>
            </w:tcBorders>
          </w:tcPr>
          <w:p>
            <w:pPr>
              <w:spacing w:after="0"/>
              <w:rPr>
                <w:sz w:val="10"/>
                <w:szCs w:val="10"/>
                <w:color w:val="auto"/>
              </w:rPr>
            </w:pPr>
          </w:p>
        </w:tc>
        <w:tc>
          <w:tcPr>
            <w:tcW w:w="80" w:type="dxa"/>
            <w:vAlign w:val="bottom"/>
            <w:tcBorders>
              <w:bottom w:val="single" w:sz="8" w:color="EEEEEE"/>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24, 2021, we entered into an agreement to acquire Flow Commerce Inc. (“Flow”) through the statutory merger of Flow with Global-e NewCo Inc., our wholly owned indirect subsidiary, with Flow as the surviving corporation and our wholly owned subsidiary.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Flow Merger closed on January 3, 2022 and is expected to strengthen our offering and capabilities, to allow us access to additional addressable markets of emerging brands not currently eligible to use our services.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deal is valued at up to approximately $500 million (in equal portions of cash and Global-e shares), comprised of a base consideration of approximately $425 million and up to approximately $75 million in potential additional consideration based on certain financial results in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Global-e has signed an agreement to expand the strategic partnership with Shopify and issued to Shopify warrants to purchase (A) up to an aggregate of 1,289,064 of our ordinary shares for a purchase price of $0.01 per share which vested on the date of the agreement and since have been exercised in full, and (B) up to an aggregate of 738,081 of the Company’s ordinary shares for a purchase price of $0.01 per share which vest upon certain performance milestones.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recognize an asset of approximately $71 million related to the 1,289,064 warrants, this asset represents the probable future economic benefit to be realized over a four-year period and is determined based on the fair value of the warrants at the grant date. The amount of future expense related to the 738,081 warrants upon meeting the milestones, is expected to be up to approximately $41 million and will be recognized as an expense over a four-year period which represents the probable future economic period. The amortization will be included within the sales and marketing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 AS AMENDED</w:t>
      </w:r>
    </w:p>
    <w:p>
      <w:pPr>
        <w:spacing w:after="0" w:line="275" w:lineRule="exact"/>
        <w:rPr>
          <w:sz w:val="20"/>
          <w:szCs w:val="20"/>
          <w:color w:val="auto"/>
        </w:rPr>
      </w:pPr>
    </w:p>
    <w:p>
      <w:pPr>
        <w:ind w:right="80" w:firstLine="551"/>
        <w:spacing w:after="0" w:line="263" w:lineRule="auto"/>
        <w:rPr>
          <w:sz w:val="20"/>
          <w:szCs w:val="20"/>
          <w:color w:val="auto"/>
        </w:rPr>
      </w:pPr>
      <w:r>
        <w:rPr>
          <w:rFonts w:ascii="Times New Roman" w:cs="Times New Roman" w:eastAsia="Times New Roman" w:hAnsi="Times New Roman"/>
          <w:sz w:val="22"/>
          <w:szCs w:val="22"/>
          <w:color w:val="auto"/>
        </w:rPr>
        <w:t>As of December 31, 2021, Global-e Online Ltd. had one class of securities registered under Section 12 of the Securities Exchange Act of 1934, as amended (“our ordinary shares”). References herein to “we,” “us,” “our” and the “Company” refer to Global-e Online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 Capital</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As of December 31, 2021, we had 150,456,501 ordinary shares outstanding</w:t>
      </w:r>
      <w:r>
        <w:rPr>
          <w:rFonts w:ascii="Times New Roman" w:cs="Times New Roman" w:eastAsia="Times New Roman" w:hAnsi="Times New Roman"/>
          <w:sz w:val="22"/>
          <w:szCs w:val="22"/>
          <w:b w:val="1"/>
          <w:bCs w:val="1"/>
          <w:color w:val="auto"/>
        </w:rPr>
        <w:t>.</w:t>
      </w:r>
    </w:p>
    <w:p>
      <w:pPr>
        <w:spacing w:after="0" w:line="291" w:lineRule="exact"/>
        <w:rPr>
          <w:sz w:val="20"/>
          <w:szCs w:val="20"/>
          <w:color w:val="auto"/>
        </w:rPr>
      </w:pPr>
    </w:p>
    <w:p>
      <w:pPr>
        <w:ind w:right="160" w:firstLine="551"/>
        <w:spacing w:after="0" w:line="270" w:lineRule="auto"/>
        <w:rPr>
          <w:sz w:val="20"/>
          <w:szCs w:val="20"/>
          <w:color w:val="auto"/>
        </w:rPr>
      </w:pPr>
      <w:r>
        <w:rPr>
          <w:rFonts w:ascii="Times New Roman" w:cs="Times New Roman" w:eastAsia="Times New Roman" w:hAnsi="Times New Roman"/>
          <w:sz w:val="22"/>
          <w:szCs w:val="22"/>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26" w:lineRule="exact"/>
        <w:rPr>
          <w:sz w:val="20"/>
          <w:szCs w:val="20"/>
          <w:color w:val="auto"/>
        </w:rPr>
      </w:pPr>
    </w:p>
    <w:p>
      <w:pPr>
        <w:ind w:right="700" w:firstLine="551"/>
        <w:spacing w:after="0" w:line="284" w:lineRule="auto"/>
        <w:rPr>
          <w:sz w:val="20"/>
          <w:szCs w:val="20"/>
          <w:color w:val="auto"/>
        </w:rPr>
      </w:pPr>
      <w:r>
        <w:rPr>
          <w:rFonts w:ascii="Times New Roman" w:cs="Times New Roman" w:eastAsia="Times New Roman" w:hAnsi="Times New Roman"/>
          <w:sz w:val="22"/>
          <w:szCs w:val="22"/>
          <w:color w:val="auto"/>
        </w:rPr>
        <w:t>All of our outstanding ordinary shares are validly issued, fully paid and non-assessable. Our ordinary shares are not redeemable and do not have any preemptive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Number and Purposes of the Company</w:t>
      </w:r>
    </w:p>
    <w:p>
      <w:pPr>
        <w:spacing w:after="0" w:line="291" w:lineRule="exact"/>
        <w:rPr>
          <w:sz w:val="20"/>
          <w:szCs w:val="20"/>
          <w:color w:val="auto"/>
        </w:rPr>
      </w:pPr>
    </w:p>
    <w:p>
      <w:pPr>
        <w:ind w:right="20" w:firstLine="551"/>
        <w:spacing w:after="0" w:line="270" w:lineRule="auto"/>
        <w:rPr>
          <w:sz w:val="20"/>
          <w:szCs w:val="20"/>
          <w:color w:val="auto"/>
        </w:rPr>
      </w:pPr>
      <w:r>
        <w:rPr>
          <w:rFonts w:ascii="Times New Roman" w:cs="Times New Roman" w:eastAsia="Times New Roman" w:hAnsi="Times New Roman"/>
          <w:sz w:val="22"/>
          <w:szCs w:val="22"/>
          <w:color w:val="auto"/>
        </w:rPr>
        <w:t>We are registered with the Israeli Registrar of Companies. Our registration number is 51-488953-4. Our affairs are governed by our amended and restated articles of association, applicable Israeli law and Companies Law. Our purpose as set forth in our amended and restated articles of association is to engage in any lawful act or activity.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All ordinary shares will have identical voting and other rights in all respects.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of Shares</w:t>
      </w:r>
    </w:p>
    <w:p>
      <w:pPr>
        <w:spacing w:after="0" w:line="291" w:lineRule="exact"/>
        <w:rPr>
          <w:sz w:val="20"/>
          <w:szCs w:val="20"/>
          <w:color w:val="auto"/>
        </w:rPr>
      </w:pPr>
    </w:p>
    <w:p>
      <w:pPr>
        <w:ind w:right="160" w:firstLine="551"/>
        <w:spacing w:after="0" w:line="263" w:lineRule="auto"/>
        <w:rPr>
          <w:sz w:val="20"/>
          <w:szCs w:val="20"/>
          <w:color w:val="auto"/>
        </w:rPr>
      </w:pPr>
      <w:r>
        <w:rPr>
          <w:rFonts w:ascii="Times New Roman" w:cs="Times New Roman" w:eastAsia="Times New Roman" w:hAnsi="Times New Roman"/>
          <w:sz w:val="22"/>
          <w:szCs w:val="22"/>
          <w:color w:val="auto"/>
        </w:rPr>
        <w:t>Our fully paid ordinary shares are issued in registered form and may be freely transferred under our amended and restated articles of association, unless the transfer is restricted or prohibited by another instrument, applicable law or the rules of The Nasdaq Global Select Market.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291" w:lineRule="exact"/>
        <w:rPr>
          <w:sz w:val="20"/>
          <w:szCs w:val="20"/>
          <w:color w:val="auto"/>
        </w:rPr>
      </w:pPr>
    </w:p>
    <w:p>
      <w:pPr>
        <w:ind w:right="20" w:firstLine="551"/>
        <w:spacing w:after="0" w:line="270" w:lineRule="auto"/>
        <w:rPr>
          <w:sz w:val="20"/>
          <w:szCs w:val="20"/>
          <w:color w:val="auto"/>
        </w:rPr>
      </w:pPr>
      <w:r>
        <w:rPr>
          <w:rFonts w:ascii="Times New Roman" w:cs="Times New Roman" w:eastAsia="Times New Roman" w:hAnsi="Times New Roman"/>
          <w:sz w:val="21"/>
          <w:szCs w:val="21"/>
          <w:color w:val="auto"/>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at least 70%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ectPr>
          <w:pgSz w:w="11900" w:h="16838" w:orient="portrait"/>
          <w:cols w:equalWidth="0" w:num="1">
            <w:col w:w="11240"/>
          </w:cols>
          <w:pgMar w:left="320" w:top="419" w:right="339" w:bottom="0" w:gutter="0" w:footer="0" w:header="0"/>
        </w:sectPr>
      </w:pPr>
    </w:p>
    <w:bookmarkStart w:id="160" w:name="page161"/>
    <w:bookmarkEnd w:id="160"/>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b w:val="1"/>
          <w:bCs w:val="1"/>
          <w:color w:val="auto"/>
        </w:rPr>
        <w:t>Dividend and Liquidation Rights</w:t>
      </w:r>
    </w:p>
    <w:p>
      <w:pPr>
        <w:spacing w:after="0" w:line="291" w:lineRule="exact"/>
        <w:rPr>
          <w:sz w:val="20"/>
          <w:szCs w:val="20"/>
          <w:color w:val="auto"/>
        </w:rPr>
      </w:pPr>
    </w:p>
    <w:p>
      <w:pPr>
        <w:ind w:right="100" w:firstLine="551"/>
        <w:spacing w:after="0" w:line="263" w:lineRule="auto"/>
        <w:rPr>
          <w:sz w:val="20"/>
          <w:szCs w:val="20"/>
          <w:color w:val="auto"/>
        </w:rPr>
      </w:pPr>
      <w:r>
        <w:rPr>
          <w:rFonts w:ascii="Times New Roman" w:cs="Times New Roman" w:eastAsia="Times New Roman" w:hAnsi="Times New Roman"/>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34" w:lineRule="exact"/>
        <w:rPr>
          <w:sz w:val="20"/>
          <w:szCs w:val="20"/>
          <w:color w:val="auto"/>
        </w:rPr>
      </w:pPr>
    </w:p>
    <w:p>
      <w:pPr>
        <w:ind w:right="80" w:firstLine="551"/>
        <w:spacing w:after="0" w:line="260" w:lineRule="auto"/>
        <w:rPr>
          <w:sz w:val="20"/>
          <w:szCs w:val="20"/>
          <w:color w:val="auto"/>
        </w:rPr>
      </w:pPr>
      <w:r>
        <w:rPr>
          <w:rFonts w:ascii="Times New Roman" w:cs="Times New Roman" w:eastAsia="Times New Roman" w:hAnsi="Times New Roman"/>
          <w:sz w:val="22"/>
          <w:szCs w:val="22"/>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42" w:lineRule="exact"/>
        <w:rPr>
          <w:sz w:val="20"/>
          <w:szCs w:val="20"/>
          <w:color w:val="auto"/>
        </w:rPr>
      </w:pPr>
    </w:p>
    <w:p>
      <w:pPr>
        <w:ind w:right="40" w:firstLine="551"/>
        <w:spacing w:after="0" w:line="265" w:lineRule="auto"/>
        <w:rPr>
          <w:sz w:val="20"/>
          <w:szCs w:val="20"/>
          <w:color w:val="auto"/>
        </w:rPr>
      </w:pPr>
      <w:r>
        <w:rPr>
          <w:rFonts w:ascii="Times New Roman" w:cs="Times New Roman" w:eastAsia="Times New Roman" w:hAnsi="Times New Roman"/>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91" w:lineRule="exact"/>
        <w:rPr>
          <w:sz w:val="20"/>
          <w:szCs w:val="20"/>
          <w:color w:val="auto"/>
        </w:rPr>
      </w:pPr>
    </w:p>
    <w:p>
      <w:pPr>
        <w:ind w:right="60" w:firstLine="551"/>
        <w:spacing w:after="0" w:line="284" w:lineRule="auto"/>
        <w:rPr>
          <w:sz w:val="20"/>
          <w:szCs w:val="20"/>
          <w:color w:val="auto"/>
        </w:rPr>
      </w:pPr>
      <w:r>
        <w:rPr>
          <w:rFonts w:ascii="Times New Roman" w:cs="Times New Roman" w:eastAsia="Times New Roman" w:hAnsi="Times New Roman"/>
          <w:sz w:val="22"/>
          <w:szCs w:val="22"/>
          <w:color w:val="auto"/>
        </w:rPr>
        <w:t>Certain of our shareholders are entitled to certain registration rights under the terms of our amended and restated investors’ rights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Meetings</w:t>
      </w:r>
    </w:p>
    <w:p>
      <w:pPr>
        <w:spacing w:after="0" w:line="291" w:lineRule="exact"/>
        <w:rPr>
          <w:sz w:val="20"/>
          <w:szCs w:val="20"/>
          <w:color w:val="auto"/>
        </w:rPr>
      </w:pPr>
    </w:p>
    <w:p>
      <w:pPr>
        <w:ind w:firstLine="551"/>
        <w:spacing w:after="0" w:line="259" w:lineRule="auto"/>
        <w:rPr>
          <w:sz w:val="20"/>
          <w:szCs w:val="20"/>
          <w:color w:val="auto"/>
        </w:rPr>
      </w:pPr>
      <w:r>
        <w:rPr>
          <w:rFonts w:ascii="Times New Roman" w:cs="Times New Roman" w:eastAsia="Times New Roman" w:hAnsi="Times New Roman"/>
          <w:sz w:val="22"/>
          <w:szCs w:val="22"/>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243" w:lineRule="exact"/>
        <w:rPr>
          <w:sz w:val="20"/>
          <w:szCs w:val="20"/>
          <w:color w:val="auto"/>
        </w:rPr>
      </w:pPr>
    </w:p>
    <w:p>
      <w:pPr>
        <w:ind w:firstLine="551"/>
        <w:spacing w:after="0" w:line="263" w:lineRule="auto"/>
        <w:rPr>
          <w:sz w:val="20"/>
          <w:szCs w:val="20"/>
          <w:color w:val="auto"/>
        </w:rPr>
      </w:pPr>
      <w:r>
        <w:rPr>
          <w:rFonts w:ascii="Times New Roman" w:cs="Times New Roman" w:eastAsia="Times New Roman" w:hAnsi="Times New Roman"/>
          <w:sz w:val="22"/>
          <w:szCs w:val="22"/>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ind w:right="160" w:firstLine="551"/>
        <w:spacing w:after="0" w:line="263" w:lineRule="auto"/>
        <w:rPr>
          <w:sz w:val="20"/>
          <w:szCs w:val="20"/>
          <w:color w:val="auto"/>
        </w:rPr>
      </w:pPr>
      <w:r>
        <w:rPr>
          <w:rFonts w:ascii="Times New Roman" w:cs="Times New Roman" w:eastAsia="Times New Roman" w:hAnsi="Times New Roman"/>
          <w:sz w:val="22"/>
          <w:szCs w:val="22"/>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230" w:lineRule="exact"/>
        <w:rPr>
          <w:sz w:val="20"/>
          <w:szCs w:val="20"/>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amended and restated articles of association;</w:t>
      </w:r>
    </w:p>
    <w:p>
      <w:pPr>
        <w:spacing w:after="0" w:line="279"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terms of service or and termination of service of our auditors;</w:t>
      </w:r>
    </w:p>
    <w:p>
      <w:pPr>
        <w:spacing w:after="0" w:line="279"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 (if applicable);</w:t>
      </w:r>
    </w:p>
    <w:p>
      <w:pPr>
        <w:spacing w:after="0" w:line="279"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79"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79"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79" w:lineRule="exact"/>
        <w:rPr>
          <w:rFonts w:ascii="Times New Roman" w:cs="Times New Roman" w:eastAsia="Times New Roman" w:hAnsi="Times New Roman"/>
          <w:sz w:val="18"/>
          <w:szCs w:val="18"/>
          <w:color w:val="auto"/>
        </w:rPr>
      </w:pPr>
    </w:p>
    <w:p>
      <w:pPr>
        <w:ind w:left="780" w:right="120" w:hanging="219"/>
        <w:spacing w:after="0" w:line="282" w:lineRule="auto"/>
        <w:tabs>
          <w:tab w:leader="none" w:pos="7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20" w:lineRule="exact"/>
        <w:rPr>
          <w:sz w:val="20"/>
          <w:szCs w:val="20"/>
          <w:color w:val="auto"/>
        </w:rPr>
      </w:pPr>
    </w:p>
    <w:p>
      <w:pPr>
        <w:ind w:firstLine="551"/>
        <w:spacing w:after="0" w:line="278" w:lineRule="auto"/>
        <w:rPr>
          <w:sz w:val="20"/>
          <w:szCs w:val="20"/>
          <w:color w:val="auto"/>
        </w:rPr>
      </w:pPr>
      <w:r>
        <w:rPr>
          <w:rFonts w:ascii="Times New Roman" w:cs="Times New Roman" w:eastAsia="Times New Roman" w:hAnsi="Times New Roman"/>
          <w:sz w:val="21"/>
          <w:szCs w:val="21"/>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Quorum</w:t>
      </w:r>
    </w:p>
    <w:p>
      <w:pPr>
        <w:spacing w:after="0" w:line="293"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21"/>
          <w:szCs w:val="21"/>
          <w:color w:val="auto"/>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or by proxy who hold or represent at least 33</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34"/>
          <w:szCs w:val="34"/>
          <w:color w:val="auto"/>
          <w:vertAlign w:val="subscript"/>
        </w:rPr>
        <w:t>3</w:t>
      </w:r>
      <w:r>
        <w:rPr>
          <w:rFonts w:ascii="Times New Roman" w:cs="Times New Roman" w:eastAsia="Times New Roman" w:hAnsi="Times New Roman"/>
          <w:sz w:val="21"/>
          <w:szCs w:val="21"/>
          <w:color w:val="auto"/>
        </w:rPr>
        <w:t>% of the total voting power of our shares, except that if (i) any such general meeting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Vote Requirements</w:t>
      </w:r>
    </w:p>
    <w:p>
      <w:pPr>
        <w:spacing w:after="0" w:line="293"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22"/>
          <w:szCs w:val="22"/>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“Management—Compensation Committee— Compensation Policy under the Companies Law.”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ectPr>
          <w:pgSz w:w="11900" w:h="16838" w:orient="portrait"/>
          <w:cols w:equalWidth="0" w:num="1">
            <w:col w:w="11220"/>
          </w:cols>
          <w:pgMar w:left="320" w:top="126" w:right="359" w:bottom="773"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773" w:gutter="0" w:footer="0" w:header="0"/>
          <w:type w:val="continuous"/>
        </w:sectPr>
      </w:pPr>
    </w:p>
    <w:bookmarkStart w:id="163" w:name="page164"/>
    <w:bookmarkEnd w:id="163"/>
    <w:p>
      <w:pPr>
        <w:ind w:right="60" w:firstLine="551"/>
        <w:spacing w:after="0" w:line="275" w:lineRule="auto"/>
        <w:rPr>
          <w:sz w:val="20"/>
          <w:szCs w:val="20"/>
          <w:color w:val="auto"/>
        </w:rPr>
      </w:pPr>
      <w:r>
        <w:rPr>
          <w:rFonts w:ascii="Times New Roman" w:cs="Times New Roman" w:eastAsia="Times New Roman" w:hAnsi="Times New Roman"/>
          <w:sz w:val="21"/>
          <w:szCs w:val="21"/>
          <w:color w:val="auto"/>
        </w:rPr>
        <w:t>Under our amended and restated articles of association, the approval of the holders of at least 70% of the total voting power of our shareholders is generally required to remove any of our directors from office, to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Access to Corporate Records</w:t>
      </w:r>
    </w:p>
    <w:p>
      <w:pPr>
        <w:spacing w:after="0" w:line="291" w:lineRule="exact"/>
        <w:rPr>
          <w:sz w:val="20"/>
          <w:szCs w:val="20"/>
          <w:color w:val="auto"/>
        </w:rPr>
      </w:pPr>
    </w:p>
    <w:p>
      <w:pPr>
        <w:ind w:firstLine="551"/>
        <w:spacing w:after="0" w:line="260" w:lineRule="auto"/>
        <w:rPr>
          <w:sz w:val="20"/>
          <w:szCs w:val="20"/>
          <w:color w:val="auto"/>
        </w:rPr>
      </w:pPr>
      <w:r>
        <w:rPr>
          <w:rFonts w:ascii="Times New Roman" w:cs="Times New Roman" w:eastAsia="Times New Roman" w:hAnsi="Times New Roman"/>
          <w:sz w:val="22"/>
          <w:szCs w:val="22"/>
          <w:color w:val="auto"/>
        </w:rPr>
        <w:t>Under the Companies Law, all shareholders generally have the right to review minutes of our general meetings, our shareholder register (including with respect to material shareholders), our amended and restated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Acquisitions under Israeli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Full Tender Offer</w:t>
      </w:r>
    </w:p>
    <w:p>
      <w:pPr>
        <w:spacing w:after="0" w:line="291" w:lineRule="exact"/>
        <w:rPr>
          <w:sz w:val="20"/>
          <w:szCs w:val="20"/>
          <w:color w:val="auto"/>
        </w:rPr>
      </w:pPr>
    </w:p>
    <w:p>
      <w:pPr>
        <w:ind w:firstLine="551"/>
        <w:spacing w:after="0" w:line="270" w:lineRule="auto"/>
        <w:rPr>
          <w:sz w:val="20"/>
          <w:szCs w:val="20"/>
          <w:color w:val="auto"/>
        </w:rPr>
      </w:pPr>
      <w:r>
        <w:rPr>
          <w:rFonts w:ascii="Times New Roman" w:cs="Times New Roman" w:eastAsia="Times New Roman" w:hAnsi="Times New Roman"/>
          <w:sz w:val="21"/>
          <w:szCs w:val="21"/>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i w:val="1"/>
          <w:iCs w:val="1"/>
          <w:color w:val="auto"/>
        </w:rPr>
        <w:t>Special Tender Offer</w:t>
      </w:r>
    </w:p>
    <w:p>
      <w:pPr>
        <w:spacing w:after="0" w:line="291" w:lineRule="exact"/>
        <w:rPr>
          <w:sz w:val="20"/>
          <w:szCs w:val="20"/>
          <w:color w:val="auto"/>
        </w:rPr>
      </w:pPr>
    </w:p>
    <w:p>
      <w:pPr>
        <w:ind w:firstLine="551"/>
        <w:spacing w:after="0" w:line="257" w:lineRule="auto"/>
        <w:rPr>
          <w:sz w:val="20"/>
          <w:szCs w:val="20"/>
          <w:color w:val="auto"/>
        </w:rPr>
      </w:pPr>
      <w:r>
        <w:rPr>
          <w:rFonts w:ascii="Times New Roman" w:cs="Times New Roman" w:eastAsia="Times New Roman" w:hAnsi="Times New Roman"/>
          <w:sz w:val="22"/>
          <w:szCs w:val="2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53" w:lineRule="exact"/>
        <w:rPr>
          <w:sz w:val="20"/>
          <w:szCs w:val="20"/>
          <w:color w:val="auto"/>
        </w:rPr>
      </w:pPr>
    </w:p>
    <w:p>
      <w:pPr>
        <w:ind w:right="40" w:firstLine="551"/>
        <w:spacing w:after="0" w:line="259" w:lineRule="auto"/>
        <w:rPr>
          <w:sz w:val="20"/>
          <w:szCs w:val="20"/>
          <w:color w:val="auto"/>
        </w:rPr>
      </w:pPr>
      <w:r>
        <w:rPr>
          <w:rFonts w:ascii="Times New Roman" w:cs="Times New Roman" w:eastAsia="Times New Roman" w:hAnsi="Times New Roman"/>
          <w:sz w:val="22"/>
          <w:szCs w:val="22"/>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243" w:lineRule="exact"/>
        <w:rPr>
          <w:sz w:val="20"/>
          <w:szCs w:val="20"/>
          <w:color w:val="auto"/>
        </w:rPr>
      </w:pPr>
    </w:p>
    <w:p>
      <w:pPr>
        <w:ind w:right="100" w:firstLine="551"/>
        <w:spacing w:after="0" w:line="270" w:lineRule="auto"/>
        <w:rPr>
          <w:sz w:val="20"/>
          <w:szCs w:val="20"/>
          <w:color w:val="auto"/>
        </w:rPr>
      </w:pPr>
      <w:r>
        <w:rPr>
          <w:rFonts w:ascii="Times New Roman" w:cs="Times New Roman" w:eastAsia="Times New Roman" w:hAnsi="Times New Roman"/>
          <w:sz w:val="22"/>
          <w:szCs w:val="22"/>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26" w:lineRule="exact"/>
        <w:rPr>
          <w:sz w:val="20"/>
          <w:szCs w:val="20"/>
          <w:color w:val="auto"/>
        </w:rPr>
      </w:pPr>
    </w:p>
    <w:p>
      <w:pPr>
        <w:ind w:right="20" w:firstLine="551"/>
        <w:spacing w:after="0" w:line="261" w:lineRule="auto"/>
        <w:rPr>
          <w:sz w:val="20"/>
          <w:szCs w:val="20"/>
          <w:color w:val="auto"/>
        </w:rPr>
      </w:pPr>
      <w:r>
        <w:rPr>
          <w:rFonts w:ascii="Times New Roman" w:cs="Times New Roman" w:eastAsia="Times New Roman" w:hAnsi="Times New Roman"/>
          <w:sz w:val="22"/>
          <w:szCs w:val="22"/>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Merger</w:t>
      </w:r>
    </w:p>
    <w:p>
      <w:pPr>
        <w:spacing w:after="0" w:line="291" w:lineRule="exact"/>
        <w:rPr>
          <w:sz w:val="20"/>
          <w:szCs w:val="20"/>
          <w:color w:val="auto"/>
        </w:rPr>
      </w:pPr>
    </w:p>
    <w:p>
      <w:pPr>
        <w:ind w:right="180" w:firstLine="551"/>
        <w:spacing w:after="0" w:line="274" w:lineRule="auto"/>
        <w:rPr>
          <w:sz w:val="20"/>
          <w:szCs w:val="20"/>
          <w:color w:val="auto"/>
        </w:rPr>
      </w:pPr>
      <w:r>
        <w:rPr>
          <w:rFonts w:ascii="Times New Roman" w:cs="Times New Roman" w:eastAsia="Times New Roman" w:hAnsi="Times New Roman"/>
          <w:sz w:val="21"/>
          <w:szCs w:val="21"/>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ectPr>
          <w:pgSz w:w="11900" w:h="16838" w:orient="portrait"/>
          <w:cols w:equalWidth="0" w:num="1">
            <w:col w:w="11240"/>
          </w:cols>
          <w:pgMar w:left="320" w:top="122" w:right="339" w:bottom="1151"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51" w:gutter="0" w:footer="0" w:header="0"/>
          <w:type w:val="continuous"/>
        </w:sectPr>
      </w:pPr>
    </w:p>
    <w:bookmarkStart w:id="165" w:name="page166"/>
    <w:bookmarkEnd w:id="165"/>
    <w:p>
      <w:pPr>
        <w:spacing w:after="0" w:line="6" w:lineRule="exact"/>
        <w:rPr>
          <w:sz w:val="20"/>
          <w:szCs w:val="20"/>
          <w:color w:val="auto"/>
        </w:rPr>
      </w:pPr>
    </w:p>
    <w:p>
      <w:pPr>
        <w:ind w:firstLine="551"/>
        <w:spacing w:after="0" w:line="271" w:lineRule="auto"/>
        <w:rPr>
          <w:sz w:val="20"/>
          <w:szCs w:val="20"/>
          <w:color w:val="auto"/>
        </w:rPr>
      </w:pPr>
      <w:r>
        <w:rPr>
          <w:rFonts w:ascii="Times New Roman" w:cs="Times New Roman" w:eastAsia="Times New Roman" w:hAnsi="Times New Roman"/>
          <w:sz w:val="21"/>
          <w:szCs w:val="21"/>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33" w:lineRule="exact"/>
        <w:rPr>
          <w:sz w:val="20"/>
          <w:szCs w:val="20"/>
          <w:color w:val="auto"/>
        </w:rPr>
      </w:pPr>
    </w:p>
    <w:p>
      <w:pPr>
        <w:jc w:val="both"/>
        <w:ind w:right="40" w:firstLine="551"/>
        <w:spacing w:after="0" w:line="263" w:lineRule="auto"/>
        <w:rPr>
          <w:sz w:val="20"/>
          <w:szCs w:val="20"/>
          <w:color w:val="auto"/>
        </w:rPr>
      </w:pPr>
      <w:r>
        <w:rPr>
          <w:rFonts w:ascii="Times New Roman" w:cs="Times New Roman" w:eastAsia="Times New Roman" w:hAnsi="Times New Roman"/>
          <w:sz w:val="22"/>
          <w:szCs w:val="22"/>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34" w:lineRule="exact"/>
        <w:rPr>
          <w:sz w:val="20"/>
          <w:szCs w:val="20"/>
          <w:color w:val="auto"/>
        </w:rPr>
      </w:pPr>
    </w:p>
    <w:p>
      <w:pPr>
        <w:ind w:right="160" w:firstLine="551"/>
        <w:spacing w:after="0" w:line="270" w:lineRule="auto"/>
        <w:rPr>
          <w:sz w:val="20"/>
          <w:szCs w:val="20"/>
          <w:color w:val="auto"/>
        </w:rPr>
      </w:pPr>
      <w:r>
        <w:rPr>
          <w:rFonts w:ascii="Times New Roman" w:cs="Times New Roman" w:eastAsia="Times New Roman" w:hAnsi="Times New Roman"/>
          <w:sz w:val="22"/>
          <w:szCs w:val="22"/>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Measures</w:t>
      </w:r>
    </w:p>
    <w:p>
      <w:pPr>
        <w:spacing w:after="0" w:line="291"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22"/>
          <w:szCs w:val="22"/>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at least 70% of the voting power of the shareholders, at a general meeting of our shareholders. The convening of the meeting, the shareholders entitled to participate and the vote required to be obtained in such a meeting will be subject to the requirements set forth in the Companies Law and our amended and restated articles of association, as described above in “—Shareholder Meetings.” In addition, as disclosed under “—Election of Directors,” we have a classified board structure, which effectively limits the ability of any investor or potential investor or group of investors or potential investors to gain control of our board of directors.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Borrowing Powers</w:t>
      </w:r>
    </w:p>
    <w:p>
      <w:pPr>
        <w:spacing w:after="0" w:line="291" w:lineRule="exact"/>
        <w:rPr>
          <w:sz w:val="20"/>
          <w:szCs w:val="20"/>
          <w:color w:val="auto"/>
        </w:rPr>
      </w:pPr>
    </w:p>
    <w:p>
      <w:pPr>
        <w:ind w:right="160" w:firstLine="551"/>
        <w:spacing w:after="0" w:line="270" w:lineRule="auto"/>
        <w:rPr>
          <w:sz w:val="20"/>
          <w:szCs w:val="20"/>
          <w:color w:val="auto"/>
        </w:rPr>
      </w:pPr>
      <w:r>
        <w:rPr>
          <w:rFonts w:ascii="Times New Roman" w:cs="Times New Roman" w:eastAsia="Times New Roman" w:hAnsi="Times New Roman"/>
          <w:sz w:val="22"/>
          <w:szCs w:val="22"/>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Capital</w:t>
      </w:r>
    </w:p>
    <w:p>
      <w:pPr>
        <w:spacing w:after="0" w:line="291" w:lineRule="exact"/>
        <w:rPr>
          <w:sz w:val="20"/>
          <w:szCs w:val="20"/>
          <w:color w:val="auto"/>
        </w:rPr>
      </w:pPr>
    </w:p>
    <w:p>
      <w:pPr>
        <w:ind w:right="40" w:firstLine="551"/>
        <w:spacing w:after="0" w:line="281" w:lineRule="auto"/>
        <w:rPr>
          <w:sz w:val="20"/>
          <w:szCs w:val="20"/>
          <w:color w:val="auto"/>
        </w:rPr>
      </w:pPr>
      <w:r>
        <w:rPr>
          <w:rFonts w:ascii="Times New Roman" w:cs="Times New Roman" w:eastAsia="Times New Roman" w:hAnsi="Times New Roman"/>
          <w:sz w:val="21"/>
          <w:szCs w:val="21"/>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Exclusive Forum</w:t>
      </w:r>
    </w:p>
    <w:p>
      <w:pPr>
        <w:spacing w:after="0" w:line="291" w:lineRule="exact"/>
        <w:rPr>
          <w:sz w:val="20"/>
          <w:szCs w:val="20"/>
          <w:color w:val="auto"/>
        </w:rPr>
      </w:pPr>
    </w:p>
    <w:p>
      <w:pPr>
        <w:ind w:right="40" w:firstLine="551"/>
        <w:spacing w:after="0" w:line="278" w:lineRule="auto"/>
        <w:rPr>
          <w:sz w:val="20"/>
          <w:szCs w:val="20"/>
          <w:color w:val="auto"/>
        </w:rPr>
      </w:pPr>
      <w:r>
        <w:rPr>
          <w:rFonts w:ascii="Times New Roman" w:cs="Times New Roman" w:eastAsia="Times New Roman" w:hAnsi="Times New Roman"/>
          <w:sz w:val="21"/>
          <w:szCs w:val="21"/>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w:t>
      </w:r>
    </w:p>
    <w:p>
      <w:pPr>
        <w:sectPr>
          <w:pgSz w:w="11900" w:h="16845" w:orient="portrait"/>
          <w:cols w:equalWidth="0" w:num="1">
            <w:col w:w="11200"/>
          </w:cols>
          <w:pgMar w:left="320" w:top="126" w:right="379" w:bottom="0" w:gutter="0" w:footer="0" w:header="0"/>
        </w:sectPr>
      </w:pPr>
    </w:p>
    <w:bookmarkStart w:id="166" w:name="page167"/>
    <w:bookmarkEnd w:id="166"/>
    <w:p>
      <w:pPr>
        <w:spacing w:after="0" w:line="284" w:lineRule="auto"/>
        <w:rPr>
          <w:sz w:val="20"/>
          <w:szCs w:val="20"/>
          <w:color w:val="auto"/>
        </w:rPr>
      </w:pPr>
      <w:r>
        <w:rPr>
          <w:rFonts w:ascii="Times New Roman" w:cs="Times New Roman" w:eastAsia="Times New Roman" w:hAnsi="Times New Roman"/>
          <w:sz w:val="22"/>
          <w:szCs w:val="22"/>
          <w:color w:val="auto"/>
        </w:rPr>
        <w:t>fiduciary duty owed by any of our directors, officers or other employees to the Company or our shareholders or any action asserting a claim arising pursuant to any provision of the Companies Law or the Israeli Securities Law.</w:t>
      </w:r>
    </w:p>
    <w:p>
      <w:pPr>
        <w:spacing w:after="0" w:line="19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320" w:top="126" w:right="999" w:bottom="1440" w:gutter="0" w:footer="0" w:header="0"/>
        </w:sectPr>
      </w:pPr>
    </w:p>
    <w:bookmarkStart w:id="167" w:name="page168"/>
    <w:bookmarkEnd w:id="167"/>
    <w:p>
      <w:pPr>
        <w:ind w:left="1012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4.10</w:t>
      </w:r>
    </w:p>
    <w:p>
      <w:pPr>
        <w:spacing w:after="0" w:line="200" w:lineRule="exact"/>
        <w:rPr>
          <w:sz w:val="20"/>
          <w:szCs w:val="20"/>
          <w:color w:val="auto"/>
        </w:rPr>
      </w:pPr>
    </w:p>
    <w:p>
      <w:pPr>
        <w:spacing w:after="0" w:line="3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WARRANT (THIS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AND THE SECURITIES ISSUABLE UPON THE EXERCISE HEREOF HAVE NOT BEEN REGISTERED UNDER THE U.S.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UNDER THE SECURITIES LAWS OF ANY STATE.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239" w:lineRule="exact"/>
        <w:rPr>
          <w:sz w:val="20"/>
          <w:szCs w:val="20"/>
          <w:color w:val="auto"/>
        </w:rPr>
      </w:pPr>
    </w:p>
    <w:p>
      <w:pPr>
        <w:spacing w:after="0"/>
        <w:tabs>
          <w:tab w:leader="none" w:pos="6800" w:val="left"/>
        </w:tabs>
        <w:rPr>
          <w:sz w:val="20"/>
          <w:szCs w:val="20"/>
          <w:color w:val="auto"/>
        </w:rPr>
      </w:pPr>
      <w:r>
        <w:rPr>
          <w:rFonts w:ascii="Times New Roman" w:cs="Times New Roman" w:eastAsia="Times New Roman" w:hAnsi="Times New Roman"/>
          <w:sz w:val="18"/>
          <w:szCs w:val="18"/>
          <w:color w:val="auto"/>
        </w:rPr>
        <w:t>Warrant No. SHOP/FLOW 1</w:t>
      </w:r>
      <w:r>
        <w:rPr>
          <w:sz w:val="20"/>
          <w:szCs w:val="20"/>
          <w:color w:val="auto"/>
        </w:rPr>
        <w:tab/>
      </w:r>
      <w:r>
        <w:rPr>
          <w:rFonts w:ascii="Times New Roman" w:cs="Times New Roman" w:eastAsia="Times New Roman" w:hAnsi="Times New Roman"/>
          <w:sz w:val="18"/>
          <w:szCs w:val="18"/>
          <w:color w:val="auto"/>
        </w:rPr>
        <w:t>Date of Issuance (“</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January 4, 2022</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Number of Ordinary Shares: As set forth on </w:t>
      </w:r>
      <w:r>
        <w:rPr>
          <w:rFonts w:ascii="Times New Roman" w:cs="Times New Roman" w:eastAsia="Times New Roman" w:hAnsi="Times New Roman"/>
          <w:sz w:val="22"/>
          <w:szCs w:val="22"/>
          <w:u w:val="single" w:color="auto"/>
          <w:color w:val="auto"/>
        </w:rPr>
        <w:t>Exhibit A</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to adjustment)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Global-E Online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Share Purchase Warrant</w:t>
      </w:r>
    </w:p>
    <w:p>
      <w:pPr>
        <w:spacing w:after="0" w:line="291"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22"/>
          <w:szCs w:val="22"/>
          <w:color w:val="auto"/>
        </w:rPr>
        <w:t>Global-E Online Ltd., a company incorporated under the laws of the State of Israel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which shall include any corporation or other entity that succeeds to the Company’s obligations under this Warrant (this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whether by permitted assignment, by merger or consolidation or otherwise), for value received, hereby certifies that Shopify Strategic Holdings LLC, a limited liability company governed by the laws of Delaware, or its registered assigns (the “</w:t>
      </w:r>
      <w:r>
        <w:rPr>
          <w:rFonts w:ascii="Times New Roman" w:cs="Times New Roman" w:eastAsia="Times New Roman" w:hAnsi="Times New Roman"/>
          <w:sz w:val="22"/>
          <w:szCs w:val="22"/>
          <w:u w:val="single" w:color="auto"/>
          <w:color w:val="auto"/>
        </w:rPr>
        <w:t>Registered Holder</w:t>
      </w:r>
      <w:r>
        <w:rPr>
          <w:rFonts w:ascii="Times New Roman" w:cs="Times New Roman" w:eastAsia="Times New Roman" w:hAnsi="Times New Roman"/>
          <w:sz w:val="22"/>
          <w:szCs w:val="22"/>
          <w:color w:val="auto"/>
        </w:rPr>
        <w:t xml:space="preserve">”), is entitled, subject to the terms set forth below and including the terms relating to vesting and exercise set forth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hereto, to purchase from the Company, at any time after the date hereof and on or before the Expiration Date (as defined in Section 8) the number of Company’s ordinary shares, with no par value (the “</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at a price of $0.01 per share. The Ordinary Shares purchasable upon exercise of this Warrant, and the purchase price per share, each as adjusted from time to time pursuant to the provisions of this Warrant, are hereinafter referred to as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respectively.</w:t>
      </w:r>
    </w:p>
    <w:p>
      <w:pPr>
        <w:spacing w:after="0" w:line="236" w:lineRule="exact"/>
        <w:rPr>
          <w:sz w:val="20"/>
          <w:szCs w:val="20"/>
          <w:color w:val="auto"/>
        </w:rPr>
      </w:pPr>
    </w:p>
    <w:p>
      <w:pPr>
        <w:jc w:val="both"/>
        <w:ind w:firstLine="8"/>
        <w:spacing w:after="0" w:line="272" w:lineRule="auto"/>
        <w:tabs>
          <w:tab w:leader="none" w:pos="45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Number of Shares</w:t>
      </w:r>
      <w:r>
        <w:rPr>
          <w:rFonts w:ascii="Times New Roman" w:cs="Times New Roman" w:eastAsia="Times New Roman" w:hAnsi="Times New Roman"/>
          <w:sz w:val="22"/>
          <w:szCs w:val="22"/>
          <w:color w:val="auto"/>
        </w:rPr>
        <w:t>. Subject to the terms and conditions hereinafter set forth, including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Registered Holder is entitled, upon surrender of this Warrant, to purchase from the Company the number of Warrant Shares (subject to adjustment as provided herein)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hereto, as may be amended from time to time.</w:t>
      </w:r>
    </w:p>
    <w:p>
      <w:pPr>
        <w:spacing w:after="0" w:line="21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449"/>
        <w:spacing w:after="0" w:line="264" w:lineRule="auto"/>
        <w:tabs>
          <w:tab w:leader="none" w:pos="82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Exercise</w:t>
      </w:r>
      <w:r>
        <w:rPr>
          <w:rFonts w:ascii="Times New Roman" w:cs="Times New Roman" w:eastAsia="Times New Roman" w:hAnsi="Times New Roman"/>
          <w:sz w:val="22"/>
          <w:szCs w:val="22"/>
          <w:color w:val="auto"/>
        </w:rPr>
        <w:t>. This Warrant may be exercised by the Registered Holder, in whole or in part, at any time or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time to time on any day before the Expiration Date, subject to the terms and conditions set forth on Exhibit A attached hereto (as may be amended from time to time), by delivering a purchase/exercise form in the form appended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228" w:lineRule="exact"/>
        <w:rPr>
          <w:rFonts w:ascii="Times New Roman" w:cs="Times New Roman" w:eastAsia="Times New Roman" w:hAnsi="Times New Roman"/>
          <w:sz w:val="22"/>
          <w:szCs w:val="22"/>
          <w:color w:val="auto"/>
        </w:rPr>
      </w:pPr>
    </w:p>
    <w:p>
      <w:pPr>
        <w:jc w:val="both"/>
        <w:ind w:firstLine="449"/>
        <w:spacing w:after="0" w:line="266" w:lineRule="auto"/>
        <w:tabs>
          <w:tab w:leader="none" w:pos="92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color w:val="auto"/>
        </w:rPr>
        <w:t>. Unless the Registered Holder is exercising this Warrant pursuant to a Net Issue Exercise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in Section 2(d), the Registered Holder shall also, as a condition to any exercise of this Warrant, deliver to the Company payment in full for the Purchase Price payable in respect of the number of Warrant Shares purchased upon such exercise. The Purchase Price may be paid by cash, check or wire transfer.</w:t>
      </w:r>
    </w:p>
    <w:p>
      <w:pPr>
        <w:spacing w:after="0" w:line="228" w:lineRule="exact"/>
        <w:rPr>
          <w:rFonts w:ascii="Times New Roman" w:cs="Times New Roman" w:eastAsia="Times New Roman" w:hAnsi="Times New Roman"/>
          <w:sz w:val="22"/>
          <w:szCs w:val="22"/>
          <w:color w:val="auto"/>
        </w:rPr>
      </w:pPr>
    </w:p>
    <w:p>
      <w:pPr>
        <w:jc w:val="both"/>
        <w:ind w:firstLine="447"/>
        <w:spacing w:after="0" w:line="266" w:lineRule="auto"/>
        <w:tabs>
          <w:tab w:leader="none" w:pos="92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Partial Exercise</w:t>
      </w:r>
      <w:r>
        <w:rPr>
          <w:rFonts w:ascii="Times New Roman" w:cs="Times New Roman" w:eastAsia="Times New Roman" w:hAnsi="Times New Roman"/>
          <w:sz w:val="22"/>
          <w:szCs w:val="22"/>
          <w:color w:val="auto"/>
        </w:rPr>
        <w:t>. Upon a partial exercise of this Warrant, the Company shall deliver to the Registered Holder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Exhibit A (the “</w:t>
      </w:r>
      <w:r>
        <w:rPr>
          <w:rFonts w:ascii="Times New Roman" w:cs="Times New Roman" w:eastAsia="Times New Roman" w:hAnsi="Times New Roman"/>
          <w:sz w:val="22"/>
          <w:szCs w:val="22"/>
          <w:u w:val="single" w:color="auto"/>
          <w:color w:val="auto"/>
        </w:rPr>
        <w:t>Replacement Exhibit</w:t>
      </w:r>
      <w:r>
        <w:rPr>
          <w:rFonts w:ascii="Times New Roman" w:cs="Times New Roman" w:eastAsia="Times New Roman" w:hAnsi="Times New Roman"/>
          <w:sz w:val="22"/>
          <w:szCs w:val="22"/>
          <w:color w:val="auto"/>
        </w:rPr>
        <w:t>”), which shall be integral part of this Warrant, for the remaining number of Warrant Shares for which this Warrant may then be exercised. Except as explicitly amended under the Replacement Exhibit, this Warrant shall remain in full force and effect, including all other terms and conditions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8" w:name="page169"/>
    <w:bookmarkEnd w:id="168"/>
    <w:p>
      <w:pPr>
        <w:ind w:left="320" w:hanging="313"/>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Net Issue Exercise.</w:t>
      </w:r>
    </w:p>
    <w:p>
      <w:pPr>
        <w:spacing w:after="0" w:line="283" w:lineRule="exact"/>
        <w:rPr>
          <w:rFonts w:ascii="Times New Roman" w:cs="Times New Roman" w:eastAsia="Times New Roman" w:hAnsi="Times New Roman"/>
          <w:sz w:val="18"/>
          <w:szCs w:val="18"/>
          <w:color w:val="auto"/>
        </w:rPr>
      </w:pPr>
    </w:p>
    <w:p>
      <w:pPr>
        <w:jc w:val="both"/>
        <w:ind w:left="240" w:hanging="213"/>
        <w:spacing w:after="0" w:line="258" w:lineRule="auto"/>
        <w:tabs>
          <w:tab w:leader="none" w:pos="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exercising this Warrant and delivering payment in the manner provided in Section 2(b), the Registered Holder may elect to exercise all or any portion of this Warrant by net exercise by giving notice of such election on the purchase/exercise form appended hereto as Exhibit B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Warrant Shares computed using the following formula:</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X=the number of Warrant Shares to be issued to the Registered Holder.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Y=the number of Warrant Shares purchasable under this Warrant as set out on the purchase/exercise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 fair market value of one Warrant Share on the date of such net exercise.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B=the Purchase Price.</w:t>
      </w:r>
    </w:p>
    <w:p>
      <w:pPr>
        <w:spacing w:after="0" w:line="144" w:lineRule="exact"/>
        <w:rPr>
          <w:sz w:val="20"/>
          <w:szCs w:val="20"/>
          <w:color w:val="auto"/>
        </w:rPr>
      </w:pPr>
    </w:p>
    <w:p>
      <w:pPr>
        <w:ind w:left="240" w:hanging="229"/>
        <w:spacing w:after="0" w:line="261" w:lineRule="auto"/>
        <w:rPr>
          <w:sz w:val="20"/>
          <w:szCs w:val="20"/>
          <w:color w:val="auto"/>
        </w:rPr>
      </w:pPr>
      <w:r>
        <w:rPr>
          <w:rFonts w:ascii="Times New Roman" w:cs="Times New Roman" w:eastAsia="Times New Roman" w:hAnsi="Times New Roman"/>
          <w:sz w:val="18"/>
          <w:szCs w:val="18"/>
          <w:color w:val="auto"/>
        </w:rPr>
        <w:t>(ii)For purposes of this Section 2(d), the “fair market value of Warrant Share on the date of net exercise” shall mean with respect to each Warrant Share:</w:t>
      </w:r>
    </w:p>
    <w:p>
      <w:pPr>
        <w:jc w:val="both"/>
        <w:ind w:left="240" w:firstLine="60"/>
        <w:spacing w:after="0" w:line="251" w:lineRule="auto"/>
        <w:tabs>
          <w:tab w:leader="none" w:pos="61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closing prices of the Company’s Ordinary Shares, as reported on the principal stock exchange on which the Company’s shares are traded at such time for the thirty (30) consecutive trading days immediately preceding the exercise of the Warrant; or (b) if (a) is not applicable, the fair market value of Warrant Share shall be at the per share valuation as determined by an independent third-party valuation firm within the prior twelve (12) months approved in good faith by the Company’s Board of Directors (the “Board”), unless the Company is at such time subject to a consolidation or merger of the Company with or into another corporation (other than a consolidation or merger in which the Company is the surviving entity), or any transfer of all or substantially all of the assets of the Company (a “Merger and Acquisition”), in which case the fair market value of Warrant Share shall be deemed to be the value received by the holders of Ordinary Shares pursuant to such acquisition.</w:t>
      </w:r>
    </w:p>
    <w:p>
      <w:pPr>
        <w:spacing w:after="0" w:line="248" w:lineRule="exact"/>
        <w:rPr>
          <w:rFonts w:ascii="Times New Roman" w:cs="Times New Roman" w:eastAsia="Times New Roman" w:hAnsi="Times New Roman"/>
          <w:sz w:val="18"/>
          <w:szCs w:val="18"/>
          <w:color w:val="auto"/>
        </w:rPr>
      </w:pPr>
    </w:p>
    <w:p>
      <w:pPr>
        <w:jc w:val="both"/>
        <w:ind w:left="-440" w:firstLine="447"/>
        <w:spacing w:after="0" w:line="261" w:lineRule="auto"/>
        <w:tabs>
          <w:tab w:leader="none" w:pos="446" w:val="left"/>
        </w:tabs>
        <w:numPr>
          <w:ilvl w:val="0"/>
          <w:numId w:val="10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Issuance of Shares</w:t>
      </w:r>
      <w:r>
        <w:rPr>
          <w:rFonts w:ascii="Times New Roman" w:cs="Times New Roman" w:eastAsia="Times New Roman" w:hAnsi="Times New Roman"/>
          <w:sz w:val="22"/>
          <w:szCs w:val="22"/>
          <w:color w:val="auto"/>
        </w:rPr>
        <w:t>. Upon exercise of the Warrant, and as a condition of such exercise, the Registered Holder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(if not already) party to that certain Third Amended and Restated Investors’ Rights Agreement, dated March 22, 2021, by and among the Company and the other parties named therein, as amended from time to time, a true and correct copy of which has been provided to the Registered Holder (the “Investors’ Rights Agreement”), by delivering a joinder in the form appended hereto as Exhibit D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103" w:lineRule="exact"/>
        <w:rPr>
          <w:sz w:val="20"/>
          <w:szCs w:val="20"/>
          <w:color w:val="auto"/>
        </w:rPr>
      </w:pPr>
    </w:p>
    <w:p>
      <w:pPr>
        <w:jc w:val="center"/>
        <w:ind w:right="460"/>
        <w:spacing w:after="0"/>
        <w:tabs>
          <w:tab w:leader="none" w:pos="2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certificate or certificates for the number of Warrant Shares to which such Registered Holder shall be entitled;</w:t>
      </w:r>
    </w:p>
    <w:p>
      <w:pPr>
        <w:sectPr>
          <w:pgSz w:w="11900" w:h="16838" w:orient="portrait"/>
          <w:cols w:equalWidth="0" w:num="1">
            <w:col w:w="10800"/>
          </w:cols>
          <w:pgMar w:left="760" w:top="252" w:right="339" w:bottom="1440" w:gutter="0" w:footer="0" w:header="0"/>
        </w:sectPr>
      </w:pP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case such exercise is in part only, a Replacement Exhibit as provided in Section 2(c); and</w:t>
      </w:r>
    </w:p>
    <w:p>
      <w:pPr>
        <w:spacing w:after="0" w:line="200" w:lineRule="exact"/>
        <w:rPr>
          <w:sz w:val="20"/>
          <w:szCs w:val="20"/>
          <w:color w:val="auto"/>
        </w:rPr>
      </w:pPr>
    </w:p>
    <w:p>
      <w:pPr>
        <w:sectPr>
          <w:pgSz w:w="11900" w:h="16838" w:orient="portrait"/>
          <w:cols w:equalWidth="0" w:num="2">
            <w:col w:w="540" w:space="220"/>
            <w:col w:w="10040"/>
          </w:cols>
          <w:pgMar w:left="760" w:top="252" w:right="339" w:bottom="1440" w:gutter="0" w:footer="0" w:header="0"/>
          <w:type w:val="continuous"/>
        </w:sectPr>
      </w:pP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applicable, a check payable to the Registered Holder for any cash amounts payable as described in Section 12.</w:t>
      </w:r>
    </w:p>
    <w:p>
      <w:pPr>
        <w:spacing w:after="0" w:line="200" w:lineRule="exact"/>
        <w:rPr>
          <w:sz w:val="20"/>
          <w:szCs w:val="20"/>
          <w:color w:val="auto"/>
        </w:rPr>
      </w:pPr>
    </w:p>
    <w:p>
      <w:pPr>
        <w:sectPr>
          <w:pgSz w:w="11900" w:h="16838" w:orient="portrait"/>
          <w:cols w:equalWidth="0" w:num="2">
            <w:col w:w="600" w:space="220"/>
            <w:col w:w="9980"/>
          </w:cols>
          <w:pgMar w:left="760" w:top="252" w:right="339" w:bottom="1440" w:gutter="0" w:footer="0" w:header="0"/>
          <w:type w:val="continuous"/>
        </w:sectPr>
      </w:pPr>
    </w:p>
    <w:p>
      <w:pPr>
        <w:spacing w:after="0" w:line="90" w:lineRule="exact"/>
        <w:rPr>
          <w:sz w:val="20"/>
          <w:szCs w:val="20"/>
          <w:color w:val="auto"/>
        </w:rPr>
      </w:pPr>
    </w:p>
    <w:p>
      <w:pPr>
        <w:jc w:val="both"/>
        <w:ind w:left="-440" w:firstLine="447"/>
        <w:spacing w:after="0" w:line="259" w:lineRule="auto"/>
        <w:tabs>
          <w:tab w:leader="none" w:pos="351" w:val="left"/>
        </w:tabs>
        <w:numPr>
          <w:ilvl w:val="0"/>
          <w:numId w:val="10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Automatic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this Warrant remains outstanding as of the Expiration Date then, at such time, this Warrant shall, automatically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102235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252" w:right="339" w:bottom="1440" w:gutter="0" w:footer="0" w:header="0"/>
          <w:type w:val="continuous"/>
        </w:sectPr>
      </w:pPr>
    </w:p>
    <w:bookmarkStart w:id="169" w:name="page170"/>
    <w:bookmarkEnd w:id="169"/>
    <w:p>
      <w:pPr>
        <w:jc w:val="both"/>
        <w:ind w:firstLine="447"/>
        <w:spacing w:after="0" w:line="268" w:lineRule="auto"/>
        <w:tabs>
          <w:tab w:leader="none" w:pos="767" w:val="left"/>
        </w:tabs>
        <w:numPr>
          <w:ilvl w:val="0"/>
          <w:numId w:val="10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Effective Time of Exercise</w:t>
      </w:r>
      <w:r>
        <w:rPr>
          <w:rFonts w:ascii="Times New Roman" w:cs="Times New Roman" w:eastAsia="Times New Roman" w:hAnsi="Times New Roman"/>
          <w:sz w:val="18"/>
          <w:szCs w:val="18"/>
          <w:color w:val="auto"/>
        </w:rPr>
        <w:t>. Each exercise of this Warrant shall be deemed to have been made upon the satisfaction of all of the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At such time, the person or persons in whose name or names any certificates for Warrant Shares shall be issuable upon such exercise as provided herein shall be deemed to have become the holder or holders of record of the Warrant Shares represented by such certificates.</w:t>
      </w:r>
    </w:p>
    <w:p>
      <w:pPr>
        <w:spacing w:after="0" w:line="93" w:lineRule="exact"/>
        <w:rPr>
          <w:rFonts w:ascii="Times New Roman" w:cs="Times New Roman" w:eastAsia="Times New Roman" w:hAnsi="Times New Roman"/>
          <w:sz w:val="18"/>
          <w:szCs w:val="18"/>
          <w:b w:val="1"/>
          <w:bCs w:val="1"/>
          <w:u w:val="single" w:color="auto"/>
          <w:color w:val="auto"/>
        </w:rPr>
      </w:pPr>
    </w:p>
    <w:p>
      <w:pPr>
        <w:ind w:left="780" w:hanging="333"/>
        <w:spacing w:after="0"/>
        <w:tabs>
          <w:tab w:leader="none" w:pos="780" w:val="left"/>
        </w:tabs>
        <w:numPr>
          <w:ilvl w:val="0"/>
          <w:numId w:val="109"/>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 The issuance of the Warrant, and the Warrant Shares upon the exercise of the Warrant, shall be made without the</w:t>
      </w:r>
    </w:p>
    <w:p>
      <w:pPr>
        <w:spacing w:after="0" w:line="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deduction or withholding of any taxes, levies, assessments, imposts, duties or similar charges imposed by any taxing authority (“Taxes”), unless otherwise required by law. If such deduction or withholding is so required, the Company shall pay the amount of such Taxes so imposed to the applicable taxing authority, and shall pay such additional amounts to the Registered Holder so that the Registered Holder receives the net amount after such deduction or withholding that it would have received had no such deduction or withholding been imposed.</w:t>
      </w:r>
    </w:p>
    <w:p>
      <w:pPr>
        <w:spacing w:after="0" w:line="233" w:lineRule="exact"/>
        <w:rPr>
          <w:sz w:val="20"/>
          <w:szCs w:val="20"/>
          <w:color w:val="auto"/>
        </w:rPr>
      </w:pPr>
    </w:p>
    <w:p>
      <w:pPr>
        <w:ind w:left="220" w:hanging="212"/>
        <w:spacing w:after="0"/>
        <w:tabs>
          <w:tab w:leader="none" w:pos="2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449"/>
        <w:spacing w:after="0" w:line="272" w:lineRule="auto"/>
        <w:tabs>
          <w:tab w:leader="none" w:pos="87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 Splits and Dividends</w:t>
      </w:r>
      <w:r>
        <w:rPr>
          <w:rFonts w:ascii="Times New Roman" w:cs="Times New Roman" w:eastAsia="Times New Roman" w:hAnsi="Times New Roman"/>
          <w:sz w:val="22"/>
          <w:szCs w:val="22"/>
          <w:color w:val="auto"/>
        </w:rPr>
        <w:t>. The Purchase Price and the number of Warrant Shares for which this Warrant remains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shall each be proportionally adjusted to reflect any share dividend, share split, reverse share split or other similar event affecting the number of outstanding Warrant Shares.</w:t>
      </w:r>
    </w:p>
    <w:p>
      <w:pPr>
        <w:spacing w:after="0" w:line="219" w:lineRule="exact"/>
        <w:rPr>
          <w:rFonts w:ascii="Times New Roman" w:cs="Times New Roman" w:eastAsia="Times New Roman" w:hAnsi="Times New Roman"/>
          <w:sz w:val="22"/>
          <w:szCs w:val="22"/>
          <w:color w:val="auto"/>
        </w:rPr>
      </w:pPr>
    </w:p>
    <w:p>
      <w:pPr>
        <w:jc w:val="both"/>
        <w:ind w:firstLine="449"/>
        <w:spacing w:after="0" w:line="260" w:lineRule="auto"/>
        <w:tabs>
          <w:tab w:leader="none" w:pos="873"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for Other Dividends and Distributions</w:t>
      </w:r>
      <w:r>
        <w:rPr>
          <w:rFonts w:ascii="Times New Roman" w:cs="Times New Roman" w:eastAsia="Times New Roman" w:hAnsi="Times New Roman"/>
          <w:sz w:val="22"/>
          <w:szCs w:val="22"/>
          <w:color w:val="auto"/>
        </w:rPr>
        <w:t>. In case the Company shall make or issue, or shall fix a record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for the determination of eligible holders entitled to receive, a dividend or other distribution payable with respect to the Warrant Shares that is payable in (a) securities of the Company (other than issuances with respect to which adjustment is made under Section 3(a) or Section 3(c)) or (b) assets (other than cash) which dividend or distribution is actually made (each, a “</w:t>
      </w:r>
      <w:r>
        <w:rPr>
          <w:rFonts w:ascii="Times New Roman" w:cs="Times New Roman" w:eastAsia="Times New Roman" w:hAnsi="Times New Roman"/>
          <w:sz w:val="22"/>
          <w:szCs w:val="22"/>
          <w:u w:val="single" w:color="auto"/>
          <w:color w:val="auto"/>
        </w:rPr>
        <w:t>Dividend Event</w:t>
      </w:r>
      <w:r>
        <w:rPr>
          <w:rFonts w:ascii="Times New Roman" w:cs="Times New Roman" w:eastAsia="Times New Roman" w:hAnsi="Times New Roman"/>
          <w:sz w:val="22"/>
          <w:szCs w:val="22"/>
          <w:color w:val="auto"/>
        </w:rPr>
        <w:t>”), then, and in each such case, Registered Holder, upon exercise of this Warrant at any time after such Dividend Event, shall receive, in addition to the Warrant Shares, the securities or such other assets of the Company that would have been payable to Registered Holder if Registered Holder had completed such exercise of this Warrant immediately prior to such Dividend Event.</w:t>
      </w:r>
    </w:p>
    <w:p>
      <w:pPr>
        <w:spacing w:after="0" w:line="237" w:lineRule="exact"/>
        <w:rPr>
          <w:rFonts w:ascii="Times New Roman" w:cs="Times New Roman" w:eastAsia="Times New Roman" w:hAnsi="Times New Roman"/>
          <w:sz w:val="22"/>
          <w:szCs w:val="22"/>
          <w:color w:val="auto"/>
        </w:rPr>
      </w:pPr>
    </w:p>
    <w:p>
      <w:pPr>
        <w:jc w:val="both"/>
        <w:ind w:firstLine="449"/>
        <w:spacing w:after="0" w:line="259" w:lineRule="auto"/>
        <w:tabs>
          <w:tab w:leader="none" w:pos="92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for Reorganization, Consolidation, Merger</w:t>
      </w:r>
      <w:r>
        <w:rPr>
          <w:rFonts w:ascii="Times New Roman" w:cs="Times New Roman" w:eastAsia="Times New Roman" w:hAnsi="Times New Roman"/>
          <w:sz w:val="22"/>
          <w:szCs w:val="22"/>
          <w:color w:val="auto"/>
        </w:rPr>
        <w:t>. In case of any recapitalization or reorganization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in case of a Merger and Acquisition (each, a “</w:t>
      </w:r>
      <w:r>
        <w:rPr>
          <w:rFonts w:ascii="Times New Roman" w:cs="Times New Roman" w:eastAsia="Times New Roman" w:hAnsi="Times New Roman"/>
          <w:sz w:val="22"/>
          <w:szCs w:val="22"/>
          <w:u w:val="single" w:color="auto"/>
          <w:color w:val="auto"/>
        </w:rPr>
        <w:t>Reorganization Event</w:t>
      </w:r>
      <w:r>
        <w:rPr>
          <w:rFonts w:ascii="Times New Roman" w:cs="Times New Roman" w:eastAsia="Times New Roman" w:hAnsi="Times New Roman"/>
          <w:sz w:val="22"/>
          <w:szCs w:val="22"/>
          <w:color w:val="auto"/>
        </w:rPr>
        <w:t>”), then, and in each such case, Registered Holder, upon the exercise of this Warrant after such Reorganization Event, shall be entitled to receive, in lieu of the shares or other securities and property that Registered Holder, would have been entitled to receive upon such exercise prior to such Reorganization Event, the shares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or other securities or property receivable upon the exercise of this Warrant after the consummation of such Reorganization Event.</w:t>
      </w:r>
    </w:p>
    <w:p>
      <w:pPr>
        <w:spacing w:after="0" w:line="236" w:lineRule="exact"/>
        <w:rPr>
          <w:rFonts w:ascii="Times New Roman" w:cs="Times New Roman" w:eastAsia="Times New Roman" w:hAnsi="Times New Roman"/>
          <w:sz w:val="22"/>
          <w:szCs w:val="22"/>
          <w:color w:val="auto"/>
        </w:rPr>
      </w:pPr>
    </w:p>
    <w:p>
      <w:pPr>
        <w:ind w:firstLine="449"/>
        <w:spacing w:after="0" w:line="287" w:lineRule="auto"/>
        <w:tabs>
          <w:tab w:leader="none" w:pos="83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Change Necessary</w:t>
      </w:r>
      <w:r>
        <w:rPr>
          <w:rFonts w:ascii="Times New Roman" w:cs="Times New Roman" w:eastAsia="Times New Roman" w:hAnsi="Times New Roman"/>
          <w:sz w:val="22"/>
          <w:szCs w:val="22"/>
          <w:color w:val="auto"/>
        </w:rPr>
        <w:t>. The form of this Warrant need not be changed because of any adjustment in the Purchase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 the number of Warrant Shares issuable upon its exercise.</w:t>
      </w:r>
    </w:p>
    <w:p>
      <w:pPr>
        <w:spacing w:after="0" w:line="204" w:lineRule="exact"/>
        <w:rPr>
          <w:rFonts w:ascii="Times New Roman" w:cs="Times New Roman" w:eastAsia="Times New Roman" w:hAnsi="Times New Roman"/>
          <w:sz w:val="22"/>
          <w:szCs w:val="22"/>
          <w:color w:val="auto"/>
        </w:rPr>
      </w:pPr>
    </w:p>
    <w:p>
      <w:pPr>
        <w:jc w:val="both"/>
        <w:ind w:firstLine="449"/>
        <w:spacing w:after="0" w:line="260" w:lineRule="auto"/>
        <w:tabs>
          <w:tab w:leader="none" w:pos="86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The Company shall provide prompt notice to the Registered Holder, using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such notice at least ten (10)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shares as the Warrant Shares. The Company will also provide information requested by Registered Holder that is reasonably necessary to enable Registered Holder to comply with Registered Holder’s accounting or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0" w:name="page171"/>
    <w:bookmarkEnd w:id="170"/>
    <w:p>
      <w:pPr>
        <w:ind w:left="372" w:hanging="372"/>
        <w:spacing w:after="0"/>
        <w:tabs>
          <w:tab w:leader="none" w:pos="37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left="-8" w:firstLine="449"/>
        <w:spacing w:after="0" w:line="259" w:lineRule="auto"/>
        <w:tabs>
          <w:tab w:leader="none" w:pos="85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Unregistered Security</w:t>
      </w:r>
      <w:r>
        <w:rPr>
          <w:rFonts w:ascii="Times New Roman" w:cs="Times New Roman" w:eastAsia="Times New Roman" w:hAnsi="Times New Roman"/>
          <w:sz w:val="22"/>
          <w:szCs w:val="22"/>
          <w:color w:val="auto"/>
        </w:rPr>
        <w:t>. Each holder of this Warrant acknowledges that, as of the date hereof, none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(including this Warrant and the Warrant Shares) have been registered under the Securities Act, and agrees not to sell, pledge, distribute, offer for sale, transfer or otherwise dispose of this Warrant or any Warrant Shares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Shares issued upon the exercise of this Warrant (and any securities issued by the Company upon conversion or exchange thereof) shall bear a legend substantially to the foregoing effect. The Warrant Shares issuable pursuant to this Warrant shall have the registration rights described in Section 7 hereto.</w:t>
      </w:r>
    </w:p>
    <w:p>
      <w:pPr>
        <w:spacing w:after="0" w:line="239" w:lineRule="exact"/>
        <w:rPr>
          <w:rFonts w:ascii="Times New Roman" w:cs="Times New Roman" w:eastAsia="Times New Roman" w:hAnsi="Times New Roman"/>
          <w:sz w:val="22"/>
          <w:szCs w:val="22"/>
          <w:color w:val="auto"/>
        </w:rPr>
      </w:pPr>
    </w:p>
    <w:p>
      <w:pPr>
        <w:jc w:val="both"/>
        <w:ind w:left="-8" w:firstLine="447"/>
        <w:spacing w:after="0" w:line="266" w:lineRule="auto"/>
        <w:tabs>
          <w:tab w:leader="none" w:pos="83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Transferability</w:t>
      </w:r>
      <w:r>
        <w:rPr>
          <w:rFonts w:ascii="Times New Roman" w:cs="Times New Roman" w:eastAsia="Times New Roman" w:hAnsi="Times New Roman"/>
          <w:sz w:val="22"/>
          <w:szCs w:val="22"/>
          <w:color w:val="auto"/>
        </w:rPr>
        <w:t>. Subject to the provisions of Section 4(a) hereof, this Warrant may be transferred and assigned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rights hereunder are transferable, in whole or in part, to an affiliate (as defined in Rule 405 under the Securities Act) of the Registered Holder upon surrender of this Warrant with a properly executed assignment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at the principal office of the Company and subject to the provisions of Section 4.a. hereof.</w:t>
      </w:r>
    </w:p>
    <w:p>
      <w:pPr>
        <w:spacing w:after="0" w:line="228" w:lineRule="exact"/>
        <w:rPr>
          <w:rFonts w:ascii="Times New Roman" w:cs="Times New Roman" w:eastAsia="Times New Roman" w:hAnsi="Times New Roman"/>
          <w:sz w:val="22"/>
          <w:szCs w:val="22"/>
          <w:color w:val="auto"/>
        </w:rPr>
      </w:pPr>
    </w:p>
    <w:p>
      <w:pPr>
        <w:jc w:val="both"/>
        <w:ind w:left="-8" w:firstLine="449"/>
        <w:spacing w:after="0" w:line="266" w:lineRule="auto"/>
        <w:tabs>
          <w:tab w:leader="none" w:pos="94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Warrant Register</w:t>
      </w:r>
      <w:r>
        <w:rPr>
          <w:rFonts w:ascii="Times New Roman" w:cs="Times New Roman" w:eastAsia="Times New Roman" w:hAnsi="Times New Roman"/>
          <w:sz w:val="22"/>
          <w:szCs w:val="22"/>
          <w:color w:val="auto"/>
        </w:rPr>
        <w:t>. The Company will maintain a register containing the names and addresses of the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of this Warrant. Until 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4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the Registered Holder</w:t>
      </w:r>
      <w:r>
        <w:rPr>
          <w:rFonts w:ascii="Times New Roman" w:cs="Times New Roman" w:eastAsia="Times New Roman" w:hAnsi="Times New Roman"/>
          <w:sz w:val="22"/>
          <w:szCs w:val="22"/>
          <w:color w:val="auto"/>
        </w:rPr>
        <w:t>. The Registered Holder hereby represents and warrants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that:</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79" w:lineRule="auto"/>
        <w:tabs>
          <w:tab w:leader="none" w:pos="907"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Authorization</w:t>
      </w:r>
      <w:r>
        <w:rPr>
          <w:rFonts w:ascii="Times New Roman" w:cs="Times New Roman" w:eastAsia="Times New Roman" w:hAnsi="Times New Roman"/>
          <w:sz w:val="21"/>
          <w:szCs w:val="21"/>
          <w:color w:val="auto"/>
        </w:rPr>
        <w:t>. The Registered Holder has full power and authority to enter into this Warrant. The Warrant,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and 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216" w:lineRule="exact"/>
        <w:rPr>
          <w:rFonts w:ascii="Times New Roman" w:cs="Times New Roman" w:eastAsia="Times New Roman" w:hAnsi="Times New Roman"/>
          <w:sz w:val="21"/>
          <w:szCs w:val="21"/>
          <w:color w:val="auto"/>
        </w:rPr>
      </w:pPr>
    </w:p>
    <w:p>
      <w:pPr>
        <w:jc w:val="both"/>
        <w:ind w:left="-8" w:firstLine="449"/>
        <w:spacing w:after="0" w:line="279" w:lineRule="auto"/>
        <w:tabs>
          <w:tab w:leader="none" w:pos="838"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Purchase Entirely for Own Account</w:t>
      </w:r>
      <w:r>
        <w:rPr>
          <w:rFonts w:ascii="Times New Roman" w:cs="Times New Roman" w:eastAsia="Times New Roman" w:hAnsi="Times New Roman"/>
          <w:sz w:val="21"/>
          <w:szCs w:val="21"/>
          <w:color w:val="auto"/>
        </w:rPr>
        <w:t>. This Warrant is issued to the Registered Holder in reliance upon the Registered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Holder’s representation to the Company, which by the Registered Holder’s acceptance of this Warrant, the Registered Holder hereby confirms, that the Warrant to be acquired by the Registered Holder and the Warrant Shares (and any securities issued by the Company upon conversion or exchange thereof) (collectively,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will be acquired for investment for the Registered Holder’s own account, not as a nominee or agent, and not with a view to the resale or distribution of any part thereof.</w:t>
      </w:r>
    </w:p>
    <w:p>
      <w:pPr>
        <w:spacing w:after="0" w:line="216" w:lineRule="exact"/>
        <w:rPr>
          <w:rFonts w:ascii="Times New Roman" w:cs="Times New Roman" w:eastAsia="Times New Roman" w:hAnsi="Times New Roman"/>
          <w:sz w:val="21"/>
          <w:szCs w:val="21"/>
          <w:color w:val="auto"/>
        </w:rPr>
      </w:pPr>
    </w:p>
    <w:p>
      <w:pPr>
        <w:jc w:val="both"/>
        <w:ind w:left="-8" w:firstLine="449"/>
        <w:spacing w:after="0" w:line="273" w:lineRule="auto"/>
        <w:tabs>
          <w:tab w:leader="none" w:pos="799"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Restricted Securities</w:t>
      </w:r>
      <w:r>
        <w:rPr>
          <w:rFonts w:ascii="Times New Roman" w:cs="Times New Roman" w:eastAsia="Times New Roman" w:hAnsi="Times New Roman"/>
          <w:sz w:val="21"/>
          <w:szCs w:val="21"/>
          <w:color w:val="auto"/>
        </w:rPr>
        <w:t>. The Registered Holder understands that the Securities have not been, and, other than as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herein, will not be, registered under the Securities Act, by reason of a specific exemption from the registration provisions of the Securities Act which depends upon, among other things, the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71" w:name="page172"/>
    <w:bookmarkEnd w:id="171"/>
    <w:p>
      <w:pPr>
        <w:ind w:left="-8" w:firstLine="449"/>
        <w:spacing w:after="0" w:line="287" w:lineRule="auto"/>
        <w:tabs>
          <w:tab w:leader="none" w:pos="94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Accredited Investor</w:t>
      </w:r>
      <w:r>
        <w:rPr>
          <w:rFonts w:ascii="Times New Roman" w:cs="Times New Roman" w:eastAsia="Times New Roman" w:hAnsi="Times New Roman"/>
          <w:sz w:val="22"/>
          <w:szCs w:val="22"/>
          <w:color w:val="auto"/>
        </w:rPr>
        <w:t>. The Registered Holder is an accredited investor as defined in Rule 501(a) of Regulation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under the Securities Act.</w:t>
      </w:r>
    </w:p>
    <w:p>
      <w:pPr>
        <w:spacing w:after="0" w:line="204" w:lineRule="exact"/>
        <w:rPr>
          <w:rFonts w:ascii="Times New Roman" w:cs="Times New Roman" w:eastAsia="Times New Roman" w:hAnsi="Times New Roman"/>
          <w:sz w:val="22"/>
          <w:szCs w:val="22"/>
          <w:color w:val="auto"/>
        </w:rPr>
      </w:pPr>
    </w:p>
    <w:p>
      <w:pPr>
        <w:ind w:left="812" w:hanging="371"/>
        <w:spacing w:after="0"/>
        <w:tabs>
          <w:tab w:leader="none" w:pos="81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8" w:right="20" w:firstLine="8"/>
        <w:spacing w:after="0" w:line="287" w:lineRule="auto"/>
        <w:tabs>
          <w:tab w:leader="none" w:pos="50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Warranties and Covenants of the Company</w:t>
      </w:r>
      <w:r>
        <w:rPr>
          <w:rFonts w:ascii="Times New Roman" w:cs="Times New Roman" w:eastAsia="Times New Roman" w:hAnsi="Times New Roman"/>
          <w:sz w:val="22"/>
          <w:szCs w:val="22"/>
          <w:color w:val="auto"/>
        </w:rPr>
        <w:t>. The Company hereby represents and warrants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Holder that:</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4" w:lineRule="auto"/>
        <w:tabs>
          <w:tab w:leader="none" w:pos="82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Corporate Power</w:t>
      </w:r>
      <w:r>
        <w:rPr>
          <w:rFonts w:ascii="Times New Roman" w:cs="Times New Roman" w:eastAsia="Times New Roman" w:hAnsi="Times New Roman"/>
          <w:sz w:val="22"/>
          <w:szCs w:val="22"/>
          <w:color w:val="auto"/>
        </w:rPr>
        <w:t>. The Company has full power and authority to execute, deliver and issue this Warrant. The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executed and 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228" w:lineRule="exact"/>
        <w:rPr>
          <w:rFonts w:ascii="Times New Roman" w:cs="Times New Roman" w:eastAsia="Times New Roman" w:hAnsi="Times New Roman"/>
          <w:sz w:val="22"/>
          <w:szCs w:val="22"/>
          <w:color w:val="auto"/>
        </w:rPr>
      </w:pPr>
    </w:p>
    <w:p>
      <w:pPr>
        <w:ind w:left="-8" w:firstLine="447"/>
        <w:spacing w:after="0" w:line="287" w:lineRule="auto"/>
        <w:tabs>
          <w:tab w:leader="none" w:pos="9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color w:val="auto"/>
        </w:rPr>
        <w:t>. All corporate action on the part of the Company, its directors and shareholders necessary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execution, issuance, delivery and performance by the Company of this Warrant has been taken.</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1" w:lineRule="auto"/>
        <w:tabs>
          <w:tab w:leader="none" w:pos="93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color w:val="auto"/>
        </w:rPr>
        <w:t>. The authorized share capital of the Company as of September 30, 2021 consisted of 300,000,000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145,641,073 of which were issued and outstanding as of such date. All of the outstanding shares have been duly authorized, are fully paid and nonassessable and were issued in compliance with all applicable federal and state securities laws. The Company has reserved 13,346,196 Ordinary Shares for issuance to officers, directors, employees and consultants of the Company pursuant to its equity compensation plans which have been duly adopted by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approved by the Company’s shareholders (collectively, the “</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 Of such reserved Ordinary Shares, 11,438,255 Ordinary Shares underline outstanding options.</w:t>
      </w:r>
    </w:p>
    <w:p>
      <w:pPr>
        <w:spacing w:after="0" w:line="234"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95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Reservation of Warrant Shares</w:t>
      </w:r>
      <w:r>
        <w:rPr>
          <w:rFonts w:ascii="Times New Roman" w:cs="Times New Roman" w:eastAsia="Times New Roman" w:hAnsi="Times New Roman"/>
          <w:sz w:val="22"/>
          <w:szCs w:val="22"/>
          <w:color w:val="auto"/>
        </w:rPr>
        <w:t>. The Warrant Shares issuable upon exercise of this Warrant (and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by the Company upon conversion or exchange thereof) have been duly authorized and validly reserved by the Company and when issued in accordance with the provisions of this Warrant against the receipt of the Purchase Price or pursuant to the net exercise provision set forth in Section 2(d) hereof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Shares issuable pursuant to this Warrant may be subject to restrictions on transfer under state and/or federal securities laws and the Company’s amended and restated articles of association, as may be amended from time to time (the “</w:t>
      </w:r>
      <w:r>
        <w:rPr>
          <w:rFonts w:ascii="Times New Roman" w:cs="Times New Roman" w:eastAsia="Times New Roman" w:hAnsi="Times New Roman"/>
          <w:sz w:val="22"/>
          <w:szCs w:val="22"/>
          <w:u w:val="single" w:color="auto"/>
          <w:color w:val="auto"/>
        </w:rPr>
        <w:t>Articles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8" w:firstLine="449"/>
        <w:spacing w:after="0" w:line="262" w:lineRule="auto"/>
        <w:tabs>
          <w:tab w:leader="none" w:pos="89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Offering</w:t>
      </w:r>
      <w:r>
        <w:rPr>
          <w:rFonts w:ascii="Times New Roman" w:cs="Times New Roman" w:eastAsia="Times New Roman" w:hAnsi="Times New Roman"/>
          <w:sz w:val="22"/>
          <w:szCs w:val="22"/>
          <w:color w:val="auto"/>
        </w:rPr>
        <w:t>. Subject in part to the truth and accuracy of the Registered Holder’s representations set forth in 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the offer, issuance and sale of this Warrant is, and the issuance of the Warrant Shares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232" w:lineRule="exact"/>
        <w:rPr>
          <w:rFonts w:ascii="Times New Roman" w:cs="Times New Roman" w:eastAsia="Times New Roman" w:hAnsi="Times New Roman"/>
          <w:sz w:val="22"/>
          <w:szCs w:val="22"/>
          <w:color w:val="auto"/>
        </w:rPr>
      </w:pPr>
    </w:p>
    <w:p>
      <w:pPr>
        <w:jc w:val="both"/>
        <w:ind w:left="-8" w:firstLine="449"/>
        <w:spacing w:after="0" w:line="258" w:lineRule="auto"/>
        <w:tabs>
          <w:tab w:leader="none" w:pos="91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Charter Documents</w:t>
      </w:r>
      <w:r>
        <w:rPr>
          <w:rFonts w:ascii="Times New Roman" w:cs="Times New Roman" w:eastAsia="Times New Roman" w:hAnsi="Times New Roman"/>
          <w:sz w:val="22"/>
          <w:szCs w:val="22"/>
          <w:color w:val="auto"/>
        </w:rPr>
        <w:t>. The Company has provided the Registered Holder true and complete copies of the Articles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Original Issuance Date. The Company shall not by amendment of the Articles or through a reorganization, transfer or sale of assets, consolidation, merger, dissolution, issue or sale of securities or any other voluntary action, avoid or seek to avoid the observance or performance of any of the terms to be observed or performed under this Warrant, but shall at all times in good faith reasonably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if the Articles are amended or waived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Shares; provided, however, that, notwithstanding the foregoing, the Company shall not impose any restrictions on the transferability or alienability of the Warrant Shares other than (x) as may be in effect as of the Original Issuance Date or (y) contemplated under the Articles, in each case, without the written consent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72" w:name="page173"/>
    <w:bookmarkEnd w:id="172"/>
    <w:p>
      <w:pPr>
        <w:ind w:left="820" w:hanging="371"/>
        <w:spacing w:after="0"/>
        <w:tabs>
          <w:tab w:leader="none" w:pos="82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Rights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22"/>
          <w:szCs w:val="22"/>
          <w:color w:val="auto"/>
        </w:rPr>
        <w:t>The Warrant Shares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Original Issuance Date may not be amended, modified or waived by the Company without the prior written consent of the Registered Holder unless such amendment, modification or waiver affects the rights under the Investors’ Rights Agreement associated with the Warrant Shares in the same manner as such amendment, modification, or waiver affects the rights under the Investors’ Rights Agreement associated with all other shares of the same series and class of Warrant Shares.</w:t>
      </w:r>
    </w:p>
    <w:p>
      <w:pPr>
        <w:spacing w:after="0" w:line="238" w:lineRule="exact"/>
        <w:rPr>
          <w:sz w:val="20"/>
          <w:szCs w:val="20"/>
          <w:color w:val="auto"/>
        </w:rPr>
      </w:pPr>
    </w:p>
    <w:p>
      <w:pPr>
        <w:ind w:firstLine="8"/>
        <w:spacing w:after="0" w:line="287" w:lineRule="auto"/>
        <w:tabs>
          <w:tab w:leader="none" w:pos="44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This Warrant (and the right to purchase securities upon exercise hereof) shall terminate upon the earliest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 of the following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73" w:lineRule="exact"/>
        <w:rPr>
          <w:rFonts w:ascii="Times New Roman" w:cs="Times New Roman" w:eastAsia="Times New Roman" w:hAnsi="Times New Roman"/>
          <w:sz w:val="22"/>
          <w:szCs w:val="22"/>
          <w:color w:val="auto"/>
        </w:rPr>
      </w:pPr>
    </w:p>
    <w:p>
      <w:pPr>
        <w:ind w:left="760" w:hanging="311"/>
        <w:spacing w:after="0"/>
        <w:tabs>
          <w:tab w:leader="none" w:pos="76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(10th) anniversary of the Original Issuance Date, or</w:t>
      </w:r>
    </w:p>
    <w:p>
      <w:pPr>
        <w:spacing w:after="0" w:line="287" w:lineRule="exact"/>
        <w:rPr>
          <w:rFonts w:ascii="Times New Roman" w:cs="Times New Roman" w:eastAsia="Times New Roman" w:hAnsi="Times New Roman"/>
          <w:sz w:val="22"/>
          <w:szCs w:val="22"/>
          <w:color w:val="auto"/>
        </w:rPr>
      </w:pPr>
    </w:p>
    <w:p>
      <w:pPr>
        <w:ind w:right="1000" w:firstLine="449"/>
        <w:spacing w:after="0" w:line="284" w:lineRule="auto"/>
        <w:tabs>
          <w:tab w:leader="none" w:pos="76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consummation of a Merger and Acquisition or a Liquidation Event (as defined in the Company’s Articles)</w:t>
      </w:r>
    </w:p>
    <w:p>
      <w:pPr>
        <w:spacing w:after="0" w:line="20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Registered Holder shall be given reasonable notice of such Merger and Acquisition or Liquidation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Company shall use commercially reasonable efforts to provide such notice at least ten (10) business days in advance of the consummation of the Merger and Acquisition or Liquidation Event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the opportunity to exercise this Warrant prior to or concurrently with the consummation of such Merger and Acquisition or Liquidation Event.</w:t>
      </w:r>
    </w:p>
    <w:p>
      <w:pPr>
        <w:spacing w:after="0" w:line="228" w:lineRule="exact"/>
        <w:rPr>
          <w:sz w:val="20"/>
          <w:szCs w:val="20"/>
          <w:color w:val="auto"/>
        </w:rPr>
      </w:pPr>
    </w:p>
    <w:p>
      <w:pPr>
        <w:ind w:left="380" w:hanging="372"/>
        <w:spacing w:after="0"/>
        <w:tabs>
          <w:tab w:leader="none" w:pos="3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 of Certain Transactions</w:t>
      </w:r>
      <w:r>
        <w:rPr>
          <w:rFonts w:ascii="Times New Roman" w:cs="Times New Roman" w:eastAsia="Times New Roman" w:hAnsi="Times New Roman"/>
          <w:sz w:val="22"/>
          <w:szCs w:val="22"/>
          <w:color w:val="auto"/>
        </w:rPr>
        <w:t>. In case:</w:t>
      </w:r>
    </w:p>
    <w:p>
      <w:pPr>
        <w:spacing w:after="0" w:line="291" w:lineRule="exact"/>
        <w:rPr>
          <w:rFonts w:ascii="Times New Roman" w:cs="Times New Roman" w:eastAsia="Times New Roman" w:hAnsi="Times New Roman"/>
          <w:sz w:val="22"/>
          <w:szCs w:val="22"/>
          <w:color w:val="auto"/>
        </w:rPr>
      </w:pPr>
    </w:p>
    <w:p>
      <w:pPr>
        <w:jc w:val="both"/>
        <w:ind w:firstLine="511"/>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shall take a record of the holders of its outstanding shares of the same class as the Warrant Shares (or other shares or securities at the time deliverable upon the exercise of this Warrant) for the purpose of entitling or enabling them to receive any dividend or other distribution, or to receive any right to subscribe for or purchase any shares of any class or any other securities, or to receive any other right, or</w:t>
      </w:r>
    </w:p>
    <w:p>
      <w:pPr>
        <w:spacing w:after="0" w:line="232" w:lineRule="exact"/>
        <w:rPr>
          <w:rFonts w:ascii="Times New Roman" w:cs="Times New Roman" w:eastAsia="Times New Roman" w:hAnsi="Times New Roman"/>
          <w:sz w:val="22"/>
          <w:szCs w:val="22"/>
          <w:color w:val="auto"/>
        </w:rPr>
      </w:pPr>
    </w:p>
    <w:p>
      <w:pPr>
        <w:jc w:val="both"/>
        <w:ind w:firstLine="48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of any capital reorganization of the Company, any reclassification of the share capital of the Company, any consolidation or merger of the Company, any Merger and Acquisition or any Liquidation Event 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shares of the same class as the Warrant Shares (or such other shares or securities at the time deliverable upon such reorganization, reclassification, consolidation, merger, transfer, dissolution, liquidation, winding--up, redemption or conversion) are to be determined. Such notice shall be mailed at least ten (10) business days prior to the record date or effective date for the event specified in such notice. In addition, the Company shall use commercially reasonable efforts to provide the Registered Holder with prompt written notice of any amendment to the term “Merger and Acquisition” set forth in the Articles.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as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73" w:name="page174"/>
    <w:bookmarkEnd w:id="173"/>
    <w:p>
      <w:pPr>
        <w:jc w:val="both"/>
        <w:ind w:left="-8" w:firstLine="8"/>
        <w:spacing w:after="0" w:line="266" w:lineRule="auto"/>
        <w:tabs>
          <w:tab w:leader="none" w:pos="4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Replacement of Warrants</w:t>
      </w:r>
      <w:r>
        <w:rPr>
          <w:rFonts w:ascii="Times New Roman" w:cs="Times New Roman" w:eastAsia="Times New Roman" w:hAnsi="Times New Roman"/>
          <w:sz w:val="22"/>
          <w:szCs w:val="22"/>
          <w:color w:val="auto"/>
        </w:rPr>
        <w:t>. Upon receipt of evidence reasonably satisfactory to the Company of the loss, theft, destruction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52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Rights as Shareholder</w:t>
      </w:r>
      <w:r>
        <w:rPr>
          <w:rFonts w:ascii="Times New Roman" w:cs="Times New Roman" w:eastAsia="Times New Roman" w:hAnsi="Times New Roman"/>
          <w:sz w:val="22"/>
          <w:szCs w:val="22"/>
          <w:color w:val="auto"/>
        </w:rPr>
        <w:t>. Until and to the extent of the exercise of this Warrant, the Registered Holder of this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have or exercise any rights by virtue hereof as a shareholder of the Company.</w:t>
      </w:r>
    </w:p>
    <w:p>
      <w:pPr>
        <w:spacing w:after="0" w:line="204" w:lineRule="exact"/>
        <w:rPr>
          <w:rFonts w:ascii="Times New Roman" w:cs="Times New Roman" w:eastAsia="Times New Roman" w:hAnsi="Times New Roman"/>
          <w:sz w:val="22"/>
          <w:szCs w:val="22"/>
          <w:color w:val="auto"/>
        </w:rPr>
      </w:pPr>
    </w:p>
    <w:p>
      <w:pPr>
        <w:jc w:val="both"/>
        <w:ind w:left="-8" w:firstLine="8"/>
        <w:spacing w:after="0" w:line="266" w:lineRule="auto"/>
        <w:tabs>
          <w:tab w:leader="none" w:pos="53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Fractional Shares</w:t>
      </w:r>
      <w:r>
        <w:rPr>
          <w:rFonts w:ascii="Times New Roman" w:cs="Times New Roman" w:eastAsia="Times New Roman" w:hAnsi="Times New Roman"/>
          <w:sz w:val="22"/>
          <w:szCs w:val="22"/>
          <w:color w:val="auto"/>
        </w:rPr>
        <w:t>. No fractional Warrant Shares will be issued in connection with any exercise hereunder. In lieu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fractional shares which would otherwise be issuable, the Company shall pay cash equal to the product of such fraction multiplied by the fair market value of one Warrant Share on the date of exercise, as determined in accordance with Section 2(d) (ii).</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57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Survival of Representations</w:t>
      </w:r>
      <w:r>
        <w:rPr>
          <w:rFonts w:ascii="Times New Roman" w:cs="Times New Roman" w:eastAsia="Times New Roman" w:hAnsi="Times New Roman"/>
          <w:sz w:val="22"/>
          <w:szCs w:val="22"/>
          <w:color w:val="auto"/>
        </w:rPr>
        <w:t>. Unless otherwise set forth in this Warrant, the representations, warranties and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or made pursuant to this Warrant shall survive the execution and delivery of this Warrant.</w:t>
      </w:r>
    </w:p>
    <w:p>
      <w:pPr>
        <w:spacing w:after="0" w:line="204" w:lineRule="exact"/>
        <w:rPr>
          <w:rFonts w:ascii="Times New Roman" w:cs="Times New Roman" w:eastAsia="Times New Roman" w:hAnsi="Times New Roman"/>
          <w:sz w:val="22"/>
          <w:szCs w:val="22"/>
          <w:color w:val="auto"/>
        </w:rPr>
      </w:pPr>
    </w:p>
    <w:p>
      <w:pPr>
        <w:jc w:val="both"/>
        <w:ind w:left="-8" w:firstLine="8"/>
        <w:spacing w:after="0" w:line="272" w:lineRule="auto"/>
        <w:tabs>
          <w:tab w:leader="none" w:pos="47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Attorney’s Fees</w:t>
      </w:r>
      <w:r>
        <w:rPr>
          <w:rFonts w:ascii="Times New Roman" w:cs="Times New Roman" w:eastAsia="Times New Roman" w:hAnsi="Times New Roman"/>
          <w:sz w:val="22"/>
          <w:szCs w:val="22"/>
          <w:color w:val="auto"/>
        </w:rPr>
        <w:t>. If any action at law or in equity (including arbitration) is necessary to enforce or interpret the terms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Warrant, the prevailing party shall be entitled to reasonable attorney’s fees, costs and necessary disbursements in addition to any other relief to which such party may be entitled.</w:t>
      </w:r>
    </w:p>
    <w:p>
      <w:pPr>
        <w:spacing w:after="0" w:line="219" w:lineRule="exact"/>
        <w:rPr>
          <w:rFonts w:ascii="Times New Roman" w:cs="Times New Roman" w:eastAsia="Times New Roman" w:hAnsi="Times New Roman"/>
          <w:sz w:val="22"/>
          <w:szCs w:val="22"/>
          <w:color w:val="auto"/>
        </w:rPr>
      </w:pPr>
    </w:p>
    <w:p>
      <w:pPr>
        <w:ind w:left="492" w:hanging="492"/>
        <w:spacing w:after="0"/>
        <w:tabs>
          <w:tab w:leader="none" w:pos="49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left="-8" w:firstLine="449"/>
        <w:spacing w:after="0" w:line="272" w:lineRule="auto"/>
        <w:tabs>
          <w:tab w:leader="none" w:pos="79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Warrant, and all acts and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hereto and the rights and obligations of the parties hereto shall be governed, construed and interpreted in accordance with the laws of the state of New York, without giving effect to principles of conflicts of law.</w:t>
      </w:r>
    </w:p>
    <w:p>
      <w:pPr>
        <w:spacing w:after="0" w:line="219" w:lineRule="exact"/>
        <w:rPr>
          <w:rFonts w:ascii="Times New Roman" w:cs="Times New Roman" w:eastAsia="Times New Roman" w:hAnsi="Times New Roman"/>
          <w:sz w:val="22"/>
          <w:szCs w:val="22"/>
          <w:color w:val="auto"/>
        </w:rPr>
      </w:pPr>
    </w:p>
    <w:p>
      <w:pPr>
        <w:ind w:left="-8" w:firstLine="449"/>
        <w:spacing w:after="0" w:line="287" w:lineRule="auto"/>
        <w:tabs>
          <w:tab w:leader="none" w:pos="81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Jurisdiction and Venue</w:t>
      </w:r>
      <w:r>
        <w:rPr>
          <w:rFonts w:ascii="Times New Roman" w:cs="Times New Roman" w:eastAsia="Times New Roman" w:hAnsi="Times New Roman"/>
          <w:sz w:val="22"/>
          <w:szCs w:val="22"/>
          <w:color w:val="auto"/>
        </w:rPr>
        <w:t>. With respect to any conflicts arising out of or related to this Warrant, the parties consent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jurisdiction of, and venue in, the competent courts in New York.</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72" w:lineRule="auto"/>
        <w:tabs>
          <w:tab w:leader="none" w:pos="81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Warrant sets forth the entire agreement and understanding of the parties relating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herein and supersedes all prior or contemporaneous discussions, understandings and agreements, whether oral or written, between them relating to the subject matter hereof.</w:t>
      </w:r>
    </w:p>
    <w:p>
      <w:pPr>
        <w:spacing w:after="0" w:line="219" w:lineRule="exact"/>
        <w:rPr>
          <w:rFonts w:ascii="Times New Roman" w:cs="Times New Roman" w:eastAsia="Times New Roman" w:hAnsi="Times New Roman"/>
          <w:sz w:val="22"/>
          <w:szCs w:val="22"/>
          <w:color w:val="auto"/>
        </w:rPr>
      </w:pPr>
    </w:p>
    <w:p>
      <w:pPr>
        <w:jc w:val="both"/>
        <w:ind w:left="-8" w:firstLine="449"/>
        <w:spacing w:after="0" w:line="266" w:lineRule="auto"/>
        <w:tabs>
          <w:tab w:leader="none" w:pos="10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 Other than in connection with the delivery of a Replacement Exhibit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2.c, no modification of or amendment to this 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228" w:lineRule="exact"/>
        <w:rPr>
          <w:rFonts w:ascii="Times New Roman" w:cs="Times New Roman" w:eastAsia="Times New Roman" w:hAnsi="Times New Roman"/>
          <w:sz w:val="22"/>
          <w:szCs w:val="22"/>
          <w:color w:val="auto"/>
        </w:rPr>
      </w:pPr>
    </w:p>
    <w:p>
      <w:pPr>
        <w:ind w:left="-8" w:firstLine="449"/>
        <w:spacing w:after="0" w:line="287" w:lineRule="auto"/>
        <w:tabs>
          <w:tab w:leader="none" w:pos="83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rights and obligations of the Company and the Registered Holder shall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benefit the respective successors, assigns and permitted transferees of the parties.</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77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demand or request required or permitted to be given under this Warrant shall be in writing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delivered personally, 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74" w:name="page175"/>
    <w:bookmarkEnd w:id="174"/>
    <w:p>
      <w:pPr>
        <w:jc w:val="both"/>
        <w:ind w:firstLine="447"/>
        <w:spacing w:after="0" w:line="264" w:lineRule="auto"/>
        <w:tabs>
          <w:tab w:leader="none" w:pos="8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Warrant becomes or is declared by a court of competent jurisdiction to be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or void, 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228" w:lineRule="exact"/>
        <w:rPr>
          <w:rFonts w:ascii="Times New Roman" w:cs="Times New Roman" w:eastAsia="Times New Roman" w:hAnsi="Times New Roman"/>
          <w:sz w:val="22"/>
          <w:szCs w:val="22"/>
          <w:color w:val="auto"/>
        </w:rPr>
      </w:pPr>
    </w:p>
    <w:p>
      <w:pPr>
        <w:jc w:val="both"/>
        <w:ind w:firstLine="449"/>
        <w:spacing w:after="0" w:line="272" w:lineRule="auto"/>
        <w:tabs>
          <w:tab w:leader="none" w:pos="85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Warrant is the result of negotiations between and has been reviewed by each of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counsel, if any; accordingly, this Warrant shall be deemed to be the product of all of the parties hereto, and no ambiguity shall be construed in favor of or against any one of the parties hereto.</w:t>
      </w:r>
    </w:p>
    <w:p>
      <w:pPr>
        <w:spacing w:after="0" w:line="219" w:lineRule="exact"/>
        <w:rPr>
          <w:rFonts w:ascii="Times New Roman" w:cs="Times New Roman" w:eastAsia="Times New Roman" w:hAnsi="Times New Roman"/>
          <w:sz w:val="22"/>
          <w:szCs w:val="22"/>
          <w:color w:val="auto"/>
        </w:rPr>
      </w:pPr>
    </w:p>
    <w:p>
      <w:pPr>
        <w:ind w:right="20" w:firstLine="449"/>
        <w:spacing w:after="0" w:line="287" w:lineRule="auto"/>
        <w:tabs>
          <w:tab w:leader="none" w:pos="82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Titles and Subtitles</w:t>
      </w:r>
      <w:r>
        <w:rPr>
          <w:rFonts w:ascii="Times New Roman" w:cs="Times New Roman" w:eastAsia="Times New Roman" w:hAnsi="Times New Roman"/>
          <w:sz w:val="22"/>
          <w:szCs w:val="22"/>
          <w:color w:val="auto"/>
        </w:rPr>
        <w:t>. The titles and subtitles used in this Warrant are included for convenience only and are not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in construing or interpreting this Warrant.</w:t>
      </w:r>
    </w:p>
    <w:p>
      <w:pPr>
        <w:spacing w:after="0" w:line="204" w:lineRule="exact"/>
        <w:rPr>
          <w:rFonts w:ascii="Times New Roman" w:cs="Times New Roman" w:eastAsia="Times New Roman" w:hAnsi="Times New Roman"/>
          <w:sz w:val="22"/>
          <w:szCs w:val="22"/>
          <w:color w:val="auto"/>
        </w:rPr>
      </w:pPr>
    </w:p>
    <w:p>
      <w:pPr>
        <w:ind w:right="20" w:firstLine="449"/>
        <w:spacing w:after="0" w:line="287" w:lineRule="auto"/>
        <w:tabs>
          <w:tab w:leader="none" w:pos="7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Warrant may be executed in any number of counterparts, each of which shall be deemed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of which together shall constitute one and the same instrument.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75" w:name="page176"/>
    <w:bookmarkEnd w:id="175"/>
    <w:p>
      <w:pPr>
        <w:ind w:firstLine="441"/>
        <w:spacing w:after="0" w:line="284" w:lineRule="auto"/>
        <w:rPr>
          <w:sz w:val="20"/>
          <w:szCs w:val="20"/>
          <w:color w:val="auto"/>
        </w:rPr>
      </w:pPr>
      <w:r>
        <w:rPr>
          <w:rFonts w:ascii="Times New Roman" w:cs="Times New Roman" w:eastAsia="Times New Roman" w:hAnsi="Times New Roman"/>
          <w:sz w:val="22"/>
          <w:szCs w:val="22"/>
          <w:color w:val="auto"/>
        </w:rPr>
        <w:t>IN WITNESS WHEREOF, the Company and the Registered Holder have executed this Warrant as of the date first set forth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GLOBAL-E ONLINE LTD.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428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25 Basel Street, Petah Tikva, 4951038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legal@global-e.com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REGISTERED HOLDER: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STRATEGIC HOLDINGS LLC</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4306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96" w:right="479" w:bottom="1440" w:gutter="0" w:footer="0" w:header="0"/>
        </w:sectPr>
      </w:pPr>
    </w:p>
    <w:bookmarkStart w:id="176" w:name="page177"/>
    <w:bookmarkEnd w:id="176"/>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NUMBER OF WARRANT SHARES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Up to an aggregate of 1,289,064 Ordinary Shares (subject to adjustment as provided in the Warrant to which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attached), which will vest and become exercisable immediately on the Original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92" w:right="7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86"/>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Exhibit B</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PURCHASE/EXERCISE FORM</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2860" w:type="dxa"/>
            <w:vAlign w:val="bottom"/>
            <w:gridSpan w:val="4"/>
          </w:tcPr>
          <w:p>
            <w:pPr>
              <w:ind w:left="520"/>
              <w:spacing w:after="0"/>
              <w:rPr>
                <w:sz w:val="20"/>
                <w:szCs w:val="20"/>
                <w:color w:val="auto"/>
              </w:rPr>
            </w:pPr>
            <w:r>
              <w:rPr>
                <w:rFonts w:ascii="Times New Roman" w:cs="Times New Roman" w:eastAsia="Times New Roman" w:hAnsi="Times New Roman"/>
                <w:sz w:val="22"/>
                <w:szCs w:val="22"/>
                <w:color w:val="auto"/>
              </w:rPr>
              <w:t>To: Global-E Online Ltd.</w:t>
            </w:r>
          </w:p>
        </w:tc>
        <w:tc>
          <w:tcPr>
            <w:tcW w:w="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vMerge w:val="restart"/>
          </w:tcPr>
          <w:p>
            <w:pPr>
              <w:ind w:left="1740"/>
              <w:spacing w:after="0"/>
              <w:rPr>
                <w:sz w:val="20"/>
                <w:szCs w:val="20"/>
                <w:color w:val="auto"/>
              </w:rPr>
            </w:pPr>
            <w:r>
              <w:rPr>
                <w:rFonts w:ascii="Times New Roman" w:cs="Times New Roman" w:eastAsia="Times New Roman" w:hAnsi="Times New Roman"/>
                <w:sz w:val="22"/>
                <w:szCs w:val="22"/>
                <w:color w:val="auto"/>
                <w:w w:val="95"/>
              </w:rPr>
              <w:t>Dated:</w:t>
            </w:r>
          </w:p>
        </w:tc>
        <w:tc>
          <w:tcPr>
            <w:tcW w:w="0" w:type="dxa"/>
            <w:vAlign w:val="bottom"/>
          </w:tcPr>
          <w:p>
            <w:pPr>
              <w:spacing w:after="0"/>
              <w:rPr>
                <w:sz w:val="1"/>
                <w:szCs w:val="1"/>
                <w:color w:val="auto"/>
              </w:rPr>
            </w:pPr>
          </w:p>
        </w:tc>
      </w:tr>
      <w:tr>
        <w:trPr>
          <w:trHeight w:val="258"/>
        </w:trPr>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0" w:type="dxa"/>
            <w:vAlign w:val="bottom"/>
            <w:gridSpan w:val="7"/>
          </w:tcPr>
          <w:p>
            <w:pPr>
              <w:spacing w:after="0" w:line="230" w:lineRule="exact"/>
              <w:rPr>
                <w:sz w:val="20"/>
                <w:szCs w:val="20"/>
                <w:color w:val="auto"/>
              </w:rPr>
            </w:pPr>
            <w:r>
              <w:rPr>
                <w:rFonts w:ascii="Times New Roman" w:cs="Times New Roman" w:eastAsia="Times New Roman" w:hAnsi="Times New Roman"/>
                <w:sz w:val="22"/>
                <w:szCs w:val="22"/>
                <w:color w:val="auto"/>
                <w:w w:val="97"/>
              </w:rPr>
              <w:t>The undersigned, pursuant to the provisions set forth in the attached Warrant No.</w:t>
            </w:r>
          </w:p>
        </w:tc>
        <w:tc>
          <w:tcPr>
            <w:tcW w:w="420" w:type="dxa"/>
            <w:vAlign w:val="bottom"/>
            <w:tcBorders>
              <w:bottom w:val="single" w:sz="8" w:color="auto"/>
            </w:tcBorders>
          </w:tcPr>
          <w:p>
            <w:pPr>
              <w:spacing w:after="0"/>
              <w:rPr>
                <w:sz w:val="19"/>
                <w:szCs w:val="19"/>
                <w:color w:val="auto"/>
              </w:rPr>
            </w:pPr>
          </w:p>
        </w:tc>
        <w:tc>
          <w:tcPr>
            <w:tcW w:w="38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 hereby irrevocably elects to:</w:t>
            </w:r>
          </w:p>
        </w:tc>
        <w:tc>
          <w:tcPr>
            <w:tcW w:w="0" w:type="dxa"/>
            <w:vAlign w:val="bottom"/>
          </w:tcPr>
          <w:p>
            <w:pPr>
              <w:spacing w:after="0"/>
              <w:rPr>
                <w:sz w:val="1"/>
                <w:szCs w:val="1"/>
                <w:color w:val="auto"/>
              </w:rPr>
            </w:pPr>
          </w:p>
        </w:tc>
      </w:tr>
      <w:tr>
        <w:trPr>
          <w:trHeight w:val="479"/>
        </w:trPr>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purchase</w:t>
            </w:r>
          </w:p>
        </w:tc>
        <w:tc>
          <w:tcPr>
            <w:tcW w:w="800" w:type="dxa"/>
            <w:vAlign w:val="bottom"/>
          </w:tcPr>
          <w:p>
            <w:pPr>
              <w:spacing w:after="0"/>
              <w:rPr>
                <w:sz w:val="24"/>
                <w:szCs w:val="24"/>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shares of the capital stock covered by such Warrant and herewith makes payment of $</w:t>
            </w:r>
          </w:p>
        </w:tc>
        <w:tc>
          <w:tcPr>
            <w:tcW w:w="360" w:type="dxa"/>
            <w:vAlign w:val="bottom"/>
          </w:tcPr>
          <w:p>
            <w:pPr>
              <w:spacing w:after="0"/>
              <w:rPr>
                <w:sz w:val="24"/>
                <w:szCs w:val="24"/>
                <w:color w:val="auto"/>
              </w:rPr>
            </w:pPr>
          </w:p>
        </w:tc>
        <w:tc>
          <w:tcPr>
            <w:tcW w:w="2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representing the full purchase</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vMerge w:val="continue"/>
          </w:tcPr>
          <w:p>
            <w:pPr>
              <w:spacing w:after="0"/>
              <w:rPr>
                <w:sz w:val="20"/>
                <w:szCs w:val="20"/>
                <w:color w:val="auto"/>
              </w:rPr>
            </w:pPr>
          </w:p>
        </w:tc>
        <w:tc>
          <w:tcPr>
            <w:tcW w:w="694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price for such shares at the price per share provided for in such Warrant,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OR</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net exercise such Warrant for</w:t>
            </w:r>
          </w:p>
        </w:tc>
        <w:tc>
          <w:tcPr>
            <w:tcW w:w="79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shares purchasable under the Warrant pursuant to the Net Issue Exercise provisions of Section 2(d) of such</w:t>
            </w: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w:t>
            </w:r>
          </w:p>
        </w:tc>
        <w:tc>
          <w:tcPr>
            <w:tcW w:w="6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The undersigned acknowledges that it has reviewed the representations and warranties of the Registered Holder set forth in the Warrant and by its signature below hereby makes such representations and warranties to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terms contained in this form shall have the meanings assigned to them in the Warrant.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 TO BY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Strategic Holdings LLC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5138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86"/>
        </w:trPr>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3"/>
          </w:tcPr>
          <w:p>
            <w:pPr>
              <w:jc w:val="center"/>
              <w:ind w:right="1580"/>
              <w:spacing w:after="0"/>
              <w:rPr>
                <w:sz w:val="20"/>
                <w:szCs w:val="20"/>
                <w:color w:val="auto"/>
              </w:rPr>
            </w:pPr>
            <w:r>
              <w:rPr>
                <w:rFonts w:ascii="Times New Roman" w:cs="Times New Roman" w:eastAsia="Times New Roman" w:hAnsi="Times New Roman"/>
                <w:sz w:val="22"/>
                <w:szCs w:val="22"/>
                <w:b w:val="1"/>
                <w:bCs w:val="1"/>
                <w:color w:val="auto"/>
                <w:w w:val="98"/>
              </w:rPr>
              <w:t>Exhibit C</w:t>
            </w:r>
          </w:p>
        </w:tc>
        <w:tc>
          <w:tcPr>
            <w:tcW w:w="2340" w:type="dxa"/>
            <w:vAlign w:val="bottom"/>
          </w:tcPr>
          <w:p>
            <w:pPr>
              <w:spacing w:after="0"/>
              <w:rPr>
                <w:sz w:val="24"/>
                <w:szCs w:val="24"/>
                <w:color w:val="auto"/>
              </w:rPr>
            </w:pPr>
          </w:p>
        </w:tc>
      </w:tr>
      <w:tr>
        <w:trPr>
          <w:trHeight w:val="540"/>
        </w:trPr>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3"/>
          </w:tcPr>
          <w:p>
            <w:pPr>
              <w:jc w:val="center"/>
              <w:ind w:right="1600"/>
              <w:spacing w:after="0"/>
              <w:rPr>
                <w:sz w:val="20"/>
                <w:szCs w:val="20"/>
                <w:color w:val="auto"/>
              </w:rPr>
            </w:pPr>
            <w:r>
              <w:rPr>
                <w:rFonts w:ascii="Times New Roman" w:cs="Times New Roman" w:eastAsia="Times New Roman" w:hAnsi="Times New Roman"/>
                <w:sz w:val="22"/>
                <w:szCs w:val="22"/>
                <w:b w:val="1"/>
                <w:bCs w:val="1"/>
                <w:color w:val="auto"/>
                <w:w w:val="97"/>
              </w:rPr>
              <w:t>ASSIGNMENT FORM</w:t>
            </w:r>
          </w:p>
        </w:tc>
        <w:tc>
          <w:tcPr>
            <w:tcW w:w="2340" w:type="dxa"/>
            <w:vAlign w:val="bottom"/>
          </w:tcPr>
          <w:p>
            <w:pPr>
              <w:spacing w:after="0"/>
              <w:rPr>
                <w:sz w:val="24"/>
                <w:szCs w:val="24"/>
                <w:color w:val="auto"/>
              </w:rPr>
            </w:pPr>
          </w:p>
        </w:tc>
      </w:tr>
      <w:tr>
        <w:trPr>
          <w:trHeight w:val="488"/>
        </w:trPr>
        <w:tc>
          <w:tcPr>
            <w:tcW w:w="2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8"/>
              </w:rPr>
              <w:t>FOR VALUE RECEIVED,</w:t>
            </w:r>
          </w:p>
        </w:tc>
        <w:tc>
          <w:tcPr>
            <w:tcW w:w="800" w:type="dxa"/>
            <w:vAlign w:val="bottom"/>
            <w:tcBorders>
              <w:bottom w:val="single" w:sz="8" w:color="auto"/>
            </w:tcBorders>
          </w:tcPr>
          <w:p>
            <w:pPr>
              <w:spacing w:after="0"/>
              <w:rPr>
                <w:sz w:val="24"/>
                <w:szCs w:val="24"/>
                <w:color w:val="auto"/>
              </w:rPr>
            </w:pPr>
          </w:p>
        </w:tc>
        <w:tc>
          <w:tcPr>
            <w:tcW w:w="75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hereby sells, assigns and transfers all of the rights of the undersigned under the</w:t>
            </w:r>
          </w:p>
        </w:tc>
      </w:tr>
      <w:tr>
        <w:trPr>
          <w:trHeight w:val="303"/>
        </w:trPr>
        <w:tc>
          <w:tcPr>
            <w:tcW w:w="890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attached Warrant with respect to the number of Ordinary Shares covered thereby set forth below, unto:</w:t>
            </w:r>
          </w:p>
        </w:tc>
        <w:tc>
          <w:tcPr>
            <w:tcW w:w="2340" w:type="dxa"/>
            <w:vAlign w:val="bottom"/>
          </w:tcPr>
          <w:p>
            <w:pPr>
              <w:spacing w:after="0"/>
              <w:rPr>
                <w:sz w:val="24"/>
                <w:szCs w:val="24"/>
                <w:color w:val="auto"/>
              </w:rPr>
            </w:pPr>
          </w:p>
        </w:tc>
      </w:tr>
      <w:tr>
        <w:trPr>
          <w:trHeight w:val="494"/>
        </w:trPr>
        <w:tc>
          <w:tcPr>
            <w:tcW w:w="28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 of Assignee</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 of Shares</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 TO BY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5138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79" w:name="page180"/>
    <w:bookmarkEnd w:id="17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JOINDER</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 20</w:t>
      </w:r>
    </w:p>
    <w:p>
      <w:pPr>
        <w:spacing w:after="0" w:line="275" w:lineRule="exact"/>
        <w:rPr>
          <w:sz w:val="20"/>
          <w:szCs w:val="20"/>
          <w:color w:val="auto"/>
        </w:rPr>
      </w:pPr>
    </w:p>
    <w:p>
      <w:pPr>
        <w:ind w:right="60" w:firstLine="441"/>
        <w:spacing w:after="0" w:line="265" w:lineRule="auto"/>
        <w:rPr>
          <w:sz w:val="20"/>
          <w:szCs w:val="20"/>
          <w:color w:val="auto"/>
        </w:rPr>
      </w:pPr>
      <w:r>
        <w:rPr>
          <w:rFonts w:ascii="Times New Roman" w:cs="Times New Roman" w:eastAsia="Times New Roman" w:hAnsi="Times New Roman"/>
          <w:sz w:val="22"/>
          <w:szCs w:val="22"/>
          <w:color w:val="auto"/>
        </w:rPr>
        <w:t>This Joinder Agreement (the “</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to the [Third] Amended and Restated Investors’ Rights Agreement, dated [</w:t>
      </w:r>
      <w:r>
        <w:rPr>
          <w:rFonts w:ascii="Times New Roman" w:cs="Times New Roman" w:eastAsia="Times New Roman" w:hAnsi="Times New Roman"/>
          <w:sz w:val="22"/>
          <w:szCs w:val="22"/>
          <w:i w:val="1"/>
          <w:iCs w:val="1"/>
          <w:color w:val="auto"/>
        </w:rPr>
        <w:t>the date of the most updated IRA in force to be included</w:t>
      </w:r>
      <w:r>
        <w:rPr>
          <w:rFonts w:ascii="Times New Roman" w:cs="Times New Roman" w:eastAsia="Times New Roman" w:hAnsi="Times New Roman"/>
          <w:sz w:val="22"/>
          <w:szCs w:val="22"/>
          <w:color w:val="auto"/>
        </w:rPr>
        <w:t>], by and among Global-e Online Ltd.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persons and entities identified therein (the “</w:t>
      </w:r>
      <w:r>
        <w:rPr>
          <w:rFonts w:ascii="Times New Roman" w:cs="Times New Roman" w:eastAsia="Times New Roman" w:hAnsi="Times New Roman"/>
          <w:sz w:val="22"/>
          <w:szCs w:val="22"/>
          <w:u w:val="single" w:color="auto"/>
          <w:color w:val="auto"/>
        </w:rPr>
        <w:t>IRA</w:t>
      </w:r>
      <w:r>
        <w:rPr>
          <w:rFonts w:ascii="Times New Roman" w:cs="Times New Roman" w:eastAsia="Times New Roman" w:hAnsi="Times New Roman"/>
          <w:sz w:val="22"/>
          <w:szCs w:val="22"/>
          <w:color w:val="auto"/>
        </w:rPr>
        <w:t>”), is made and entered into as of the date first written above, by and between the Company and [Shopify International Limited] (“</w:t>
      </w:r>
      <w:r>
        <w:rPr>
          <w:rFonts w:ascii="Times New Roman" w:cs="Times New Roman" w:eastAsia="Times New Roman" w:hAnsi="Times New Roman"/>
          <w:sz w:val="22"/>
          <w:szCs w:val="22"/>
          <w:u w:val="single" w:color="auto"/>
          <w:color w:val="auto"/>
        </w:rPr>
        <w:t>Registered Holder</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Capitalized terms used but not defined herein shall have the meaning ascribed to them in the IRA.</w:t>
      </w:r>
    </w:p>
    <w:p>
      <w:pPr>
        <w:spacing w:after="0" w:line="291" w:lineRule="exact"/>
        <w:rPr>
          <w:sz w:val="20"/>
          <w:szCs w:val="20"/>
          <w:color w:val="auto"/>
        </w:rPr>
      </w:pPr>
    </w:p>
    <w:p>
      <w:pPr>
        <w:ind w:right="200" w:firstLine="8"/>
        <w:spacing w:after="0" w:line="270" w:lineRule="auto"/>
        <w:tabs>
          <w:tab w:leader="none" w:pos="37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hereby acknowledge, agree and confirm that, by the execution of this Joinder Agreement, the Registered Holder shall be deemed to be a party to the IRA, as of the date hereof, and shall be deemed an “Investor” and a “Holder” thereunder.</w:t>
      </w:r>
    </w:p>
    <w:p>
      <w:pPr>
        <w:spacing w:after="0" w:line="226" w:lineRule="exact"/>
        <w:rPr>
          <w:rFonts w:ascii="Times New Roman" w:cs="Times New Roman" w:eastAsia="Times New Roman" w:hAnsi="Times New Roman"/>
          <w:sz w:val="22"/>
          <w:szCs w:val="22"/>
          <w:color w:val="auto"/>
        </w:rPr>
      </w:pPr>
    </w:p>
    <w:p>
      <w:pPr>
        <w:ind w:right="560" w:firstLine="8"/>
        <w:spacing w:after="0" w:line="270" w:lineRule="auto"/>
        <w:tabs>
          <w:tab w:leader="none" w:pos="37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Holder hereby agrees to be bound by the IRA and to be subject to all of the rights and obligations of an Investor and/or Holder therein for all intents and purposes (including, without limitation, to the market standoff and confidentiality provisions).</w:t>
      </w:r>
    </w:p>
    <w:p>
      <w:pPr>
        <w:spacing w:after="0" w:line="226" w:lineRule="exact"/>
        <w:rPr>
          <w:rFonts w:ascii="Times New Roman" w:cs="Times New Roman" w:eastAsia="Times New Roman" w:hAnsi="Times New Roman"/>
          <w:sz w:val="22"/>
          <w:szCs w:val="22"/>
          <w:color w:val="auto"/>
        </w:rPr>
      </w:pPr>
    </w:p>
    <w:p>
      <w:pPr>
        <w:ind w:firstLine="8"/>
        <w:spacing w:after="0" w:line="274" w:lineRule="auto"/>
        <w:tabs>
          <w:tab w:leader="none" w:pos="37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Joinder Agreement shall be governed by and construed according to the laws of the State of Israel, without regard to the conflict of laws’ provisions thereof. Any term of this Joinder Agreement may be amended and the severance of any term hereof may be waived (either generally or in a particular instance and either retroactively or prospectively) only with the written consent of all parties hereto. This Joinder Agreement may be executed in any number of counterparts (including via facsimile or email, pdf. files and/or DocuSign), each of which shall be enforceable against the parties actually executing such counterparts, and all of which together shall constitute one instrument. If one or more provisions of this Joinder Agreement are held to be unenforceable under applicable law, such provision shall be excluded from this Joinder Agreement and the balance of the Joinder Agreement shall be interpreted as if such provision were so excluded and shall be enforceable in accordance with its terms.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GLOBAL-E ONLINE LTD.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3709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25 Basel Street, Petah Tikva, 4951038</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Shopify Strategic Holdings LLC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3423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2" w:right="1440" w:bottom="1440" w:gutter="0" w:footer="0" w:header="0"/>
        </w:sectPr>
      </w:pPr>
    </w:p>
    <w:bookmarkStart w:id="181" w:name="page182"/>
    <w:bookmarkEnd w:id="181"/>
    <w:p>
      <w:pPr>
        <w:ind w:left="1014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4.11</w:t>
      </w:r>
    </w:p>
    <w:p>
      <w:pPr>
        <w:spacing w:after="0" w:line="303" w:lineRule="exact"/>
        <w:rPr>
          <w:sz w:val="20"/>
          <w:szCs w:val="20"/>
          <w:color w:val="auto"/>
        </w:rPr>
      </w:pPr>
    </w:p>
    <w:p>
      <w:pPr>
        <w:ind w:right="580" w:firstLine="8"/>
        <w:spacing w:after="0" w:line="284" w:lineRule="auto"/>
        <w:tabs>
          <w:tab w:leader="none" w:pos="52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601(b)(10). Such excluded information is not material and would likely cause competitive harm to the registrant if publicly disclosed.</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WARRANT (THIS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AND THE SECURITIES ISSUABLE UPON THE EXERCISE HEREOF HAVE NOT BEEN REGISTERED UNDER THE U.S.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UNDER THE SECURITIES LAWS OF ANY STATE.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239" w:lineRule="exact"/>
        <w:rPr>
          <w:sz w:val="20"/>
          <w:szCs w:val="20"/>
          <w:color w:val="auto"/>
        </w:rPr>
      </w:pPr>
    </w:p>
    <w:p>
      <w:pPr>
        <w:spacing w:after="0"/>
        <w:tabs>
          <w:tab w:leader="none" w:pos="6800" w:val="left"/>
        </w:tabs>
        <w:rPr>
          <w:sz w:val="20"/>
          <w:szCs w:val="20"/>
          <w:color w:val="auto"/>
        </w:rPr>
      </w:pPr>
      <w:r>
        <w:rPr>
          <w:rFonts w:ascii="Times New Roman" w:cs="Times New Roman" w:eastAsia="Times New Roman" w:hAnsi="Times New Roman"/>
          <w:sz w:val="18"/>
          <w:szCs w:val="18"/>
          <w:color w:val="auto"/>
        </w:rPr>
        <w:t>Warrant No. SHOP/FLOW 2</w:t>
      </w:r>
      <w:r>
        <w:rPr>
          <w:sz w:val="20"/>
          <w:szCs w:val="20"/>
          <w:color w:val="auto"/>
        </w:rPr>
        <w:tab/>
      </w:r>
      <w:r>
        <w:rPr>
          <w:rFonts w:ascii="Times New Roman" w:cs="Times New Roman" w:eastAsia="Times New Roman" w:hAnsi="Times New Roman"/>
          <w:sz w:val="18"/>
          <w:szCs w:val="18"/>
          <w:color w:val="auto"/>
        </w:rPr>
        <w:t>Date of Issuance (“</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January 4, 2022</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Number of Ordinary Shares: As set forth on </w:t>
      </w:r>
      <w:r>
        <w:rPr>
          <w:rFonts w:ascii="Times New Roman" w:cs="Times New Roman" w:eastAsia="Times New Roman" w:hAnsi="Times New Roman"/>
          <w:sz w:val="22"/>
          <w:szCs w:val="22"/>
          <w:u w:val="single" w:color="auto"/>
          <w:color w:val="auto"/>
        </w:rPr>
        <w:t>Exhibit A</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to adjustment)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Global-E Online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Share Purchase Warrant</w:t>
      </w:r>
    </w:p>
    <w:p>
      <w:pPr>
        <w:spacing w:after="0" w:line="291"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22"/>
          <w:szCs w:val="22"/>
          <w:color w:val="auto"/>
        </w:rPr>
        <w:t>Global-E Online Ltd., a company incorporated under the laws of the State of Israel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which shall include any corporation or other entity that succeeds to the Company’s obligations under this Warrant (this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whether by permitted assignment, by merger or consolidation or otherwise), for value received, hereby certifies that Shopify Strategic Holdings LLC, a limited liability company governed by the laws of Delaware, or its registered assigns (the “</w:t>
      </w:r>
      <w:r>
        <w:rPr>
          <w:rFonts w:ascii="Times New Roman" w:cs="Times New Roman" w:eastAsia="Times New Roman" w:hAnsi="Times New Roman"/>
          <w:sz w:val="22"/>
          <w:szCs w:val="22"/>
          <w:u w:val="single" w:color="auto"/>
          <w:color w:val="auto"/>
        </w:rPr>
        <w:t>Registered Holder</w:t>
      </w:r>
      <w:r>
        <w:rPr>
          <w:rFonts w:ascii="Times New Roman" w:cs="Times New Roman" w:eastAsia="Times New Roman" w:hAnsi="Times New Roman"/>
          <w:sz w:val="22"/>
          <w:szCs w:val="22"/>
          <w:color w:val="auto"/>
        </w:rPr>
        <w:t xml:space="preserve">”), is entitled, subject to the terms set forth below and including the terms relating to vesting and exercise set forth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hereto, to purchase from the Company, at any time after the date hereof and on or before the Expiration Date (as defined in Section 8) the number of Company’s ordinary shares, with no par value (the “</w:t>
      </w:r>
      <w:r>
        <w:rPr>
          <w:rFonts w:ascii="Times New Roman" w:cs="Times New Roman" w:eastAsia="Times New Roman" w:hAnsi="Times New Roman"/>
          <w:sz w:val="22"/>
          <w:szCs w:val="22"/>
          <w:u w:val="single" w:color="auto"/>
          <w:color w:val="auto"/>
        </w:rPr>
        <w:t>Ordinary Shares</w:t>
      </w:r>
      <w:r>
        <w:rPr>
          <w:rFonts w:ascii="Times New Roman" w:cs="Times New Roman" w:eastAsia="Times New Roman" w:hAnsi="Times New Roman"/>
          <w:sz w:val="22"/>
          <w:szCs w:val="22"/>
          <w:color w:val="auto"/>
        </w:rPr>
        <w:t>”), at a price of $0.01 per share. The Ordinary Shares purchasable upon exercise of this Warrant, and the purchase price per share, each as adjusted from time to time pursuant to the provisions of this Warrant, are hereinafter referred to as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respectively.</w:t>
      </w:r>
    </w:p>
    <w:p>
      <w:pPr>
        <w:spacing w:after="0" w:line="236" w:lineRule="exact"/>
        <w:rPr>
          <w:sz w:val="20"/>
          <w:szCs w:val="20"/>
          <w:color w:val="auto"/>
        </w:rPr>
      </w:pPr>
    </w:p>
    <w:p>
      <w:pPr>
        <w:jc w:val="both"/>
        <w:ind w:firstLine="8"/>
        <w:spacing w:after="0" w:line="272" w:lineRule="auto"/>
        <w:tabs>
          <w:tab w:leader="none" w:pos="45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Number of Shares</w:t>
      </w:r>
      <w:r>
        <w:rPr>
          <w:rFonts w:ascii="Times New Roman" w:cs="Times New Roman" w:eastAsia="Times New Roman" w:hAnsi="Times New Roman"/>
          <w:sz w:val="22"/>
          <w:szCs w:val="22"/>
          <w:color w:val="auto"/>
        </w:rPr>
        <w:t>. Subject to the terms and conditions hereinafter set forth, including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Registered Holder is entitled, upon surrender of this Warrant, to purchase from the Company the number of Warrant Shares (subject to adjustment as provided herein)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hereto, as may be amended from time to time.</w:t>
      </w:r>
    </w:p>
    <w:p>
      <w:pPr>
        <w:spacing w:after="0" w:line="21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449"/>
        <w:spacing w:after="0" w:line="264" w:lineRule="auto"/>
        <w:tabs>
          <w:tab w:leader="none" w:pos="82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Exercise</w:t>
      </w:r>
      <w:r>
        <w:rPr>
          <w:rFonts w:ascii="Times New Roman" w:cs="Times New Roman" w:eastAsia="Times New Roman" w:hAnsi="Times New Roman"/>
          <w:sz w:val="22"/>
          <w:szCs w:val="22"/>
          <w:color w:val="auto"/>
        </w:rPr>
        <w:t>. This Warrant may be exercised by the Registered Holder, in whole or in part, at any time or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time to time on any day before the Expiration Date, subject to the terms and conditions set forth on Exhibit A attached hereto (as may be amended from time to time), by delivering a purchase/exercise form in the form appended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228" w:lineRule="exact"/>
        <w:rPr>
          <w:rFonts w:ascii="Times New Roman" w:cs="Times New Roman" w:eastAsia="Times New Roman" w:hAnsi="Times New Roman"/>
          <w:sz w:val="22"/>
          <w:szCs w:val="22"/>
          <w:color w:val="auto"/>
        </w:rPr>
      </w:pPr>
    </w:p>
    <w:p>
      <w:pPr>
        <w:jc w:val="both"/>
        <w:ind w:firstLine="449"/>
        <w:spacing w:after="0" w:line="266" w:lineRule="auto"/>
        <w:tabs>
          <w:tab w:leader="none" w:pos="927"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color w:val="auto"/>
        </w:rPr>
        <w:t>. Unless the Registered Holder is exercising this Warrant pursuant to a Net Issue Exercise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in Section 2(d), the Registered Holder shall also, as a condition to any exercise of this Warrant, deliver to the Company payment in full for the Purchase Price payable in respect of the number of Warrant Shares purchased upon such exercise. The Purchase Price may be paid by cash, check or wire transfer.</w:t>
      </w:r>
    </w:p>
    <w:p>
      <w:pPr>
        <w:spacing w:after="0" w:line="228" w:lineRule="exact"/>
        <w:rPr>
          <w:rFonts w:ascii="Times New Roman" w:cs="Times New Roman" w:eastAsia="Times New Roman" w:hAnsi="Times New Roman"/>
          <w:sz w:val="22"/>
          <w:szCs w:val="22"/>
          <w:color w:val="auto"/>
        </w:rPr>
      </w:pPr>
    </w:p>
    <w:p>
      <w:pPr>
        <w:jc w:val="both"/>
        <w:ind w:firstLine="447"/>
        <w:spacing w:after="0" w:line="266" w:lineRule="auto"/>
        <w:tabs>
          <w:tab w:leader="none" w:pos="92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Partial Exercise</w:t>
      </w:r>
      <w:r>
        <w:rPr>
          <w:rFonts w:ascii="Times New Roman" w:cs="Times New Roman" w:eastAsia="Times New Roman" w:hAnsi="Times New Roman"/>
          <w:sz w:val="22"/>
          <w:szCs w:val="22"/>
          <w:color w:val="auto"/>
        </w:rPr>
        <w:t>. Upon a partial exercise of this Warrant, the Company shall deliver to the Registered Holder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Exhibit A (the “</w:t>
      </w:r>
      <w:r>
        <w:rPr>
          <w:rFonts w:ascii="Times New Roman" w:cs="Times New Roman" w:eastAsia="Times New Roman" w:hAnsi="Times New Roman"/>
          <w:sz w:val="22"/>
          <w:szCs w:val="22"/>
          <w:u w:val="single" w:color="auto"/>
          <w:color w:val="auto"/>
        </w:rPr>
        <w:t>Replacement Exhibit</w:t>
      </w:r>
      <w:r>
        <w:rPr>
          <w:rFonts w:ascii="Times New Roman" w:cs="Times New Roman" w:eastAsia="Times New Roman" w:hAnsi="Times New Roman"/>
          <w:sz w:val="22"/>
          <w:szCs w:val="22"/>
          <w:color w:val="auto"/>
        </w:rPr>
        <w:t>”), which shall be integral part of this Warrant, for the remaining number of Warrant Shares for which this Warrant may then be exercised. Except as explicitly amended under the Replacement Exhibit, this Warrant shall remain in full force and effect, including all other terms and conditions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734" w:gutter="0" w:footer="0" w:header="0"/>
        </w:sectPr>
      </w:pPr>
    </w:p>
    <w:bookmarkStart w:id="182" w:name="page183"/>
    <w:bookmarkEnd w:id="182"/>
    <w:p>
      <w:pPr>
        <w:ind w:left="523" w:hanging="313"/>
        <w:spacing w:after="0"/>
        <w:tabs>
          <w:tab w:leader="none" w:pos="5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Net Issue Exercise.</w:t>
      </w:r>
    </w:p>
    <w:p>
      <w:pPr>
        <w:spacing w:after="0" w:line="283" w:lineRule="exact"/>
        <w:rPr>
          <w:rFonts w:ascii="Times New Roman" w:cs="Times New Roman" w:eastAsia="Times New Roman" w:hAnsi="Times New Roman"/>
          <w:sz w:val="18"/>
          <w:szCs w:val="18"/>
          <w:color w:val="auto"/>
        </w:rPr>
      </w:pPr>
    </w:p>
    <w:p>
      <w:pPr>
        <w:jc w:val="both"/>
        <w:ind w:left="443" w:hanging="213"/>
        <w:spacing w:after="0" w:line="258" w:lineRule="auto"/>
        <w:tabs>
          <w:tab w:leader="none" w:pos="44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exercising this Warrant and delivering payment in the manner provided in Section 2(b), the Registered Holder may elect to exercise all or any portion of this Warrant by net exercise by giving notice of such election on the purchase/exercise form appended hereto as Exhibit B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Warrant Shares computed using the following formula:</w:t>
      </w:r>
    </w:p>
    <w:p>
      <w:pPr>
        <w:spacing w:after="0" w:line="23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783"/>
        <w:spacing w:after="0"/>
        <w:rPr>
          <w:sz w:val="20"/>
          <w:szCs w:val="20"/>
          <w:color w:val="auto"/>
        </w:rPr>
      </w:pPr>
      <w:r>
        <w:rPr>
          <w:rFonts w:ascii="Times New Roman" w:cs="Times New Roman" w:eastAsia="Times New Roman" w:hAnsi="Times New Roman"/>
          <w:sz w:val="18"/>
          <w:szCs w:val="18"/>
          <w:color w:val="auto"/>
        </w:rPr>
        <w:t>A</w:t>
      </w:r>
    </w:p>
    <w:p>
      <w:pPr>
        <w:spacing w:after="0" w:line="261"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003"/>
          </w:cols>
          <w:pgMar w:left="557" w:top="252" w:right="339" w:bottom="1440" w:gutter="0" w:footer="0" w:header="0"/>
        </w:sectPr>
      </w:pPr>
    </w:p>
    <w:p>
      <w:pPr>
        <w:spacing w:after="0" w:line="225" w:lineRule="exact"/>
        <w:rPr>
          <w:sz w:val="20"/>
          <w:szCs w:val="20"/>
          <w:color w:val="auto"/>
        </w:rPr>
      </w:pPr>
    </w:p>
    <w:p>
      <w:pPr>
        <w:jc w:val="center"/>
        <w:ind w:left="223"/>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Warrant Shares to be issued to the Registered Holder.</w:t>
      </w:r>
    </w:p>
    <w:p>
      <w:pPr>
        <w:spacing w:after="0" w:line="200" w:lineRule="exact"/>
        <w:rPr>
          <w:sz w:val="20"/>
          <w:szCs w:val="20"/>
          <w:color w:val="auto"/>
        </w:rPr>
      </w:pPr>
    </w:p>
    <w:p>
      <w:pPr>
        <w:sectPr>
          <w:pgSz w:w="11900" w:h="16838" w:orient="portrait"/>
          <w:cols w:equalWidth="0" w:num="2">
            <w:col w:w="443" w:space="220"/>
            <w:col w:w="10340"/>
          </w:cols>
          <w:pgMar w:left="557" w:top="252" w:right="339" w:bottom="1440" w:gutter="0" w:footer="0" w:header="0"/>
          <w:type w:val="continuous"/>
        </w:sectPr>
      </w:pPr>
    </w:p>
    <w:p>
      <w:pPr>
        <w:spacing w:after="0" w:line="37" w:lineRule="exact"/>
        <w:rPr>
          <w:sz w:val="20"/>
          <w:szCs w:val="20"/>
          <w:color w:val="auto"/>
        </w:rPr>
      </w:pPr>
    </w:p>
    <w:p>
      <w:pPr>
        <w:jc w:val="center"/>
        <w:ind w:left="223"/>
        <w:spacing w:after="0"/>
        <w:rPr>
          <w:sz w:val="20"/>
          <w:szCs w:val="20"/>
          <w:color w:val="auto"/>
        </w:rPr>
      </w:pPr>
      <w:r>
        <w:rPr>
          <w:rFonts w:ascii="Times New Roman" w:cs="Times New Roman" w:eastAsia="Times New Roman" w:hAnsi="Times New Roman"/>
          <w:sz w:val="17"/>
          <w:szCs w:val="17"/>
          <w:color w:val="auto"/>
        </w:rPr>
        <w: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Warrant Shares purchasable under this Warrant as set out on the purchase/exercise form.</w:t>
      </w:r>
    </w:p>
    <w:p>
      <w:pPr>
        <w:spacing w:after="0" w:line="200" w:lineRule="exact"/>
        <w:rPr>
          <w:sz w:val="20"/>
          <w:szCs w:val="20"/>
          <w:color w:val="auto"/>
        </w:rPr>
      </w:pPr>
    </w:p>
    <w:p>
      <w:pPr>
        <w:sectPr>
          <w:pgSz w:w="11900" w:h="16838" w:orient="portrait"/>
          <w:cols w:equalWidth="0" w:num="2">
            <w:col w:w="443" w:space="220"/>
            <w:col w:w="10340"/>
          </w:cols>
          <w:pgMar w:left="557" w:top="252" w:right="339" w:bottom="1440" w:gutter="0" w:footer="0" w:header="0"/>
          <w:type w:val="continuous"/>
        </w:sectPr>
      </w:pPr>
    </w:p>
    <w:p>
      <w:pPr>
        <w:spacing w:after="0" w:line="37" w:lineRule="exact"/>
        <w:rPr>
          <w:sz w:val="20"/>
          <w:szCs w:val="20"/>
          <w:color w:val="auto"/>
        </w:rPr>
      </w:pPr>
    </w:p>
    <w:p>
      <w:pPr>
        <w:jc w:val="center"/>
        <w:ind w:left="203"/>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market value of one Warrant Share on the date of such net exercise.</w:t>
      </w:r>
    </w:p>
    <w:p>
      <w:pPr>
        <w:spacing w:after="0" w:line="211" w:lineRule="exact"/>
        <w:rPr>
          <w:sz w:val="20"/>
          <w:szCs w:val="20"/>
          <w:color w:val="auto"/>
        </w:rPr>
      </w:pPr>
    </w:p>
    <w:p>
      <w:pPr>
        <w:sectPr>
          <w:pgSz w:w="11900" w:h="16838" w:orient="portrait"/>
          <w:cols w:equalWidth="0" w:num="2">
            <w:col w:w="443" w:space="220"/>
            <w:col w:w="10340"/>
          </w:cols>
          <w:pgMar w:left="557" w:top="252" w:right="339" w:bottom="1440" w:gutter="0" w:footer="0" w:header="0"/>
          <w:type w:val="continuous"/>
        </w:sectPr>
      </w:pPr>
    </w:p>
    <w:p>
      <w:pPr>
        <w:spacing w:after="0" w:line="25" w:lineRule="exact"/>
        <w:rPr>
          <w:sz w:val="20"/>
          <w:szCs w:val="20"/>
          <w:color w:val="auto"/>
        </w:rPr>
      </w:pPr>
    </w:p>
    <w:p>
      <w:pPr>
        <w:jc w:val="center"/>
        <w:ind w:left="223"/>
        <w:spacing w:after="0"/>
        <w:rPr>
          <w:sz w:val="20"/>
          <w:szCs w:val="20"/>
          <w:color w:val="auto"/>
        </w:rPr>
      </w:pPr>
      <w:r>
        <w:rPr>
          <w:rFonts w:ascii="Times New Roman" w:cs="Times New Roman" w:eastAsia="Times New Roman" w:hAnsi="Times New Roman"/>
          <w:sz w:val="17"/>
          <w:szCs w:val="17"/>
          <w:color w:val="auto"/>
        </w:rPr>
        <w:t>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w:t>
      </w:r>
    </w:p>
    <w:p>
      <w:pPr>
        <w:spacing w:after="0" w:line="144" w:lineRule="exact"/>
        <w:rPr>
          <w:sz w:val="20"/>
          <w:szCs w:val="20"/>
          <w:color w:val="auto"/>
        </w:rPr>
      </w:pPr>
    </w:p>
    <w:p>
      <w:pPr>
        <w:sectPr>
          <w:pgSz w:w="11900" w:h="16838" w:orient="portrait"/>
          <w:cols w:equalWidth="0" w:num="2">
            <w:col w:w="443" w:space="220"/>
            <w:col w:w="10340"/>
          </w:cols>
          <w:pgMar w:left="557" w:top="252" w:right="339" w:bottom="1440" w:gutter="0" w:footer="0" w:header="0"/>
          <w:type w:val="continuous"/>
        </w:sectPr>
      </w:pPr>
    </w:p>
    <w:p>
      <w:pPr>
        <w:ind w:left="443" w:hanging="229"/>
        <w:spacing w:after="0" w:line="282" w:lineRule="auto"/>
        <w:rPr>
          <w:sz w:val="20"/>
          <w:szCs w:val="20"/>
          <w:color w:val="auto"/>
        </w:rPr>
      </w:pPr>
      <w:r>
        <w:rPr>
          <w:rFonts w:ascii="Times New Roman" w:cs="Times New Roman" w:eastAsia="Times New Roman" w:hAnsi="Times New Roman"/>
          <w:sz w:val="18"/>
          <w:szCs w:val="18"/>
          <w:color w:val="auto"/>
        </w:rPr>
        <w:t>(ii)For purposes of this Section 2(d), the “fair market value of Warrant Share on the date of net exercise” shall mean with respect to each Warrant Share:</w:t>
      </w:r>
    </w:p>
    <w:p>
      <w:pPr>
        <w:spacing w:after="0" w:line="162" w:lineRule="exact"/>
        <w:rPr>
          <w:sz w:val="20"/>
          <w:szCs w:val="20"/>
          <w:color w:val="auto"/>
        </w:rPr>
      </w:pPr>
    </w:p>
    <w:p>
      <w:pPr>
        <w:jc w:val="both"/>
        <w:ind w:left="443" w:firstLine="3"/>
        <w:spacing w:after="0" w:line="254" w:lineRule="auto"/>
        <w:tabs>
          <w:tab w:leader="none" w:pos="76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closing prices of the Company’s Ordinary Shares, as reported on the principal stock exchange on which the Company’s shares are traded at such time for the thirty (30) consecutive trading days immediately preceding the exercise of the Warrant; or (b) if (a) is not applicable, the fair market value of Warrant Share shall be at the per share valuation as determined by an independent third-party valuation firm within the prior twelve (12) months approved in good faith by the Company’s Board of Directors (the “Board”), unless the Company is at such time subject to a consolidation or merger of the Company with or into another corporation (other than a consolidation or merger in which the Company is the surviving entity), or any transfer of all or substantially all of the assets of the Company (a “Merger and Acquisition”), in which case the fair market value of Warrant Share shall be deemed to be the value received by the holders of Ordinary Shares pursuant to such acquisition.</w:t>
      </w:r>
    </w:p>
    <w:p>
      <w:pPr>
        <w:spacing w:after="0" w:line="241" w:lineRule="exact"/>
        <w:rPr>
          <w:rFonts w:ascii="Times New Roman" w:cs="Times New Roman" w:eastAsia="Times New Roman" w:hAnsi="Times New Roman"/>
          <w:sz w:val="18"/>
          <w:szCs w:val="18"/>
          <w:color w:val="auto"/>
        </w:rPr>
      </w:pPr>
    </w:p>
    <w:p>
      <w:pPr>
        <w:jc w:val="both"/>
        <w:ind w:left="223" w:hanging="223"/>
        <w:spacing w:after="0" w:line="257" w:lineRule="auto"/>
        <w:tabs>
          <w:tab w:leader="none" w:pos="223" w:val="left"/>
        </w:tabs>
        <w:numPr>
          <w:ilvl w:val="0"/>
          <w:numId w:val="12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exercise of the Warrant, and as a condition of such exercise, the Registered Holder shall become (if not already)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Third Amended and Restated Investors’ Rights Agreement, dated March 22, 2021, by and among the Company and the other parties named therein, as amended from time to time, a true and correct copy of which has been provided to the Registered Holder (the “Investors’ Rights Agreement”), by delivering a joinder in the form appended hereto as Exhibit D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245" w:lineRule="exact"/>
        <w:rPr>
          <w:sz w:val="20"/>
          <w:szCs w:val="20"/>
          <w:color w:val="auto"/>
        </w:rPr>
      </w:pPr>
    </w:p>
    <w:p>
      <w:pPr>
        <w:ind w:left="423"/>
        <w:spacing w:after="0"/>
        <w:tabs>
          <w:tab w:leader="none" w:pos="882"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certificate or certificates for the number of Warrant Shares to which such Registered Holder shall be entitled;</w:t>
      </w:r>
    </w:p>
    <w:p>
      <w:pPr>
        <w:sectPr>
          <w:pgSz w:w="11900" w:h="16838" w:orient="portrait"/>
          <w:cols w:equalWidth="0" w:num="1">
            <w:col w:w="11003"/>
          </w:cols>
          <w:pgMar w:left="557" w:top="252" w:right="339" w:bottom="1440" w:gutter="0" w:footer="0" w:header="0"/>
          <w:type w:val="continuous"/>
        </w:sectPr>
      </w:pPr>
    </w:p>
    <w:p>
      <w:pPr>
        <w:spacing w:after="0" w:line="287"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22"/>
          <w:szCs w:val="22"/>
          <w:color w:val="auto"/>
        </w:rPr>
        <w:t>(ii.)</w:t>
      </w:r>
    </w:p>
    <w:p>
      <w:pPr>
        <w:spacing w:after="0" w:line="287"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case such exercise is in part only, a Replacement Exhibit as provided in Section 2(c); and</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if applicable, a check payable to the Registered Holder for any cash amounts payable as described in Section 12.</w:t>
      </w:r>
    </w:p>
    <w:p>
      <w:pPr>
        <w:spacing w:after="0" w:line="155" w:lineRule="exact"/>
        <w:rPr>
          <w:sz w:val="20"/>
          <w:szCs w:val="20"/>
          <w:color w:val="auto"/>
        </w:rPr>
      </w:pPr>
    </w:p>
    <w:p>
      <w:pPr>
        <w:sectPr>
          <w:pgSz w:w="11900" w:h="16838" w:orient="portrait"/>
          <w:cols w:equalWidth="0" w:num="2">
            <w:col w:w="803" w:space="160"/>
            <w:col w:w="10040"/>
          </w:cols>
          <w:pgMar w:left="557" w:top="252" w:right="339" w:bottom="1440" w:gutter="0" w:footer="0" w:header="0"/>
          <w:type w:val="continuous"/>
        </w:sectPr>
      </w:pPr>
    </w:p>
    <w:p>
      <w:pPr>
        <w:jc w:val="both"/>
        <w:ind w:left="223" w:hanging="223"/>
        <w:spacing w:after="0" w:line="259" w:lineRule="auto"/>
        <w:tabs>
          <w:tab w:leader="none" w:pos="223" w:val="left"/>
        </w:tabs>
        <w:numPr>
          <w:ilvl w:val="0"/>
          <w:numId w:val="12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Automatic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this Warrant remains outstanding as of the Expiration Date then, at such time, this Warrant shall, automatically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187960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252" w:right="339" w:bottom="1440" w:gutter="0" w:footer="0" w:header="0"/>
          <w:type w:val="continuous"/>
        </w:sectPr>
      </w:pPr>
    </w:p>
    <w:bookmarkStart w:id="183" w:name="page184"/>
    <w:bookmarkEnd w:id="183"/>
    <w:p>
      <w:pPr>
        <w:jc w:val="both"/>
        <w:ind w:left="452" w:hanging="223"/>
        <w:spacing w:after="0" w:line="268" w:lineRule="auto"/>
        <w:tabs>
          <w:tab w:leader="none" w:pos="452" w:val="left"/>
        </w:tabs>
        <w:numPr>
          <w:ilvl w:val="1"/>
          <w:numId w:val="12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Effective Time of Exercise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exercise of this Warrant shall be deemed to have been made upon the satisfaction of all of the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At such time, the person or persons in whose name or names any certificates for Warrant Shares shall be issuable upon such exercise as provided herein shall be deemed to have become the holder or holders of record of the Warrant Shares represented by such certificates.</w:t>
      </w:r>
    </w:p>
    <w:p>
      <w:pPr>
        <w:spacing w:after="0" w:line="89" w:lineRule="exact"/>
        <w:rPr>
          <w:rFonts w:ascii="Times New Roman" w:cs="Times New Roman" w:eastAsia="Times New Roman" w:hAnsi="Times New Roman"/>
          <w:sz w:val="18"/>
          <w:szCs w:val="18"/>
          <w:b w:val="1"/>
          <w:bCs w:val="1"/>
          <w:u w:val="single" w:color="auto"/>
          <w:color w:val="auto"/>
        </w:rPr>
      </w:pPr>
    </w:p>
    <w:p>
      <w:pPr>
        <w:jc w:val="both"/>
        <w:ind w:left="452" w:hanging="223"/>
        <w:spacing w:after="0" w:line="259" w:lineRule="auto"/>
        <w:tabs>
          <w:tab w:leader="none" w:pos="452" w:val="left"/>
        </w:tabs>
        <w:numPr>
          <w:ilvl w:val="1"/>
          <w:numId w:val="12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the Warrant, and the Warrant Shares upon the exercise of the Warrant, shall be made without the deduction or withholding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taxes, levies, assessments, imposts, duties or similar charges imposed by any taxing authority (“Taxes”), unless otherwise required by law. If such deduction or withholding is so required, the Company shall pay the amount of such Taxes so imposed to the applicable taxing authority, and shall pay such additional amounts to the Registered Holder so that the Registered Holder receives the net amount after such deduction or withholding that it would have received had no such deduction or withholding been imposed.</w:t>
      </w:r>
    </w:p>
    <w:p>
      <w:pPr>
        <w:spacing w:after="0" w:line="237" w:lineRule="exact"/>
        <w:rPr>
          <w:rFonts w:ascii="Times New Roman" w:cs="Times New Roman" w:eastAsia="Times New Roman" w:hAnsi="Times New Roman"/>
          <w:sz w:val="18"/>
          <w:szCs w:val="18"/>
          <w:b w:val="1"/>
          <w:bCs w:val="1"/>
          <w:u w:val="single" w:color="auto"/>
          <w:color w:val="auto"/>
        </w:rPr>
      </w:pPr>
    </w:p>
    <w:p>
      <w:pPr>
        <w:ind w:left="212" w:hanging="212"/>
        <w:spacing w:after="0"/>
        <w:tabs>
          <w:tab w:leader="none" w:pos="21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left="-8" w:firstLine="449"/>
        <w:spacing w:after="0" w:line="272" w:lineRule="auto"/>
        <w:tabs>
          <w:tab w:leader="none" w:pos="866"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 Splits and Dividends</w:t>
      </w:r>
      <w:r>
        <w:rPr>
          <w:rFonts w:ascii="Times New Roman" w:cs="Times New Roman" w:eastAsia="Times New Roman" w:hAnsi="Times New Roman"/>
          <w:sz w:val="22"/>
          <w:szCs w:val="22"/>
          <w:color w:val="auto"/>
        </w:rPr>
        <w:t>. The Purchase Price and the number of Warrant Shares for which this Warrant remains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shall each be proportionally adjusted to reflect any share dividend, share split, reverse share split or other similar event affecting the number of outstanding Warrant Shares.</w:t>
      </w:r>
    </w:p>
    <w:p>
      <w:pPr>
        <w:spacing w:after="0" w:line="219"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865"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for Other Dividends and Distributions</w:t>
      </w:r>
      <w:r>
        <w:rPr>
          <w:rFonts w:ascii="Times New Roman" w:cs="Times New Roman" w:eastAsia="Times New Roman" w:hAnsi="Times New Roman"/>
          <w:sz w:val="22"/>
          <w:szCs w:val="22"/>
          <w:color w:val="auto"/>
        </w:rPr>
        <w:t>. In case the Company shall make or issue, or shall fix a record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for the determination of eligible holders entitled to receive, a dividend or other distribution payable with respect to the Warrant Shares that is payable in (a) securities of the Company (other than issuances with respect to which adjustment is made under Section 3(a) or Section 3(c)) or (b) assets (other than cash) which dividend or distribution is actually made (each, a “</w:t>
      </w:r>
      <w:r>
        <w:rPr>
          <w:rFonts w:ascii="Times New Roman" w:cs="Times New Roman" w:eastAsia="Times New Roman" w:hAnsi="Times New Roman"/>
          <w:sz w:val="22"/>
          <w:szCs w:val="22"/>
          <w:u w:val="single" w:color="auto"/>
          <w:color w:val="auto"/>
        </w:rPr>
        <w:t>Dividend Event</w:t>
      </w:r>
      <w:r>
        <w:rPr>
          <w:rFonts w:ascii="Times New Roman" w:cs="Times New Roman" w:eastAsia="Times New Roman" w:hAnsi="Times New Roman"/>
          <w:sz w:val="22"/>
          <w:szCs w:val="22"/>
          <w:color w:val="auto"/>
        </w:rPr>
        <w:t>”), then, and in each such case, Registered Holder, upon exercise of this Warrant at any time after such Dividend Event, shall receive, in addition to the Warrant Shares, the securities or such other assets of the Company that would have been payable to Registered Holder if Registered Holder had completed such exercise of this Warrant immediately prior to such Dividend Event.</w:t>
      </w:r>
    </w:p>
    <w:p>
      <w:pPr>
        <w:spacing w:after="0" w:line="237" w:lineRule="exact"/>
        <w:rPr>
          <w:rFonts w:ascii="Times New Roman" w:cs="Times New Roman" w:eastAsia="Times New Roman" w:hAnsi="Times New Roman"/>
          <w:sz w:val="22"/>
          <w:szCs w:val="22"/>
          <w:color w:val="auto"/>
        </w:rPr>
      </w:pPr>
    </w:p>
    <w:p>
      <w:pPr>
        <w:jc w:val="both"/>
        <w:ind w:left="-8" w:firstLine="449"/>
        <w:spacing w:after="0" w:line="259" w:lineRule="auto"/>
        <w:tabs>
          <w:tab w:leader="none" w:pos="920"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for Reorganization, Consolidation, Merger</w:t>
      </w:r>
      <w:r>
        <w:rPr>
          <w:rFonts w:ascii="Times New Roman" w:cs="Times New Roman" w:eastAsia="Times New Roman" w:hAnsi="Times New Roman"/>
          <w:sz w:val="22"/>
          <w:szCs w:val="22"/>
          <w:color w:val="auto"/>
        </w:rPr>
        <w:t>. In case of any recapitalization or reorganization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in case of a Merger and Acquisition (each, a “</w:t>
      </w:r>
      <w:r>
        <w:rPr>
          <w:rFonts w:ascii="Times New Roman" w:cs="Times New Roman" w:eastAsia="Times New Roman" w:hAnsi="Times New Roman"/>
          <w:sz w:val="22"/>
          <w:szCs w:val="22"/>
          <w:u w:val="single" w:color="auto"/>
          <w:color w:val="auto"/>
        </w:rPr>
        <w:t>Reorganization Event</w:t>
      </w:r>
      <w:r>
        <w:rPr>
          <w:rFonts w:ascii="Times New Roman" w:cs="Times New Roman" w:eastAsia="Times New Roman" w:hAnsi="Times New Roman"/>
          <w:sz w:val="22"/>
          <w:szCs w:val="22"/>
          <w:color w:val="auto"/>
        </w:rPr>
        <w:t>”), then, and in each such case, Registered Holder, upon the exercise of this Warrant after such Reorganization Event, shall be entitled to receive, in lieu of the shares or other securities and property that Registered Holder, would have been entitled to receive upon such exercise prior to such Reorganization Event, the shares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or other securities or property receivable upon the exercise of this Warrant after the consummation of such Reorganization Event.</w:t>
      </w:r>
    </w:p>
    <w:p>
      <w:pPr>
        <w:spacing w:after="0" w:line="236" w:lineRule="exact"/>
        <w:rPr>
          <w:rFonts w:ascii="Times New Roman" w:cs="Times New Roman" w:eastAsia="Times New Roman" w:hAnsi="Times New Roman"/>
          <w:sz w:val="22"/>
          <w:szCs w:val="22"/>
          <w:color w:val="auto"/>
        </w:rPr>
      </w:pPr>
    </w:p>
    <w:p>
      <w:pPr>
        <w:ind w:left="-8" w:firstLine="449"/>
        <w:spacing w:after="0" w:line="287" w:lineRule="auto"/>
        <w:tabs>
          <w:tab w:leader="none" w:pos="824"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Change Necessary</w:t>
      </w:r>
      <w:r>
        <w:rPr>
          <w:rFonts w:ascii="Times New Roman" w:cs="Times New Roman" w:eastAsia="Times New Roman" w:hAnsi="Times New Roman"/>
          <w:sz w:val="22"/>
          <w:szCs w:val="22"/>
          <w:color w:val="auto"/>
        </w:rPr>
        <w:t>. The form of this Warrant need not be changed because of any adjustment in the Purchase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 the number of Warrant Shares issuable upon its exercise.</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853"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The Company shall provide prompt notice to the Registered Holder, using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such notice at least ten (10)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shares as the Warrant Shares. The Company will also provide information requested by Registered Holder that is reasonably necessary to enable Registered Holder to comply with Registered Holder’s accounting or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84" w:name="page185"/>
    <w:bookmarkEnd w:id="184"/>
    <w:p>
      <w:pPr>
        <w:ind w:left="372" w:hanging="372"/>
        <w:spacing w:after="0"/>
        <w:tabs>
          <w:tab w:leader="none" w:pos="37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left="-8" w:firstLine="449"/>
        <w:spacing w:after="0" w:line="259" w:lineRule="auto"/>
        <w:tabs>
          <w:tab w:leader="none" w:pos="853"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Unregistered Security</w:t>
      </w:r>
      <w:r>
        <w:rPr>
          <w:rFonts w:ascii="Times New Roman" w:cs="Times New Roman" w:eastAsia="Times New Roman" w:hAnsi="Times New Roman"/>
          <w:sz w:val="22"/>
          <w:szCs w:val="22"/>
          <w:color w:val="auto"/>
        </w:rPr>
        <w:t>. Each holder of this Warrant acknowledges that, as of the date hereof, none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(including this Warrant and the Warrant Shares) have been registered under the Securities Act, and agrees not to sell, pledge, distribute, offer for sale, transfer or otherwise dispose of this Warrant or any Warrant Shares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Shares issued upon the exercise of this Warrant (and any securities issued by the Company upon conversion or exchange thereof) shall bear a legend substantially to the foregoing effect. The Warrant Shares issuable pursuant to this Warrant shall have the registration rights described in Section 7 hereto.</w:t>
      </w:r>
    </w:p>
    <w:p>
      <w:pPr>
        <w:spacing w:after="0" w:line="239" w:lineRule="exact"/>
        <w:rPr>
          <w:rFonts w:ascii="Times New Roman" w:cs="Times New Roman" w:eastAsia="Times New Roman" w:hAnsi="Times New Roman"/>
          <w:sz w:val="22"/>
          <w:szCs w:val="22"/>
          <w:color w:val="auto"/>
        </w:rPr>
      </w:pPr>
    </w:p>
    <w:p>
      <w:pPr>
        <w:jc w:val="both"/>
        <w:ind w:left="-8" w:firstLine="447"/>
        <w:spacing w:after="0" w:line="266" w:lineRule="auto"/>
        <w:tabs>
          <w:tab w:leader="none" w:pos="83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Transferability</w:t>
      </w:r>
      <w:r>
        <w:rPr>
          <w:rFonts w:ascii="Times New Roman" w:cs="Times New Roman" w:eastAsia="Times New Roman" w:hAnsi="Times New Roman"/>
          <w:sz w:val="22"/>
          <w:szCs w:val="22"/>
          <w:color w:val="auto"/>
        </w:rPr>
        <w:t>. Subject to the provisions of Section 4(a) hereof, this Warrant may be transferred and assigned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rights hereunder are transferable, in whole or in part, to an affiliate (as defined in Rule 405 under the Securities Act) of the Registered Holder upon surrender of this Warrant with a properly executed assignment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at the principal office of the Company and subject to the provisions of Section 4.a. hereof.</w:t>
      </w:r>
    </w:p>
    <w:p>
      <w:pPr>
        <w:spacing w:after="0" w:line="228" w:lineRule="exact"/>
        <w:rPr>
          <w:rFonts w:ascii="Times New Roman" w:cs="Times New Roman" w:eastAsia="Times New Roman" w:hAnsi="Times New Roman"/>
          <w:sz w:val="22"/>
          <w:szCs w:val="22"/>
          <w:color w:val="auto"/>
        </w:rPr>
      </w:pPr>
    </w:p>
    <w:p>
      <w:pPr>
        <w:jc w:val="both"/>
        <w:ind w:left="-8" w:firstLine="449"/>
        <w:spacing w:after="0" w:line="266" w:lineRule="auto"/>
        <w:tabs>
          <w:tab w:leader="none" w:pos="947"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Warrant Register</w:t>
      </w:r>
      <w:r>
        <w:rPr>
          <w:rFonts w:ascii="Times New Roman" w:cs="Times New Roman" w:eastAsia="Times New Roman" w:hAnsi="Times New Roman"/>
          <w:sz w:val="22"/>
          <w:szCs w:val="22"/>
          <w:color w:val="auto"/>
        </w:rPr>
        <w:t>. The Company will maintain a register containing the names and addresses of the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of this Warrant. Until 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45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 of the Registered Holder</w:t>
      </w:r>
      <w:r>
        <w:rPr>
          <w:rFonts w:ascii="Times New Roman" w:cs="Times New Roman" w:eastAsia="Times New Roman" w:hAnsi="Times New Roman"/>
          <w:sz w:val="22"/>
          <w:szCs w:val="22"/>
          <w:color w:val="auto"/>
        </w:rPr>
        <w:t>. The Registered Holder hereby represents and warrants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that:</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79" w:lineRule="auto"/>
        <w:tabs>
          <w:tab w:leader="none" w:pos="90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Authorization</w:t>
      </w:r>
      <w:r>
        <w:rPr>
          <w:rFonts w:ascii="Times New Roman" w:cs="Times New Roman" w:eastAsia="Times New Roman" w:hAnsi="Times New Roman"/>
          <w:sz w:val="21"/>
          <w:szCs w:val="21"/>
          <w:color w:val="auto"/>
        </w:rPr>
        <w:t>. The Registered Holder has full power and authority to enter into this Warrant. The Warrant,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and 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216" w:lineRule="exact"/>
        <w:rPr>
          <w:rFonts w:ascii="Times New Roman" w:cs="Times New Roman" w:eastAsia="Times New Roman" w:hAnsi="Times New Roman"/>
          <w:sz w:val="21"/>
          <w:szCs w:val="21"/>
          <w:color w:val="auto"/>
        </w:rPr>
      </w:pPr>
    </w:p>
    <w:p>
      <w:pPr>
        <w:jc w:val="both"/>
        <w:ind w:left="-8" w:firstLine="449"/>
        <w:spacing w:after="0" w:line="279" w:lineRule="auto"/>
        <w:tabs>
          <w:tab w:leader="none" w:pos="838"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Purchase Entirely for Own Account</w:t>
      </w:r>
      <w:r>
        <w:rPr>
          <w:rFonts w:ascii="Times New Roman" w:cs="Times New Roman" w:eastAsia="Times New Roman" w:hAnsi="Times New Roman"/>
          <w:sz w:val="21"/>
          <w:szCs w:val="21"/>
          <w:color w:val="auto"/>
        </w:rPr>
        <w:t>. This Warrant is issued to the Registered Holder in reliance upon the Registered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Holder’s representation to the Company, which by the Registered Holder’s acceptance of this Warrant, the Registered Holder hereby confirms, that the Warrant to be acquired by the Registered Holder and the Warrant Shares (and any securities issued by the Company upon conversion or exchange thereof) (collectively,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will be acquired for investment for the Registered Holder’s own account, not as a nominee or agent, and not with a view to the resale or distribution of any part thereof.</w:t>
      </w:r>
    </w:p>
    <w:p>
      <w:pPr>
        <w:spacing w:after="0" w:line="216" w:lineRule="exact"/>
        <w:rPr>
          <w:rFonts w:ascii="Times New Roman" w:cs="Times New Roman" w:eastAsia="Times New Roman" w:hAnsi="Times New Roman"/>
          <w:sz w:val="21"/>
          <w:szCs w:val="21"/>
          <w:color w:val="auto"/>
        </w:rPr>
      </w:pPr>
    </w:p>
    <w:p>
      <w:pPr>
        <w:jc w:val="both"/>
        <w:ind w:left="-8" w:firstLine="449"/>
        <w:spacing w:after="0" w:line="273" w:lineRule="auto"/>
        <w:tabs>
          <w:tab w:leader="none" w:pos="799"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Restricted Securities</w:t>
      </w:r>
      <w:r>
        <w:rPr>
          <w:rFonts w:ascii="Times New Roman" w:cs="Times New Roman" w:eastAsia="Times New Roman" w:hAnsi="Times New Roman"/>
          <w:sz w:val="21"/>
          <w:szCs w:val="21"/>
          <w:color w:val="auto"/>
        </w:rPr>
        <w:t>. The Registered Holder understands that the Securities have not been, and, other than as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herein, will not be, registered under the Securities Act, by reason of a specific exemption from the registration provisions of the Securities Act which depends upon, among other things, the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85" w:name="page186"/>
    <w:bookmarkEnd w:id="185"/>
    <w:p>
      <w:pPr>
        <w:ind w:left="-8" w:firstLine="449"/>
        <w:spacing w:after="0" w:line="287" w:lineRule="auto"/>
        <w:tabs>
          <w:tab w:leader="none" w:pos="94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Accredited Investor</w:t>
      </w:r>
      <w:r>
        <w:rPr>
          <w:rFonts w:ascii="Times New Roman" w:cs="Times New Roman" w:eastAsia="Times New Roman" w:hAnsi="Times New Roman"/>
          <w:sz w:val="22"/>
          <w:szCs w:val="22"/>
          <w:color w:val="auto"/>
        </w:rPr>
        <w:t>. The Registered Holder is an accredited investor as defined in Rule 501(a) of Regulation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under the Securities Act.</w:t>
      </w:r>
    </w:p>
    <w:p>
      <w:pPr>
        <w:spacing w:after="0" w:line="204" w:lineRule="exact"/>
        <w:rPr>
          <w:rFonts w:ascii="Times New Roman" w:cs="Times New Roman" w:eastAsia="Times New Roman" w:hAnsi="Times New Roman"/>
          <w:sz w:val="22"/>
          <w:szCs w:val="22"/>
          <w:color w:val="auto"/>
        </w:rPr>
      </w:pPr>
    </w:p>
    <w:p>
      <w:pPr>
        <w:ind w:left="812" w:hanging="371"/>
        <w:spacing w:after="0"/>
        <w:tabs>
          <w:tab w:leader="none" w:pos="81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8" w:right="20" w:firstLine="8"/>
        <w:spacing w:after="0" w:line="287" w:lineRule="auto"/>
        <w:tabs>
          <w:tab w:leader="none" w:pos="50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Warranties and Covenants of the Company</w:t>
      </w:r>
      <w:r>
        <w:rPr>
          <w:rFonts w:ascii="Times New Roman" w:cs="Times New Roman" w:eastAsia="Times New Roman" w:hAnsi="Times New Roman"/>
          <w:sz w:val="22"/>
          <w:szCs w:val="22"/>
          <w:color w:val="auto"/>
        </w:rPr>
        <w:t>. The Company hereby represents and warrants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Holder that:</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4" w:lineRule="auto"/>
        <w:tabs>
          <w:tab w:leader="none" w:pos="82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Corporate Power</w:t>
      </w:r>
      <w:r>
        <w:rPr>
          <w:rFonts w:ascii="Times New Roman" w:cs="Times New Roman" w:eastAsia="Times New Roman" w:hAnsi="Times New Roman"/>
          <w:sz w:val="22"/>
          <w:szCs w:val="22"/>
          <w:color w:val="auto"/>
        </w:rPr>
        <w:t>. The Company has full power and authority to execute, deliver and issue this Warrant. The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executed and 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228" w:lineRule="exact"/>
        <w:rPr>
          <w:rFonts w:ascii="Times New Roman" w:cs="Times New Roman" w:eastAsia="Times New Roman" w:hAnsi="Times New Roman"/>
          <w:sz w:val="22"/>
          <w:szCs w:val="22"/>
          <w:color w:val="auto"/>
        </w:rPr>
      </w:pPr>
    </w:p>
    <w:p>
      <w:pPr>
        <w:ind w:left="-8" w:firstLine="447"/>
        <w:spacing w:after="0" w:line="287" w:lineRule="auto"/>
        <w:tabs>
          <w:tab w:leader="none" w:pos="94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color w:val="auto"/>
        </w:rPr>
        <w:t>. All corporate action on the part of the Company, its directors and shareholders necessary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execution, issuance, delivery and performance by the Company of this Warrant has been taken.</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1" w:lineRule="auto"/>
        <w:tabs>
          <w:tab w:leader="none" w:pos="93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color w:val="auto"/>
        </w:rPr>
        <w:t>. The authorized share capital of the Company as of September 30, 2021 consisted of 300,000,000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145,641,073 of which were issued and outstanding as of such date. All of the outstanding shares have been duly authorized, are fully paid and nonassessable and were issued in compliance with all applicable federal and state securities laws. The Company has reserved 13,346,196 Ordinary Shares for issuance to officers, directors, employees and consultants of the Company pursuant to its equity compensation plans which have been duly adopted by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approved by the Company’s shareholders (collectively, the “</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 Of such reserved Ordinary Shares, 11,438,255 Ordinary Shares underline outstanding options.</w:t>
      </w:r>
    </w:p>
    <w:p>
      <w:pPr>
        <w:spacing w:after="0" w:line="234"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959"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Reservation of Warrant Shares</w:t>
      </w:r>
      <w:r>
        <w:rPr>
          <w:rFonts w:ascii="Times New Roman" w:cs="Times New Roman" w:eastAsia="Times New Roman" w:hAnsi="Times New Roman"/>
          <w:sz w:val="22"/>
          <w:szCs w:val="22"/>
          <w:color w:val="auto"/>
        </w:rPr>
        <w:t>. The Warrant Shares issuable upon exercise of this Warrant (and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by the Company upon conversion or exchange thereof) have been duly authorized and validly reserved by the Company and when issued in accordance with the provisions of this Warrant against the receipt of the Purchase Price or pursuant to the net exercise provision set forth in Section 2(d) hereof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Shares issuable pursuant to this Warrant may be subject to restrictions on transfer under state and/or federal securities laws and the Company’s amended and restated articles of association, as may be amended from time to time (the “</w:t>
      </w:r>
      <w:r>
        <w:rPr>
          <w:rFonts w:ascii="Times New Roman" w:cs="Times New Roman" w:eastAsia="Times New Roman" w:hAnsi="Times New Roman"/>
          <w:sz w:val="22"/>
          <w:szCs w:val="22"/>
          <w:u w:val="single" w:color="auto"/>
          <w:color w:val="auto"/>
        </w:rPr>
        <w:t>Articles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8" w:firstLine="449"/>
        <w:spacing w:after="0" w:line="262" w:lineRule="auto"/>
        <w:tabs>
          <w:tab w:leader="none" w:pos="8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Offering</w:t>
      </w:r>
      <w:r>
        <w:rPr>
          <w:rFonts w:ascii="Times New Roman" w:cs="Times New Roman" w:eastAsia="Times New Roman" w:hAnsi="Times New Roman"/>
          <w:sz w:val="22"/>
          <w:szCs w:val="22"/>
          <w:color w:val="auto"/>
        </w:rPr>
        <w:t>. Subject in part to the truth and accuracy of the Registered Holder’s representations set forth in 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the offer, issuance and sale of this Warrant is, and the issuance of the Warrant Shares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232" w:lineRule="exact"/>
        <w:rPr>
          <w:rFonts w:ascii="Times New Roman" w:cs="Times New Roman" w:eastAsia="Times New Roman" w:hAnsi="Times New Roman"/>
          <w:sz w:val="22"/>
          <w:szCs w:val="22"/>
          <w:color w:val="auto"/>
        </w:rPr>
      </w:pPr>
    </w:p>
    <w:p>
      <w:pPr>
        <w:jc w:val="both"/>
        <w:ind w:left="-8" w:firstLine="449"/>
        <w:spacing w:after="0" w:line="258" w:lineRule="auto"/>
        <w:tabs>
          <w:tab w:leader="none" w:pos="91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Charter Documents</w:t>
      </w:r>
      <w:r>
        <w:rPr>
          <w:rFonts w:ascii="Times New Roman" w:cs="Times New Roman" w:eastAsia="Times New Roman" w:hAnsi="Times New Roman"/>
          <w:sz w:val="22"/>
          <w:szCs w:val="22"/>
          <w:color w:val="auto"/>
        </w:rPr>
        <w:t>. The Company has provided the Registered Holder true and complete copies of the Articles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Original Issuance Date. The Company shall not by amendment of the Articles or through a reorganization, transfer or sale of assets, consolidation, merger, dissolution, issue or sale of securities or any other voluntary action, avoid or seek to avoid the observance or performance of any of the terms to be observed or performed under this Warrant, but shall at all times in good faith reasonably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if the Articles are amended or waived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Shares; provided, however, that, notwithstanding the foregoing, the Company shall not impose any restrictions on the transferability or alienability of the Warrant Shares other than (x) as may be in effect as of the Original Issuance Date or (y) contemplated under the Articles, in each case, without the written consent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86" w:name="page187"/>
    <w:bookmarkEnd w:id="186"/>
    <w:p>
      <w:pPr>
        <w:ind w:left="820" w:hanging="371"/>
        <w:spacing w:after="0"/>
        <w:tabs>
          <w:tab w:leader="none" w:pos="8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Registration Rights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22"/>
          <w:szCs w:val="22"/>
          <w:color w:val="auto"/>
        </w:rPr>
        <w:t>The Warrant Shares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Original Issuance Date may not be amended, modified or waived by the Company without the prior written consent of the Registered Holder unless such amendment, modification or waiver affects the rights under the Investors’ Rights Agreement associated with the Warrant Shares in the same manner as such amendment, modification, or waiver affects the rights under the Investors’ Rights Agreement associated with all other shares of the same series and class of Warrant Shares.</w:t>
      </w:r>
    </w:p>
    <w:p>
      <w:pPr>
        <w:spacing w:after="0" w:line="238" w:lineRule="exact"/>
        <w:rPr>
          <w:sz w:val="20"/>
          <w:szCs w:val="20"/>
          <w:color w:val="auto"/>
        </w:rPr>
      </w:pPr>
    </w:p>
    <w:p>
      <w:pPr>
        <w:ind w:firstLine="8"/>
        <w:spacing w:after="0" w:line="287" w:lineRule="auto"/>
        <w:tabs>
          <w:tab w:leader="none" w:pos="44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This Warrant (and the right to purchase securities upon exercise hereof) shall terminate upon the earliest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 of the following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73" w:lineRule="exact"/>
        <w:rPr>
          <w:rFonts w:ascii="Times New Roman" w:cs="Times New Roman" w:eastAsia="Times New Roman" w:hAnsi="Times New Roman"/>
          <w:sz w:val="22"/>
          <w:szCs w:val="22"/>
          <w:color w:val="auto"/>
        </w:rPr>
      </w:pPr>
    </w:p>
    <w:p>
      <w:pPr>
        <w:ind w:left="760" w:hanging="311"/>
        <w:spacing w:after="0"/>
        <w:tabs>
          <w:tab w:leader="none" w:pos="7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(10th) anniversary of the Original Issuance Date, or</w:t>
      </w:r>
    </w:p>
    <w:p>
      <w:pPr>
        <w:spacing w:after="0" w:line="287" w:lineRule="exact"/>
        <w:rPr>
          <w:rFonts w:ascii="Times New Roman" w:cs="Times New Roman" w:eastAsia="Times New Roman" w:hAnsi="Times New Roman"/>
          <w:sz w:val="22"/>
          <w:szCs w:val="22"/>
          <w:color w:val="auto"/>
        </w:rPr>
      </w:pPr>
    </w:p>
    <w:p>
      <w:pPr>
        <w:ind w:right="1000" w:firstLine="449"/>
        <w:spacing w:after="0" w:line="284" w:lineRule="auto"/>
        <w:tabs>
          <w:tab w:leader="none" w:pos="76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consummation of a Merger and Acquisition or a Liquidation Event (as defined in the Company’s Articles)</w:t>
      </w:r>
    </w:p>
    <w:p>
      <w:pPr>
        <w:spacing w:after="0" w:line="20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Registered Holder shall be given reasonable notice of such Merger and Acquisition or Liquidation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Company shall use commercially reasonable efforts to provide such notice at least ten (10) business days in advance of the consummation of the Merger and Acquisition or Liquidation Event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the opportunity to exercise this Warrant prior to or concurrently with the consummation of such Merger and Acquisition or Liquidation Event.</w:t>
      </w:r>
    </w:p>
    <w:p>
      <w:pPr>
        <w:spacing w:after="0" w:line="228" w:lineRule="exact"/>
        <w:rPr>
          <w:sz w:val="20"/>
          <w:szCs w:val="20"/>
          <w:color w:val="auto"/>
        </w:rPr>
      </w:pPr>
    </w:p>
    <w:p>
      <w:pPr>
        <w:ind w:left="380" w:hanging="372"/>
        <w:spacing w:after="0"/>
        <w:tabs>
          <w:tab w:leader="none" w:pos="3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 of Certain Transactions</w:t>
      </w:r>
      <w:r>
        <w:rPr>
          <w:rFonts w:ascii="Times New Roman" w:cs="Times New Roman" w:eastAsia="Times New Roman" w:hAnsi="Times New Roman"/>
          <w:sz w:val="22"/>
          <w:szCs w:val="22"/>
          <w:color w:val="auto"/>
        </w:rPr>
        <w:t>. In case:</w:t>
      </w:r>
    </w:p>
    <w:p>
      <w:pPr>
        <w:spacing w:after="0" w:line="291" w:lineRule="exact"/>
        <w:rPr>
          <w:rFonts w:ascii="Times New Roman" w:cs="Times New Roman" w:eastAsia="Times New Roman" w:hAnsi="Times New Roman"/>
          <w:sz w:val="22"/>
          <w:szCs w:val="22"/>
          <w:color w:val="auto"/>
        </w:rPr>
      </w:pPr>
    </w:p>
    <w:p>
      <w:pPr>
        <w:jc w:val="both"/>
        <w:ind w:firstLine="511"/>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shall take a record of the holders of its outstanding shares of the same class as the Warrant Shares (or other shares or securities at the time deliverable upon the exercise of this Warrant) for the purpose of entitling or enabling them to receive any dividend or other distribution, or to receive any right to subscribe for or purchase any shares of any class or any other securities, or to receive any other right, or</w:t>
      </w:r>
    </w:p>
    <w:p>
      <w:pPr>
        <w:spacing w:after="0" w:line="232" w:lineRule="exact"/>
        <w:rPr>
          <w:rFonts w:ascii="Times New Roman" w:cs="Times New Roman" w:eastAsia="Times New Roman" w:hAnsi="Times New Roman"/>
          <w:sz w:val="22"/>
          <w:szCs w:val="22"/>
          <w:color w:val="auto"/>
        </w:rPr>
      </w:pPr>
    </w:p>
    <w:p>
      <w:pPr>
        <w:jc w:val="both"/>
        <w:ind w:firstLine="48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of any capital reorganization of the Company, any reclassification of the share capital of the Company, any consolidation or merger of the Company, any Merger and Acquisition or any Liquidation Event 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shares of the same class as the Warrant Shares (or such other shares or securities at the time deliverable upon such reorganization, reclassification, consolidation, merger, transfer, dissolution, liquidation, winding--up, redemption or conversion) are to be determined. Such notice shall be mailed at least ten (10) business days prior to the record date or effective date for the event specified in such notice. In addition, the Company shall use commercially reasonable efforts to provide the Registered Holder with prompt written notice of any amendment to the term “Merger and Acquisition” set forth in the Articles.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as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87" w:name="page188"/>
    <w:bookmarkEnd w:id="187"/>
    <w:p>
      <w:pPr>
        <w:jc w:val="both"/>
        <w:ind w:left="-8" w:firstLine="8"/>
        <w:spacing w:after="0" w:line="266" w:lineRule="auto"/>
        <w:tabs>
          <w:tab w:leader="none" w:pos="4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Replacement of Warrants</w:t>
      </w:r>
      <w:r>
        <w:rPr>
          <w:rFonts w:ascii="Times New Roman" w:cs="Times New Roman" w:eastAsia="Times New Roman" w:hAnsi="Times New Roman"/>
          <w:sz w:val="22"/>
          <w:szCs w:val="22"/>
          <w:color w:val="auto"/>
        </w:rPr>
        <w:t>. Upon receipt of evidence reasonably satisfactory to the Company of the loss, theft, destruction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52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Rights as Shareholder</w:t>
      </w:r>
      <w:r>
        <w:rPr>
          <w:rFonts w:ascii="Times New Roman" w:cs="Times New Roman" w:eastAsia="Times New Roman" w:hAnsi="Times New Roman"/>
          <w:sz w:val="22"/>
          <w:szCs w:val="22"/>
          <w:color w:val="auto"/>
        </w:rPr>
        <w:t>. Until and to the extent of the exercise of this Warrant, the Registered Holder of this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have or exercise any rights by virtue hereof as a shareholder of the Company.</w:t>
      </w:r>
    </w:p>
    <w:p>
      <w:pPr>
        <w:spacing w:after="0" w:line="204" w:lineRule="exact"/>
        <w:rPr>
          <w:rFonts w:ascii="Times New Roman" w:cs="Times New Roman" w:eastAsia="Times New Roman" w:hAnsi="Times New Roman"/>
          <w:sz w:val="22"/>
          <w:szCs w:val="22"/>
          <w:color w:val="auto"/>
        </w:rPr>
      </w:pPr>
    </w:p>
    <w:p>
      <w:pPr>
        <w:jc w:val="both"/>
        <w:ind w:left="-8" w:firstLine="8"/>
        <w:spacing w:after="0" w:line="266" w:lineRule="auto"/>
        <w:tabs>
          <w:tab w:leader="none" w:pos="5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Fractional Shares</w:t>
      </w:r>
      <w:r>
        <w:rPr>
          <w:rFonts w:ascii="Times New Roman" w:cs="Times New Roman" w:eastAsia="Times New Roman" w:hAnsi="Times New Roman"/>
          <w:sz w:val="22"/>
          <w:szCs w:val="22"/>
          <w:color w:val="auto"/>
        </w:rPr>
        <w:t>. No fractional Warrant Shares will be issued in connection with any exercise hereunder. In lieu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fractional shares which would otherwise be issuable, the Company shall pay cash equal to the product of such fraction multiplied by the fair market value of one Warrant Share on the date of exercise, as determined in accordance with Section 2(d) (ii).</w:t>
      </w:r>
    </w:p>
    <w:p>
      <w:pPr>
        <w:spacing w:after="0" w:line="228" w:lineRule="exact"/>
        <w:rPr>
          <w:rFonts w:ascii="Times New Roman" w:cs="Times New Roman" w:eastAsia="Times New Roman" w:hAnsi="Times New Roman"/>
          <w:sz w:val="22"/>
          <w:szCs w:val="22"/>
          <w:color w:val="auto"/>
        </w:rPr>
      </w:pPr>
    </w:p>
    <w:p>
      <w:pPr>
        <w:ind w:left="-8" w:firstLine="8"/>
        <w:spacing w:after="0" w:line="287" w:lineRule="auto"/>
        <w:tabs>
          <w:tab w:leader="none" w:pos="57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Survival of Representations</w:t>
      </w:r>
      <w:r>
        <w:rPr>
          <w:rFonts w:ascii="Times New Roman" w:cs="Times New Roman" w:eastAsia="Times New Roman" w:hAnsi="Times New Roman"/>
          <w:sz w:val="22"/>
          <w:szCs w:val="22"/>
          <w:color w:val="auto"/>
        </w:rPr>
        <w:t>. Unless otherwise set forth in this Warrant, the representations, warranties and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or made pursuant to this Warrant shall survive the execution and delivery of this Warrant.</w:t>
      </w:r>
    </w:p>
    <w:p>
      <w:pPr>
        <w:spacing w:after="0" w:line="204" w:lineRule="exact"/>
        <w:rPr>
          <w:rFonts w:ascii="Times New Roman" w:cs="Times New Roman" w:eastAsia="Times New Roman" w:hAnsi="Times New Roman"/>
          <w:sz w:val="22"/>
          <w:szCs w:val="22"/>
          <w:color w:val="auto"/>
        </w:rPr>
      </w:pPr>
    </w:p>
    <w:p>
      <w:pPr>
        <w:jc w:val="both"/>
        <w:ind w:left="-8" w:firstLine="8"/>
        <w:spacing w:after="0" w:line="272" w:lineRule="auto"/>
        <w:tabs>
          <w:tab w:leader="none" w:pos="47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Attorney’s Fees</w:t>
      </w:r>
      <w:r>
        <w:rPr>
          <w:rFonts w:ascii="Times New Roman" w:cs="Times New Roman" w:eastAsia="Times New Roman" w:hAnsi="Times New Roman"/>
          <w:sz w:val="22"/>
          <w:szCs w:val="22"/>
          <w:color w:val="auto"/>
        </w:rPr>
        <w:t>. If any action at law or in equity (including arbitration) is necessary to enforce or interpret the terms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Warrant, the prevailing party shall be entitled to reasonable attorney’s fees, costs and necessary disbursements in addition to any other relief to which such party may be entitled.</w:t>
      </w:r>
    </w:p>
    <w:p>
      <w:pPr>
        <w:spacing w:after="0" w:line="219" w:lineRule="exact"/>
        <w:rPr>
          <w:rFonts w:ascii="Times New Roman" w:cs="Times New Roman" w:eastAsia="Times New Roman" w:hAnsi="Times New Roman"/>
          <w:sz w:val="22"/>
          <w:szCs w:val="22"/>
          <w:color w:val="auto"/>
        </w:rPr>
      </w:pPr>
    </w:p>
    <w:p>
      <w:pPr>
        <w:ind w:left="492" w:hanging="492"/>
        <w:spacing w:after="0"/>
        <w:tabs>
          <w:tab w:leader="none" w:pos="49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left="-8" w:firstLine="449"/>
        <w:spacing w:after="0" w:line="272" w:lineRule="auto"/>
        <w:tabs>
          <w:tab w:leader="none" w:pos="79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Warrant, and all acts and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hereto and the rights and obligations of the parties hereto shall be governed, construed and interpreted in accordance with the laws of the state of New York, without giving effect to principles of conflicts of law.</w:t>
      </w:r>
    </w:p>
    <w:p>
      <w:pPr>
        <w:spacing w:after="0" w:line="219" w:lineRule="exact"/>
        <w:rPr>
          <w:rFonts w:ascii="Times New Roman" w:cs="Times New Roman" w:eastAsia="Times New Roman" w:hAnsi="Times New Roman"/>
          <w:sz w:val="22"/>
          <w:szCs w:val="22"/>
          <w:color w:val="auto"/>
        </w:rPr>
      </w:pPr>
    </w:p>
    <w:p>
      <w:pPr>
        <w:ind w:left="-8" w:firstLine="449"/>
        <w:spacing w:after="0" w:line="287" w:lineRule="auto"/>
        <w:tabs>
          <w:tab w:leader="none" w:pos="81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Jurisdiction and Venue</w:t>
      </w:r>
      <w:r>
        <w:rPr>
          <w:rFonts w:ascii="Times New Roman" w:cs="Times New Roman" w:eastAsia="Times New Roman" w:hAnsi="Times New Roman"/>
          <w:sz w:val="22"/>
          <w:szCs w:val="22"/>
          <w:color w:val="auto"/>
        </w:rPr>
        <w:t>. With respect to any conflicts arising out of or related to this Warrant, the parties consent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jurisdiction of, and venue in, the competent courts in New York.</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72" w:lineRule="auto"/>
        <w:tabs>
          <w:tab w:leader="none" w:pos="81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Warrant sets forth the entire agreement and understanding of the parties relating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herein and supersedes all prior or contemporaneous discussions, understandings and agreements, whether oral or written, between them relating to the subject matter hereof.</w:t>
      </w:r>
    </w:p>
    <w:p>
      <w:pPr>
        <w:spacing w:after="0" w:line="219" w:lineRule="exact"/>
        <w:rPr>
          <w:rFonts w:ascii="Times New Roman" w:cs="Times New Roman" w:eastAsia="Times New Roman" w:hAnsi="Times New Roman"/>
          <w:sz w:val="22"/>
          <w:szCs w:val="22"/>
          <w:color w:val="auto"/>
        </w:rPr>
      </w:pPr>
    </w:p>
    <w:p>
      <w:pPr>
        <w:jc w:val="both"/>
        <w:ind w:left="-8" w:firstLine="449"/>
        <w:spacing w:after="0" w:line="266" w:lineRule="auto"/>
        <w:tabs>
          <w:tab w:leader="none" w:pos="10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 Other than in connection with the delivery of a Replacement Exhibit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2.c, no modification of or amendment to this 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228" w:lineRule="exact"/>
        <w:rPr>
          <w:rFonts w:ascii="Times New Roman" w:cs="Times New Roman" w:eastAsia="Times New Roman" w:hAnsi="Times New Roman"/>
          <w:sz w:val="22"/>
          <w:szCs w:val="22"/>
          <w:color w:val="auto"/>
        </w:rPr>
      </w:pPr>
    </w:p>
    <w:p>
      <w:pPr>
        <w:ind w:left="-8" w:firstLine="449"/>
        <w:spacing w:after="0" w:line="287" w:lineRule="auto"/>
        <w:tabs>
          <w:tab w:leader="none" w:pos="83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rights and obligations of the Company and the Registered Holder shall be binding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benefit the respective successors, assigns and permitted transferees of the parties.</w:t>
      </w:r>
    </w:p>
    <w:p>
      <w:pPr>
        <w:spacing w:after="0" w:line="204" w:lineRule="exact"/>
        <w:rPr>
          <w:rFonts w:ascii="Times New Roman" w:cs="Times New Roman" w:eastAsia="Times New Roman" w:hAnsi="Times New Roman"/>
          <w:sz w:val="22"/>
          <w:szCs w:val="22"/>
          <w:color w:val="auto"/>
        </w:rPr>
      </w:pPr>
    </w:p>
    <w:p>
      <w:pPr>
        <w:jc w:val="both"/>
        <w:ind w:left="-8" w:firstLine="449"/>
        <w:spacing w:after="0" w:line="260" w:lineRule="auto"/>
        <w:tabs>
          <w:tab w:leader="none" w:pos="775"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demand or request required or permitted to be given under this Warrant shall be in writing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delivered personally, 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2" w:right="339" w:bottom="1440" w:gutter="0" w:footer="0" w:header="0"/>
        </w:sectPr>
      </w:pPr>
    </w:p>
    <w:bookmarkStart w:id="188" w:name="page189"/>
    <w:bookmarkEnd w:id="188"/>
    <w:p>
      <w:pPr>
        <w:jc w:val="both"/>
        <w:ind w:firstLine="447"/>
        <w:spacing w:after="0" w:line="264" w:lineRule="auto"/>
        <w:tabs>
          <w:tab w:leader="none" w:pos="8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Warrant becomes or is declared by a court of competent jurisdiction to be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or void, 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228" w:lineRule="exact"/>
        <w:rPr>
          <w:rFonts w:ascii="Times New Roman" w:cs="Times New Roman" w:eastAsia="Times New Roman" w:hAnsi="Times New Roman"/>
          <w:sz w:val="22"/>
          <w:szCs w:val="22"/>
          <w:color w:val="auto"/>
        </w:rPr>
      </w:pPr>
    </w:p>
    <w:p>
      <w:pPr>
        <w:jc w:val="both"/>
        <w:ind w:firstLine="449"/>
        <w:spacing w:after="0" w:line="272" w:lineRule="auto"/>
        <w:tabs>
          <w:tab w:leader="none" w:pos="85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This Warrant is the result of negotiations between and has been reviewed by each of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counsel, if any; accordingly, this Warrant shall be deemed to be the product of all of the parties hereto, and no ambiguity shall be construed in favor of or against any one of the parties hereto.</w:t>
      </w:r>
    </w:p>
    <w:p>
      <w:pPr>
        <w:spacing w:after="0" w:line="219" w:lineRule="exact"/>
        <w:rPr>
          <w:rFonts w:ascii="Times New Roman" w:cs="Times New Roman" w:eastAsia="Times New Roman" w:hAnsi="Times New Roman"/>
          <w:sz w:val="22"/>
          <w:szCs w:val="22"/>
          <w:color w:val="auto"/>
        </w:rPr>
      </w:pPr>
    </w:p>
    <w:p>
      <w:pPr>
        <w:ind w:right="20" w:firstLine="449"/>
        <w:spacing w:after="0" w:line="287" w:lineRule="auto"/>
        <w:tabs>
          <w:tab w:leader="none" w:pos="82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Titles and Subtitles</w:t>
      </w:r>
      <w:r>
        <w:rPr>
          <w:rFonts w:ascii="Times New Roman" w:cs="Times New Roman" w:eastAsia="Times New Roman" w:hAnsi="Times New Roman"/>
          <w:sz w:val="22"/>
          <w:szCs w:val="22"/>
          <w:color w:val="auto"/>
        </w:rPr>
        <w:t>. The titles and subtitles used in this Warrant are included for convenience only and are not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in construing or interpreting this Warrant.</w:t>
      </w:r>
    </w:p>
    <w:p>
      <w:pPr>
        <w:spacing w:after="0" w:line="204" w:lineRule="exact"/>
        <w:rPr>
          <w:rFonts w:ascii="Times New Roman" w:cs="Times New Roman" w:eastAsia="Times New Roman" w:hAnsi="Times New Roman"/>
          <w:sz w:val="22"/>
          <w:szCs w:val="22"/>
          <w:color w:val="auto"/>
        </w:rPr>
      </w:pPr>
    </w:p>
    <w:p>
      <w:pPr>
        <w:ind w:right="20" w:firstLine="449"/>
        <w:spacing w:after="0" w:line="287" w:lineRule="auto"/>
        <w:tabs>
          <w:tab w:leader="none" w:pos="77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Warrant may be executed in any number of counterparts, each of which shall be deemed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of which together shall constitute one and the same instrument.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89" w:name="page190"/>
    <w:bookmarkEnd w:id="189"/>
    <w:p>
      <w:pPr>
        <w:ind w:firstLine="441"/>
        <w:spacing w:after="0" w:line="284" w:lineRule="auto"/>
        <w:rPr>
          <w:sz w:val="20"/>
          <w:szCs w:val="20"/>
          <w:color w:val="auto"/>
        </w:rPr>
      </w:pPr>
      <w:r>
        <w:rPr>
          <w:rFonts w:ascii="Times New Roman" w:cs="Times New Roman" w:eastAsia="Times New Roman" w:hAnsi="Times New Roman"/>
          <w:sz w:val="22"/>
          <w:szCs w:val="22"/>
          <w:color w:val="auto"/>
        </w:rPr>
        <w:t>IN WITNESS WHEREOF, the Company and the Registered Holder have executed this Warrant as of the date first set forth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GLOBAL-E ONLINE LTD.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428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25 Basel Street, Petah Tikva, 4951038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legal@global-e.com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REGISTERED HOLDER: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STRATEGIC HOLDINGS LLC</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14306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14306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96" w:right="479" w:bottom="1440" w:gutter="0" w:footer="0" w:header="0"/>
        </w:sectPr>
      </w:pPr>
    </w:p>
    <w:bookmarkStart w:id="190" w:name="page191"/>
    <w:bookmarkEnd w:id="19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NUMBER OF WARRANT SHARES</w:t>
      </w:r>
    </w:p>
    <w:p>
      <w:pPr>
        <w:spacing w:after="0" w:line="291"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22"/>
          <w:szCs w:val="22"/>
          <w:color w:val="auto"/>
        </w:rPr>
        <w:t xml:space="preserve">Up to an aggregate of 738,081 Ordinary Shares (subject to adjustment as provided in the Warrant to which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attached), which will vest and become exercisable as follows:</w:t>
      </w:r>
    </w:p>
    <w:p>
      <w:pPr>
        <w:spacing w:after="0" w:line="207"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246,027 Ordinary Shares on the date during the Term that [***]</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246,027 Ordinary Shares on the date during the Term that [***]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246,027 Ordinary Shares on the date during the Term [***]</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“Customer Order” means an order utilizing the Flow Merchant Offering or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“Flow Merchant Offerings” has the meaning set forth in Section 2.2 of the Master Services Agreement.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“Merchant Offerings” is the offering set forth in Section 2.2 of the Master Service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22"/>
          <w:szCs w:val="22"/>
          <w:color w:val="auto"/>
        </w:rPr>
        <w:t>“Master Services Agreement” means that certain Master Services Agreement effective as of January 3, 2022 (the “Effective Date”), between Shopify Inc., the Company and Flow Inc., as amended and restated from time to time.</w:t>
      </w:r>
    </w:p>
    <w:p>
      <w:pPr>
        <w:spacing w:after="0" w:line="2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“Term” means the Initial Term together with all Renewal Terms. The” Initial Term” means the period commencing with the Effective Date and ending on the third anniversary thereof, unless sooner terminated pursuant to the Master Services Agreement. The “Renewal Terms” means each successive 1-year period after the Initial Term (and each Renewal Term), unless terminated in accordance with the Master Services Agreement.</w:t>
      </w:r>
    </w:p>
    <w:p>
      <w:pPr>
        <w:spacing w:after="0" w:line="23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2"/>
          <w:szCs w:val="22"/>
          <w:color w:val="auto"/>
        </w:rPr>
        <w:t>Notwithstanding anything herein to the contrary, the vesting of the Ordinary Shares underlying this warrant shall be accelerated such that the Ordinary Shares shall be fully vested and exercisable effective upon the earlier of (i) termination of the Master Services Agreement by the Company in accordance with the Master Services Agreement, or (ii) immediately prior to a Merger and Acquisition or a Liquidation Event.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used herein without definition will have the meanings assigned thereto in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2" w:right="4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86"/>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Exhibit B</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PURCHASE/EXERCISE FORM</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To:</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Global-E Online Ltd.</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vMerge w:val="restart"/>
          </w:tcPr>
          <w:p>
            <w:pPr>
              <w:ind w:left="1740"/>
              <w:spacing w:after="0"/>
              <w:rPr>
                <w:sz w:val="20"/>
                <w:szCs w:val="20"/>
                <w:color w:val="auto"/>
              </w:rPr>
            </w:pPr>
            <w:r>
              <w:rPr>
                <w:rFonts w:ascii="Times New Roman" w:cs="Times New Roman" w:eastAsia="Times New Roman" w:hAnsi="Times New Roman"/>
                <w:sz w:val="22"/>
                <w:szCs w:val="22"/>
                <w:color w:val="auto"/>
                <w:w w:val="95"/>
              </w:rPr>
              <w:t>Dated:</w:t>
            </w:r>
          </w:p>
        </w:tc>
        <w:tc>
          <w:tcPr>
            <w:tcW w:w="0" w:type="dxa"/>
            <w:vAlign w:val="bottom"/>
          </w:tcPr>
          <w:p>
            <w:pPr>
              <w:spacing w:after="0"/>
              <w:rPr>
                <w:sz w:val="1"/>
                <w:szCs w:val="1"/>
                <w:color w:val="auto"/>
              </w:rPr>
            </w:pPr>
          </w:p>
        </w:tc>
      </w:tr>
      <w:tr>
        <w:trPr>
          <w:trHeight w:val="258"/>
        </w:trPr>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auto"/>
                <w:w w:val="97"/>
              </w:rPr>
              <w:t>The undersigned, pursuant to the provisions set forth in the attached Warrant No.</w:t>
            </w:r>
          </w:p>
        </w:tc>
        <w:tc>
          <w:tcPr>
            <w:tcW w:w="420" w:type="dxa"/>
            <w:vAlign w:val="bottom"/>
            <w:tcBorders>
              <w:bottom w:val="single" w:sz="8" w:color="auto"/>
            </w:tcBorders>
          </w:tcPr>
          <w:p>
            <w:pPr>
              <w:spacing w:after="0"/>
              <w:rPr>
                <w:sz w:val="19"/>
                <w:szCs w:val="19"/>
                <w:color w:val="auto"/>
              </w:rPr>
            </w:pPr>
          </w:p>
        </w:tc>
        <w:tc>
          <w:tcPr>
            <w:tcW w:w="382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 hereby irrevocably elects to:</w:t>
            </w:r>
          </w:p>
        </w:tc>
        <w:tc>
          <w:tcPr>
            <w:tcW w:w="0" w:type="dxa"/>
            <w:vAlign w:val="bottom"/>
          </w:tcPr>
          <w:p>
            <w:pPr>
              <w:spacing w:after="0"/>
              <w:rPr>
                <w:sz w:val="1"/>
                <w:szCs w:val="1"/>
                <w:color w:val="auto"/>
              </w:rPr>
            </w:pPr>
          </w:p>
        </w:tc>
      </w:tr>
      <w:tr>
        <w:trPr>
          <w:trHeight w:val="480"/>
        </w:trPr>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purchase</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shares of the capital stock covered by such Warrant and herewith makes payment of $</w:t>
            </w:r>
          </w:p>
        </w:tc>
        <w:tc>
          <w:tcPr>
            <w:tcW w:w="360" w:type="dxa"/>
            <w:vAlign w:val="bottom"/>
          </w:tcPr>
          <w:p>
            <w:pPr>
              <w:spacing w:after="0"/>
              <w:rPr>
                <w:sz w:val="24"/>
                <w:szCs w:val="24"/>
                <w:color w:val="auto"/>
              </w:rPr>
            </w:pPr>
          </w:p>
        </w:tc>
        <w:tc>
          <w:tcPr>
            <w:tcW w:w="2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representing the full purchase</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vMerge w:val="continue"/>
          </w:tcPr>
          <w:p>
            <w:pPr>
              <w:spacing w:after="0"/>
              <w:rPr>
                <w:sz w:val="20"/>
                <w:szCs w:val="20"/>
                <w:color w:val="auto"/>
              </w:rPr>
            </w:pPr>
          </w:p>
        </w:tc>
        <w:tc>
          <w:tcPr>
            <w:tcW w:w="694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price for such shares at the price per share provided for in such Warrant,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OR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net exercise such Warrant for</w:t>
            </w:r>
          </w:p>
        </w:tc>
        <w:tc>
          <w:tcPr>
            <w:tcW w:w="7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shares purchasable under the Warrant pursuant to the Net Issue Exercise provisions of Section 2(d) of such</w:t>
            </w: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The undersigned acknowledges that it has reviewed the representations and warranties of the Registered Holder set forth in the Warrant and by its signature below hereby makes such representations and warranties to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terms contained in this form shall have the meanings assigned to them in the Warrant.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 TO BY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Strategic Holdings LLC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5138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86"/>
        </w:trPr>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3"/>
          </w:tcPr>
          <w:p>
            <w:pPr>
              <w:jc w:val="center"/>
              <w:ind w:right="1580"/>
              <w:spacing w:after="0"/>
              <w:rPr>
                <w:sz w:val="20"/>
                <w:szCs w:val="20"/>
                <w:color w:val="auto"/>
              </w:rPr>
            </w:pPr>
            <w:r>
              <w:rPr>
                <w:rFonts w:ascii="Times New Roman" w:cs="Times New Roman" w:eastAsia="Times New Roman" w:hAnsi="Times New Roman"/>
                <w:sz w:val="22"/>
                <w:szCs w:val="22"/>
                <w:b w:val="1"/>
                <w:bCs w:val="1"/>
                <w:color w:val="auto"/>
                <w:w w:val="98"/>
              </w:rPr>
              <w:t>Exhibit C</w:t>
            </w:r>
          </w:p>
        </w:tc>
        <w:tc>
          <w:tcPr>
            <w:tcW w:w="2340" w:type="dxa"/>
            <w:vAlign w:val="bottom"/>
          </w:tcPr>
          <w:p>
            <w:pPr>
              <w:spacing w:after="0"/>
              <w:rPr>
                <w:sz w:val="24"/>
                <w:szCs w:val="24"/>
                <w:color w:val="auto"/>
              </w:rPr>
            </w:pPr>
          </w:p>
        </w:tc>
      </w:tr>
      <w:tr>
        <w:trPr>
          <w:trHeight w:val="540"/>
        </w:trPr>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3"/>
          </w:tcPr>
          <w:p>
            <w:pPr>
              <w:jc w:val="center"/>
              <w:ind w:right="1600"/>
              <w:spacing w:after="0"/>
              <w:rPr>
                <w:sz w:val="20"/>
                <w:szCs w:val="20"/>
                <w:color w:val="auto"/>
              </w:rPr>
            </w:pPr>
            <w:r>
              <w:rPr>
                <w:rFonts w:ascii="Times New Roman" w:cs="Times New Roman" w:eastAsia="Times New Roman" w:hAnsi="Times New Roman"/>
                <w:sz w:val="22"/>
                <w:szCs w:val="22"/>
                <w:b w:val="1"/>
                <w:bCs w:val="1"/>
                <w:color w:val="auto"/>
                <w:w w:val="97"/>
              </w:rPr>
              <w:t>ASSIGNMENT FORM</w:t>
            </w:r>
          </w:p>
        </w:tc>
        <w:tc>
          <w:tcPr>
            <w:tcW w:w="2340" w:type="dxa"/>
            <w:vAlign w:val="bottom"/>
          </w:tcPr>
          <w:p>
            <w:pPr>
              <w:spacing w:after="0"/>
              <w:rPr>
                <w:sz w:val="24"/>
                <w:szCs w:val="24"/>
                <w:color w:val="auto"/>
              </w:rPr>
            </w:pPr>
          </w:p>
        </w:tc>
      </w:tr>
      <w:tr>
        <w:trPr>
          <w:trHeight w:val="488"/>
        </w:trPr>
        <w:tc>
          <w:tcPr>
            <w:tcW w:w="2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8"/>
              </w:rPr>
              <w:t>FOR VALUE RECEIVED,</w:t>
            </w:r>
          </w:p>
        </w:tc>
        <w:tc>
          <w:tcPr>
            <w:tcW w:w="800" w:type="dxa"/>
            <w:vAlign w:val="bottom"/>
            <w:tcBorders>
              <w:bottom w:val="single" w:sz="8" w:color="auto"/>
            </w:tcBorders>
          </w:tcPr>
          <w:p>
            <w:pPr>
              <w:spacing w:after="0"/>
              <w:rPr>
                <w:sz w:val="24"/>
                <w:szCs w:val="24"/>
                <w:color w:val="auto"/>
              </w:rPr>
            </w:pPr>
          </w:p>
        </w:tc>
        <w:tc>
          <w:tcPr>
            <w:tcW w:w="75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hereby sells, assigns and transfers all of the rights of the undersigned under the</w:t>
            </w:r>
          </w:p>
        </w:tc>
      </w:tr>
      <w:tr>
        <w:trPr>
          <w:trHeight w:val="303"/>
        </w:trPr>
        <w:tc>
          <w:tcPr>
            <w:tcW w:w="890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attached Warrant with respect to the number of Ordinary Shares covered thereby set forth below, unto:</w:t>
            </w:r>
          </w:p>
        </w:tc>
        <w:tc>
          <w:tcPr>
            <w:tcW w:w="2340" w:type="dxa"/>
            <w:vAlign w:val="bottom"/>
          </w:tcPr>
          <w:p>
            <w:pPr>
              <w:spacing w:after="0"/>
              <w:rPr>
                <w:sz w:val="24"/>
                <w:szCs w:val="24"/>
                <w:color w:val="auto"/>
              </w:rPr>
            </w:pPr>
          </w:p>
        </w:tc>
      </w:tr>
      <w:tr>
        <w:trPr>
          <w:trHeight w:val="495"/>
        </w:trPr>
        <w:tc>
          <w:tcPr>
            <w:tcW w:w="28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 of Assignee</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 of Shares</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 TO BY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5138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3" w:name="page194"/>
    <w:bookmarkEnd w:id="19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JOINDER</w:t>
      </w:r>
    </w:p>
    <w:p>
      <w:pPr>
        <w:spacing w:after="0" w:line="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b w:val="1"/>
          <w:bCs w:val="1"/>
          <w:color w:val="auto"/>
        </w:rPr>
        <w:t>, 20</w:t>
      </w:r>
    </w:p>
    <w:p>
      <w:pPr>
        <w:spacing w:after="0" w:line="275" w:lineRule="exact"/>
        <w:rPr>
          <w:sz w:val="20"/>
          <w:szCs w:val="20"/>
          <w:color w:val="auto"/>
        </w:rPr>
      </w:pPr>
    </w:p>
    <w:p>
      <w:pPr>
        <w:ind w:right="60" w:firstLine="441"/>
        <w:spacing w:after="0" w:line="265" w:lineRule="auto"/>
        <w:rPr>
          <w:sz w:val="20"/>
          <w:szCs w:val="20"/>
          <w:color w:val="auto"/>
        </w:rPr>
      </w:pPr>
      <w:r>
        <w:rPr>
          <w:rFonts w:ascii="Times New Roman" w:cs="Times New Roman" w:eastAsia="Times New Roman" w:hAnsi="Times New Roman"/>
          <w:sz w:val="22"/>
          <w:szCs w:val="22"/>
          <w:color w:val="auto"/>
        </w:rPr>
        <w:t>This Joinder Agreement (the “</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to the [Third] Amended and Restated Investors’ Rights Agreement, dated [</w:t>
      </w:r>
      <w:r>
        <w:rPr>
          <w:rFonts w:ascii="Times New Roman" w:cs="Times New Roman" w:eastAsia="Times New Roman" w:hAnsi="Times New Roman"/>
          <w:sz w:val="22"/>
          <w:szCs w:val="22"/>
          <w:i w:val="1"/>
          <w:iCs w:val="1"/>
          <w:color w:val="auto"/>
        </w:rPr>
        <w:t>the date of the most updated IRA in force to be included</w:t>
      </w:r>
      <w:r>
        <w:rPr>
          <w:rFonts w:ascii="Times New Roman" w:cs="Times New Roman" w:eastAsia="Times New Roman" w:hAnsi="Times New Roman"/>
          <w:sz w:val="22"/>
          <w:szCs w:val="22"/>
          <w:color w:val="auto"/>
        </w:rPr>
        <w:t>], by and among Global-e Online Ltd.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persons and entities identified therein (the “</w:t>
      </w:r>
      <w:r>
        <w:rPr>
          <w:rFonts w:ascii="Times New Roman" w:cs="Times New Roman" w:eastAsia="Times New Roman" w:hAnsi="Times New Roman"/>
          <w:sz w:val="22"/>
          <w:szCs w:val="22"/>
          <w:u w:val="single" w:color="auto"/>
          <w:color w:val="auto"/>
        </w:rPr>
        <w:t>IRA</w:t>
      </w:r>
      <w:r>
        <w:rPr>
          <w:rFonts w:ascii="Times New Roman" w:cs="Times New Roman" w:eastAsia="Times New Roman" w:hAnsi="Times New Roman"/>
          <w:sz w:val="22"/>
          <w:szCs w:val="22"/>
          <w:color w:val="auto"/>
        </w:rPr>
        <w:t>”), is made and entered into as of the date first written above, by and between the Company and [Shopify International Limited] (“</w:t>
      </w:r>
      <w:r>
        <w:rPr>
          <w:rFonts w:ascii="Times New Roman" w:cs="Times New Roman" w:eastAsia="Times New Roman" w:hAnsi="Times New Roman"/>
          <w:sz w:val="22"/>
          <w:szCs w:val="22"/>
          <w:u w:val="single" w:color="auto"/>
          <w:color w:val="auto"/>
        </w:rPr>
        <w:t>Registered Holder</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Capitalized terms used but not defined herein shall have the meaning ascribed to them in the IRA.</w:t>
      </w:r>
    </w:p>
    <w:p>
      <w:pPr>
        <w:spacing w:after="0" w:line="291" w:lineRule="exact"/>
        <w:rPr>
          <w:sz w:val="20"/>
          <w:szCs w:val="20"/>
          <w:color w:val="auto"/>
        </w:rPr>
      </w:pPr>
    </w:p>
    <w:p>
      <w:pPr>
        <w:ind w:right="200" w:firstLine="8"/>
        <w:spacing w:after="0" w:line="270" w:lineRule="auto"/>
        <w:tabs>
          <w:tab w:leader="none" w:pos="37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hereby acknowledge, agree and confirm that, by the execution of this Joinder Agreement, the Registered Holder shall be deemed to be a party to the IRA, as of the date hereof, and shall be deemed an “Investor” and a “Holder” thereunder.</w:t>
      </w:r>
    </w:p>
    <w:p>
      <w:pPr>
        <w:spacing w:after="0" w:line="226" w:lineRule="exact"/>
        <w:rPr>
          <w:rFonts w:ascii="Times New Roman" w:cs="Times New Roman" w:eastAsia="Times New Roman" w:hAnsi="Times New Roman"/>
          <w:sz w:val="22"/>
          <w:szCs w:val="22"/>
          <w:color w:val="auto"/>
        </w:rPr>
      </w:pPr>
    </w:p>
    <w:p>
      <w:pPr>
        <w:ind w:right="560" w:firstLine="8"/>
        <w:spacing w:after="0" w:line="270" w:lineRule="auto"/>
        <w:tabs>
          <w:tab w:leader="none" w:pos="37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Registered Holder hereby agrees to be bound by the IRA and to be subject to all of the rights and obligations of an Investor and/or Holder therein for all intents and purposes (including, without limitation, to the market standoff and confidentiality provisions).</w:t>
      </w:r>
    </w:p>
    <w:p>
      <w:pPr>
        <w:spacing w:after="0" w:line="226" w:lineRule="exact"/>
        <w:rPr>
          <w:rFonts w:ascii="Times New Roman" w:cs="Times New Roman" w:eastAsia="Times New Roman" w:hAnsi="Times New Roman"/>
          <w:sz w:val="22"/>
          <w:szCs w:val="22"/>
          <w:color w:val="auto"/>
        </w:rPr>
      </w:pPr>
    </w:p>
    <w:p>
      <w:pPr>
        <w:ind w:firstLine="8"/>
        <w:spacing w:after="0" w:line="274" w:lineRule="auto"/>
        <w:tabs>
          <w:tab w:leader="none" w:pos="374"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Joinder Agreement shall be governed by and construed according to the laws of the State of Israel, without regard to the conflict of laws’ provisions thereof. Any term of this Joinder Agreement may be amended and the severance of any term hereof may be waived (either generally or in a particular instance and either retroactively or prospectively) only with the written consent of all parties hereto. This Joinder Agreement may be executed in any number of counterparts (including via facsimile or email, pdf. files and/or DocuSign), each of which shall be enforceable against the parties actually executing such counterparts, and all of which together shall constitute one instrument. If one or more provisions of this Joinder Agreement are held to be unenforceable under applicable law, such provision shall be excluded from this Joinder Agreement and the balance of the Joinder Agreement shall be interpreted as if such provision were so excluded and shall be enforceable in accordance with its terms.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GLOBAL-E ONLINE LTD.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3709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25 Basel Street, Petah Tikva, 4951038</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REGISTERED 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Shopify Strategic Holdings LLC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3423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2"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4.12</w:t>
      </w:r>
    </w:p>
    <w:p>
      <w:pPr>
        <w:spacing w:after="0" w:line="291" w:lineRule="exact"/>
        <w:rPr>
          <w:sz w:val="20"/>
          <w:szCs w:val="20"/>
          <w:color w:val="auto"/>
        </w:rPr>
      </w:pPr>
    </w:p>
    <w:p>
      <w:pPr>
        <w:ind w:right="580" w:firstLine="8"/>
        <w:spacing w:after="0" w:line="284" w:lineRule="auto"/>
        <w:tabs>
          <w:tab w:leader="none" w:pos="52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601(b)(10). Such excluded information is not material and would likely cause competitive harm to the registrant if publicly disclosed.</w:t>
      </w:r>
    </w:p>
    <w:p>
      <w:pPr>
        <w:spacing w:after="0" w:line="2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AMENDED &amp; RESTATED MASTER SERVICES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AMENDED &amp; RESTATED MASTER SERVICES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effective as of January 3, 2022</w:t>
      </w:r>
    </w:p>
    <w:p>
      <w:pPr>
        <w:spacing w:after="0" w:line="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is made between Global-e Online Ltd., with an address at 25 Basel St., Petah Tikva Israel (“</w:t>
      </w:r>
      <w:r>
        <w:rPr>
          <w:rFonts w:ascii="Times New Roman" w:cs="Times New Roman" w:eastAsia="Times New Roman" w:hAnsi="Times New Roman"/>
          <w:sz w:val="22"/>
          <w:szCs w:val="22"/>
          <w:b w:val="1"/>
          <w:bCs w:val="1"/>
          <w:color w:val="auto"/>
        </w:rPr>
        <w:t>Global-e</w:t>
      </w:r>
      <w:r>
        <w:rPr>
          <w:rFonts w:ascii="Times New Roman" w:cs="Times New Roman" w:eastAsia="Times New Roman" w:hAnsi="Times New Roman"/>
          <w:sz w:val="22"/>
          <w:szCs w:val="22"/>
          <w:color w:val="auto"/>
        </w:rPr>
        <w:t>”), Shopify Inc., with an address at 151 O’Connor Street, Ottawa, Ontario, Canada, K2P 2L8, with registered tax number</w:t>
      </w:r>
    </w:p>
    <w:p>
      <w:pPr>
        <w:spacing w:after="0" w:line="261" w:lineRule="auto"/>
        <w:rPr>
          <w:sz w:val="20"/>
          <w:szCs w:val="20"/>
          <w:color w:val="auto"/>
        </w:rPr>
      </w:pPr>
      <w:r>
        <w:rPr>
          <w:rFonts w:ascii="Times New Roman" w:cs="Times New Roman" w:eastAsia="Times New Roman" w:hAnsi="Times New Roman"/>
          <w:sz w:val="22"/>
          <w:szCs w:val="22"/>
          <w:color w:val="auto"/>
        </w:rPr>
        <w:t>847871746 (“</w:t>
      </w:r>
      <w:r>
        <w:rPr>
          <w:rFonts w:ascii="Times New Roman" w:cs="Times New Roman" w:eastAsia="Times New Roman" w:hAnsi="Times New Roman"/>
          <w:sz w:val="22"/>
          <w:szCs w:val="22"/>
          <w:b w:val="1"/>
          <w:bCs w:val="1"/>
          <w:color w:val="auto"/>
        </w:rPr>
        <w:t>Shopify</w:t>
      </w:r>
      <w:r>
        <w:rPr>
          <w:rFonts w:ascii="Times New Roman" w:cs="Times New Roman" w:eastAsia="Times New Roman" w:hAnsi="Times New Roman"/>
          <w:sz w:val="22"/>
          <w:szCs w:val="22"/>
          <w:color w:val="auto"/>
        </w:rPr>
        <w:t>”) and Flow Commerce Inc., with a business address at 2 Hudson Place, 7th Floor, Hoboken, NJ 07030 (“</w:t>
      </w:r>
      <w:r>
        <w:rPr>
          <w:rFonts w:ascii="Times New Roman" w:cs="Times New Roman" w:eastAsia="Times New Roman" w:hAnsi="Times New Roman"/>
          <w:sz w:val="22"/>
          <w:szCs w:val="22"/>
          <w:b w:val="1"/>
          <w:bCs w:val="1"/>
          <w:color w:val="auto"/>
        </w:rPr>
        <w:t>Flow”</w:t>
      </w:r>
      <w:r>
        <w:rPr>
          <w:rFonts w:ascii="Times New Roman" w:cs="Times New Roman" w:eastAsia="Times New Roman" w:hAnsi="Times New Roman"/>
          <w:sz w:val="22"/>
          <w:szCs w:val="22"/>
          <w:color w:val="auto"/>
        </w:rPr>
        <w:t>). Shopify, Global-e and Flow are referred to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For the purposes of this Agreement, except as otherwise specified, references to either Party shall be deemed to be references also to such Party’s Affiliates (as defined below) and shall bind such Affiliates.</w:t>
      </w:r>
    </w:p>
    <w:p>
      <w:pPr>
        <w:spacing w:after="0" w:line="23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WHEREAS Global-e and Shopify have established a partnership to make certain Global-e services, where Global-e is acting as merchant of record, available to select Shopify merchants, exclusively by Global-e; and</w:t>
      </w:r>
    </w:p>
    <w:p>
      <w:pPr>
        <w:spacing w:after="0" w:line="21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2"/>
          <w:szCs w:val="22"/>
          <w:color w:val="auto"/>
        </w:rPr>
        <w:t>WHEREAS Global-e and Shopify wish to strengthen and expand such partnership and to enhance the offering to select Shopify merchants, among other things, catering for small and emerging brands and expand the capabilities and customer base in the segment; and</w:t>
      </w:r>
    </w:p>
    <w:p>
      <w:pPr>
        <w:spacing w:after="0" w:line="22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22"/>
          <w:szCs w:val="22"/>
          <w:color w:val="auto"/>
        </w:rPr>
        <w:t>WHEREAS Shopify seeks to receive such certain offerings through Flow, and such offering is envisaged by Global-e and Shopify to be supportive of the parties mutually agreed product scope; and</w:t>
      </w:r>
    </w:p>
    <w:p>
      <w:pPr>
        <w:spacing w:after="0" w:line="211"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22"/>
          <w:szCs w:val="22"/>
          <w:color w:val="auto"/>
        </w:rPr>
        <w:t>WHEREAS all the Parties desire to create a meaningful relationship to deliver a native solution for cross-border shopping to select Shopify merchants; and</w:t>
      </w:r>
    </w:p>
    <w:p>
      <w:pPr>
        <w:spacing w:after="0" w:line="21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WHEREAS the Parties desire to enter into a relationship whereby Flow, a Designated Affiliates of Global-e, shall provide certain natively integrated cross-border solution for Shopify’s merchants as further described herein, including the ability for the merchants to sell their goods to Flow for sale to global customers on a one-to-one basis; and</w:t>
      </w:r>
    </w:p>
    <w:p>
      <w:pPr>
        <w:spacing w:after="0" w:line="22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22"/>
          <w:szCs w:val="22"/>
          <w:color w:val="auto"/>
        </w:rPr>
        <w:t>WHEREAS to effectuate such relationship the Parties shall conduct an integration of Flow platforms and APIs to facilitate and support the merchant transactions solutions;</w:t>
      </w:r>
    </w:p>
    <w:p>
      <w:pPr>
        <w:spacing w:after="0" w:line="211"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hereinafter set forth and for other good and valuable consideration, the receipt and sufficiency of which are hereby acknowledged, the Parties agree as follows:</w:t>
      </w:r>
    </w:p>
    <w:p>
      <w:pPr>
        <w:spacing w:after="0" w:line="211" w:lineRule="exact"/>
        <w:rPr>
          <w:sz w:val="20"/>
          <w:szCs w:val="20"/>
          <w:color w:val="auto"/>
        </w:rPr>
      </w:pPr>
    </w:p>
    <w:p>
      <w:pPr>
        <w:ind w:left="1100" w:hanging="703"/>
        <w:spacing w:after="0"/>
        <w:tabs>
          <w:tab w:leader="none" w:pos="11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83" w:lineRule="exact"/>
        <w:rPr>
          <w:sz w:val="20"/>
          <w:szCs w:val="20"/>
          <w:color w:val="auto"/>
        </w:rPr>
      </w:pPr>
    </w:p>
    <w:p>
      <w:pPr>
        <w:ind w:left="400" w:right="46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means any entity that directly or indirectly controls, is controlled by or is under common control with a Party.</w:t>
      </w:r>
    </w:p>
    <w:p>
      <w:pPr>
        <w:spacing w:after="0" w:line="205" w:lineRule="exact"/>
        <w:rPr>
          <w:sz w:val="20"/>
          <w:szCs w:val="20"/>
          <w:color w:val="auto"/>
        </w:rPr>
      </w:pPr>
    </w:p>
    <w:p>
      <w:pPr>
        <w:ind w:left="400" w:right="20" w:firstLine="389"/>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“Applicable Data Protection Legislation” </w:t>
      </w:r>
      <w:r>
        <w:rPr>
          <w:rFonts w:ascii="Times New Roman" w:cs="Times New Roman" w:eastAsia="Times New Roman" w:hAnsi="Times New Roman"/>
          <w:sz w:val="22"/>
          <w:szCs w:val="22"/>
          <w:color w:val="auto"/>
        </w:rPr>
        <w:t>means the Canadian Personal Information Protection and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Act (“</w:t>
      </w:r>
      <w:r>
        <w:rPr>
          <w:rFonts w:ascii="Times New Roman" w:cs="Times New Roman" w:eastAsia="Times New Roman" w:hAnsi="Times New Roman"/>
          <w:sz w:val="22"/>
          <w:szCs w:val="22"/>
          <w:b w:val="1"/>
          <w:bCs w:val="1"/>
          <w:color w:val="auto"/>
        </w:rPr>
        <w:t>PIPEDA</w:t>
      </w:r>
      <w:r>
        <w:rPr>
          <w:rFonts w:ascii="Times New Roman" w:cs="Times New Roman" w:eastAsia="Times New Roman" w:hAnsi="Times New Roman"/>
          <w:sz w:val="22"/>
          <w:szCs w:val="22"/>
          <w:color w:val="auto"/>
        </w:rPr>
        <w:t xml:space="preserve">”), the European Union Regulation 2016/679 (the </w:t>
      </w:r>
      <w:r>
        <w:rPr>
          <w:rFonts w:ascii="Times New Roman" w:cs="Times New Roman" w:eastAsia="Times New Roman" w:hAnsi="Times New Roman"/>
          <w:sz w:val="22"/>
          <w:szCs w:val="22"/>
          <w:b w:val="1"/>
          <w:bCs w:val="1"/>
          <w:color w:val="auto"/>
        </w:rPr>
        <w:t>“General Data Protection Regulation”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“GDPR”</w:t>
      </w:r>
      <w:r>
        <w:rPr>
          <w:rFonts w:ascii="Times New Roman" w:cs="Times New Roman" w:eastAsia="Times New Roman" w:hAnsi="Times New Roman"/>
          <w:sz w:val="22"/>
          <w:szCs w:val="22"/>
          <w:color w:val="auto"/>
        </w:rPr>
        <w:t>), the United Kingdom Data Protection Act of 2018 and the European Union Regulation 2016/679 as applicable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virtue of Section 3 of the European Union (Withdrawal) Act 2018 and as amended by Schedule 1 to the Data Protection, Privacy and Electronic Communications (Amendments etc) (EU Exit) Regulations 2019 (SI 2019/419) (the “</w:t>
      </w:r>
      <w:r>
        <w:rPr>
          <w:rFonts w:ascii="Times New Roman" w:cs="Times New Roman" w:eastAsia="Times New Roman" w:hAnsi="Times New Roman"/>
          <w:sz w:val="22"/>
          <w:szCs w:val="22"/>
          <w:b w:val="1"/>
          <w:bCs w:val="1"/>
          <w:color w:val="auto"/>
        </w:rPr>
        <w:t>UK GDPR</w:t>
      </w:r>
      <w:r>
        <w:rPr>
          <w:rFonts w:ascii="Times New Roman" w:cs="Times New Roman" w:eastAsia="Times New Roman" w:hAnsi="Times New Roman"/>
          <w:sz w:val="22"/>
          <w:szCs w:val="22"/>
          <w:color w:val="auto"/>
        </w:rPr>
        <w:t xml:space="preserve">”), or California Civil Code Section 1798.100-1798.199 (the </w:t>
      </w:r>
      <w:r>
        <w:rPr>
          <w:rFonts w:ascii="Times New Roman" w:cs="Times New Roman" w:eastAsia="Times New Roman" w:hAnsi="Times New Roman"/>
          <w:sz w:val="22"/>
          <w:szCs w:val="22"/>
          <w:b w:val="1"/>
          <w:bCs w:val="1"/>
          <w:color w:val="auto"/>
        </w:rPr>
        <w:t>“California Consumer Privacy Act of 2018”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“CCPA”</w:t>
      </w:r>
      <w:r>
        <w:rPr>
          <w:rFonts w:ascii="Times New Roman" w:cs="Times New Roman" w:eastAsia="Times New Roman" w:hAnsi="Times New Roman"/>
          <w:sz w:val="22"/>
          <w:szCs w:val="22"/>
          <w:color w:val="auto"/>
        </w:rPr>
        <w:t>), as applicable, and any legislation and/or regulation implementing or made pursuant to any of the foregoing, or which amends or replaces any of the foregoing.</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means all federal, state, and local laws and regulations, directives and any other relevant authorities,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guidance and requirements applicable to the Parties’ performance under this Agreement, including, but not limited to, as may</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be applicable, securities laws and regulations, privacy and data protection laws and regulations, anti-money laundering</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AML</w:t>
      </w:r>
      <w:r>
        <w:rPr>
          <w:rFonts w:ascii="Times New Roman" w:cs="Times New Roman" w:eastAsia="Times New Roman" w:hAnsi="Times New Roman"/>
          <w:sz w:val="22"/>
          <w:szCs w:val="22"/>
          <w:color w:val="auto"/>
        </w:rPr>
        <w:t>”),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and applicable anti-bribery and anti-corruption laws including the</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Foreign Corrupt Practices Act.</w:t>
      </w:r>
    </w:p>
    <w:p>
      <w:pPr>
        <w:spacing w:after="0" w:line="2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Clients</w:t>
      </w:r>
      <w:r>
        <w:rPr>
          <w:rFonts w:ascii="Times New Roman" w:cs="Times New Roman" w:eastAsia="Times New Roman" w:hAnsi="Times New Roman"/>
          <w:sz w:val="22"/>
          <w:szCs w:val="22"/>
          <w:color w:val="auto"/>
        </w:rPr>
        <w:t>” means the clients (including Affiliates thereof) of Flow’s branded cross-border solution.</w:t>
      </w:r>
    </w:p>
    <w:p>
      <w:pPr>
        <w:sectPr>
          <w:pgSz w:w="11900" w:h="16838" w:orient="portrait"/>
          <w:cols w:equalWidth="0" w:num="1">
            <w:col w:w="11240"/>
          </w:cols>
          <w:pgMar w:left="320" w:top="432" w:right="339" w:bottom="0" w:gutter="0" w:footer="0" w:header="0"/>
        </w:sectPr>
      </w:pPr>
    </w:p>
    <w:bookmarkStart w:id="196" w:name="page197"/>
    <w:bookmarkEnd w:id="196"/>
    <w:p>
      <w:pPr>
        <w:ind w:firstLine="38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will include, but will not be limited to, any and all information associated with a Party’s business, finances, technologies, suppliers, partners, merchants and customers, including business information, marketing plans, technical processes and formulas, including data flows, product processes and security features, software, customer lists, prospective customer lists, names, addresses and other information regarding customers and prospective customers, prospective acquirers, product designs, sales, costs (including any relevant processing fees), price lists and pricing policies, financial and tax information, contracts and contractual relationships, business plans, methods and practices, marketing plans, methods, practices and data, the terms, conditions and subject matter of this Agreement (including any schedule hereto, but not the existence of this Agreement) and any other confidential and proprietary information, whether or not marked as confidential or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271145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720" w:top="122" w:right="539" w:bottom="1440" w:gutter="0" w:footer="0" w:header="0"/>
        </w:sectPr>
      </w:pPr>
    </w:p>
    <w:bookmarkStart w:id="197" w:name="page198"/>
    <w:bookmarkEnd w:id="197"/>
    <w:p>
      <w:pPr>
        <w:ind w:right="200" w:firstLine="389"/>
        <w:spacing w:after="0" w:line="274" w:lineRule="exact"/>
        <w:rPr>
          <w:sz w:val="20"/>
          <w:szCs w:val="20"/>
          <w:color w:val="auto"/>
        </w:rPr>
      </w:pPr>
      <w:r>
        <w:rPr>
          <w:rFonts w:ascii="Arial Unicode MS" w:cs="Arial Unicode MS" w:eastAsia="Arial Unicode MS" w:hAnsi="Arial Unicode MS"/>
          <w:sz w:val="21"/>
          <w:szCs w:val="21"/>
          <w:color w:val="auto"/>
        </w:rPr>
        <w:t>“</w:t>
      </w:r>
      <w:r>
        <w:rPr>
          <w:rFonts w:ascii="Times New Roman" w:cs="Times New Roman" w:eastAsia="Times New Roman" w:hAnsi="Times New Roman"/>
          <w:sz w:val="21"/>
          <w:szCs w:val="21"/>
          <w:b w:val="1"/>
          <w:bCs w:val="1"/>
          <w:color w:val="auto"/>
        </w:rPr>
        <w:t>Covered Chargebacks</w:t>
      </w:r>
      <w:r>
        <w:rPr>
          <w:rFonts w:ascii="Arial Unicode MS" w:cs="Arial Unicode MS" w:eastAsia="Arial Unicode MS" w:hAnsi="Arial Unicode MS"/>
          <w:sz w:val="21"/>
          <w:szCs w:val="21"/>
          <w:color w:val="auto"/>
        </w:rPr>
        <w:t>” means chargebacks other than those chargebacks (i) related to fraud otherwise known as</w:t>
      </w:r>
      <w:r>
        <w:rPr>
          <w:rFonts w:ascii="Times New Roman" w:cs="Times New Roman" w:eastAsia="Times New Roman" w:hAnsi="Times New Roman"/>
          <w:sz w:val="21"/>
          <w:szCs w:val="21"/>
          <w:b w:val="1"/>
          <w:bCs w:val="1"/>
          <w:color w:val="auto"/>
        </w:rPr>
        <w:t xml:space="preserve"> </w:t>
      </w:r>
      <w:r>
        <w:rPr>
          <w:rFonts w:ascii="Arial Unicode MS" w:cs="Arial Unicode MS" w:eastAsia="Arial Unicode MS" w:hAnsi="Arial Unicode MS"/>
          <w:sz w:val="21"/>
          <w:szCs w:val="21"/>
          <w:color w:val="auto"/>
        </w:rPr>
        <w:t>“friendly fraud” where the perpetrator uses his or her own account and personally benefits or is complicit in the fraud (e.g. chargeback filed for transaction not authorized, when order is delivered to verifiable address of card holder); or (ii) directly resulting from merchant activity or inactivity (e.g., order not fulfilled by Merchant; refund not processed by Merchant; or item received different than as described on website).</w:t>
      </w:r>
    </w:p>
    <w:p>
      <w:pPr>
        <w:spacing w:after="0" w:line="246" w:lineRule="exact"/>
        <w:rPr>
          <w:sz w:val="20"/>
          <w:szCs w:val="20"/>
          <w:color w:val="auto"/>
        </w:rPr>
      </w:pPr>
    </w:p>
    <w:p>
      <w:pPr>
        <w:ind w:left="38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Customer Order</w:t>
      </w:r>
      <w:r>
        <w:rPr>
          <w:rFonts w:ascii="Arial Unicode MS" w:cs="Arial Unicode MS" w:eastAsia="Arial Unicode MS" w:hAnsi="Arial Unicode MS"/>
          <w:sz w:val="22"/>
          <w:szCs w:val="22"/>
          <w:color w:val="auto"/>
        </w:rPr>
        <w:t>” means an order utilizing one or more Flow Offerings for Products on the Shopify Service.</w:t>
      </w:r>
    </w:p>
    <w:p>
      <w:pPr>
        <w:spacing w:after="0" w:line="254" w:lineRule="exact"/>
        <w:rPr>
          <w:sz w:val="20"/>
          <w:szCs w:val="20"/>
          <w:color w:val="auto"/>
        </w:rPr>
      </w:pPr>
    </w:p>
    <w:p>
      <w:pPr>
        <w:ind w:right="220" w:firstLine="389"/>
        <w:spacing w:after="0" w:line="276"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Cross-Border Sales</w:t>
      </w:r>
      <w:r>
        <w:rPr>
          <w:rFonts w:ascii="Arial Unicode MS" w:cs="Arial Unicode MS" w:eastAsia="Arial Unicode MS" w:hAnsi="Arial Unicode MS"/>
          <w:sz w:val="22"/>
          <w:szCs w:val="22"/>
          <w:color w:val="auto"/>
        </w:rPr>
        <w:t>” means sales of Products by Merchants utilizing the Shopify Service where the origination</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country (i.e., where the Product is located at the time of sale) and the location of any of the customer, the ship to address or the bill to address is outside of the origination country.</w:t>
      </w:r>
    </w:p>
    <w:p>
      <w:pPr>
        <w:spacing w:after="0" w:line="255" w:lineRule="exact"/>
        <w:rPr>
          <w:sz w:val="20"/>
          <w:szCs w:val="20"/>
          <w:color w:val="auto"/>
        </w:rPr>
      </w:pPr>
    </w:p>
    <w:p>
      <w:pPr>
        <w:ind w:right="240" w:firstLine="389"/>
        <w:spacing w:after="0" w:line="278"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Data Controller</w:t>
      </w:r>
      <w:r>
        <w:rPr>
          <w:rFonts w:ascii="Arial Unicode MS" w:cs="Arial Unicode MS" w:eastAsia="Arial Unicode MS" w:hAnsi="Arial Unicode MS"/>
          <w:sz w:val="22"/>
          <w:szCs w:val="22"/>
          <w:color w:val="auto"/>
        </w:rPr>
        <w:t>” and “</w:t>
      </w:r>
      <w:r>
        <w:rPr>
          <w:rFonts w:ascii="Times New Roman" w:cs="Times New Roman" w:eastAsia="Times New Roman" w:hAnsi="Times New Roman"/>
          <w:sz w:val="22"/>
          <w:szCs w:val="22"/>
          <w:b w:val="1"/>
          <w:bCs w:val="1"/>
          <w:color w:val="auto"/>
        </w:rPr>
        <w:t>Data Processor</w:t>
      </w:r>
      <w:r>
        <w:rPr>
          <w:rFonts w:ascii="Arial Unicode MS" w:cs="Arial Unicode MS" w:eastAsia="Arial Unicode MS" w:hAnsi="Arial Unicode MS"/>
          <w:sz w:val="22"/>
          <w:szCs w:val="22"/>
          <w:color w:val="auto"/>
        </w:rPr>
        <w:t>” shall have the meaning set out in the European Union Regulation 2016/679</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(the “GDPR”) (but shall apply regardless of jurisdiction).</w:t>
      </w:r>
    </w:p>
    <w:p>
      <w:pPr>
        <w:spacing w:after="0" w:line="255" w:lineRule="exact"/>
        <w:rPr>
          <w:sz w:val="20"/>
          <w:szCs w:val="20"/>
          <w:color w:val="auto"/>
        </w:rPr>
      </w:pPr>
    </w:p>
    <w:p>
      <w:pPr>
        <w:ind w:right="160" w:firstLine="389"/>
        <w:spacing w:after="0" w:line="274" w:lineRule="exact"/>
        <w:rPr>
          <w:sz w:val="20"/>
          <w:szCs w:val="20"/>
          <w:color w:val="auto"/>
        </w:rPr>
      </w:pPr>
      <w:r>
        <w:rPr>
          <w:rFonts w:ascii="Arial Unicode MS" w:cs="Arial Unicode MS" w:eastAsia="Arial Unicode MS" w:hAnsi="Arial Unicode MS"/>
          <w:sz w:val="21"/>
          <w:szCs w:val="21"/>
          <w:color w:val="auto"/>
        </w:rPr>
        <w:t>“</w:t>
      </w:r>
      <w:r>
        <w:rPr>
          <w:rFonts w:ascii="Times New Roman" w:cs="Times New Roman" w:eastAsia="Times New Roman" w:hAnsi="Times New Roman"/>
          <w:sz w:val="21"/>
          <w:szCs w:val="21"/>
          <w:b w:val="1"/>
          <w:bCs w:val="1"/>
          <w:color w:val="auto"/>
        </w:rPr>
        <w:t>Designated Affiliate</w:t>
      </w:r>
      <w:r>
        <w:rPr>
          <w:rFonts w:ascii="Arial Unicode MS" w:cs="Arial Unicode MS" w:eastAsia="Arial Unicode MS" w:hAnsi="Arial Unicode MS"/>
          <w:sz w:val="21"/>
          <w:szCs w:val="21"/>
          <w:color w:val="auto"/>
        </w:rPr>
        <w:t>” means Flow, or an Affiliate of Flow that is designated by Flow as the Merchant of Record,</w:t>
      </w:r>
      <w:r>
        <w:rPr>
          <w:rFonts w:ascii="Times New Roman" w:cs="Times New Roman" w:eastAsia="Times New Roman" w:hAnsi="Times New Roman"/>
          <w:sz w:val="21"/>
          <w:szCs w:val="21"/>
          <w:b w:val="1"/>
          <w:bCs w:val="1"/>
          <w:color w:val="auto"/>
        </w:rPr>
        <w:t xml:space="preserve"> </w:t>
      </w:r>
      <w:r>
        <w:rPr>
          <w:rFonts w:ascii="Arial Unicode MS" w:cs="Arial Unicode MS" w:eastAsia="Arial Unicode MS" w:hAnsi="Arial Unicode MS"/>
          <w:sz w:val="21"/>
          <w:szCs w:val="21"/>
          <w:color w:val="auto"/>
        </w:rPr>
        <w:t>generally anticipated to be Flow or the Flow Affiliate located in the origination country (e.g., Flow Commerce Canada, Inc. when the goods originate in Canada, Flow Commerce Ltd. when the goods originate in the EU). Reference to “Flow” shall mean Flow or a Designated Affiliate, unless the context clearly refers to Flow itself.</w:t>
      </w:r>
    </w:p>
    <w:p>
      <w:pPr>
        <w:spacing w:after="0" w:line="249" w:lineRule="exact"/>
        <w:rPr>
          <w:sz w:val="20"/>
          <w:szCs w:val="20"/>
          <w:color w:val="auto"/>
        </w:rPr>
      </w:pPr>
    </w:p>
    <w:p>
      <w:pPr>
        <w:ind w:left="38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Flow Merchant Offerings</w:t>
      </w:r>
      <w:r>
        <w:rPr>
          <w:rFonts w:ascii="Arial Unicode MS" w:cs="Arial Unicode MS" w:eastAsia="Arial Unicode MS" w:hAnsi="Arial Unicode MS"/>
          <w:sz w:val="22"/>
          <w:szCs w:val="22"/>
          <w:color w:val="auto"/>
        </w:rPr>
        <w:t>” has the meaning set forth in Section 2.2.</w:t>
      </w:r>
    </w:p>
    <w:p>
      <w:pPr>
        <w:spacing w:after="0" w:line="254" w:lineRule="exact"/>
        <w:rPr>
          <w:sz w:val="20"/>
          <w:szCs w:val="20"/>
          <w:color w:val="auto"/>
        </w:rPr>
      </w:pPr>
    </w:p>
    <w:p>
      <w:pPr>
        <w:ind w:right="500" w:firstLine="389"/>
        <w:spacing w:after="0" w:line="278"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Flow Merchant T&amp;Cs</w:t>
      </w:r>
      <w:r>
        <w:rPr>
          <w:rFonts w:ascii="Arial Unicode MS" w:cs="Arial Unicode MS" w:eastAsia="Arial Unicode MS" w:hAnsi="Arial Unicode MS"/>
          <w:sz w:val="22"/>
          <w:szCs w:val="22"/>
          <w:color w:val="auto"/>
        </w:rPr>
        <w:t>” means the terms and conditions required for a Merchant to receive any Flow Offering, as</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further described in Sections 4.2 and 9.1.</w:t>
      </w:r>
    </w:p>
    <w:p>
      <w:pPr>
        <w:spacing w:after="0" w:line="247" w:lineRule="exact"/>
        <w:rPr>
          <w:sz w:val="20"/>
          <w:szCs w:val="20"/>
          <w:color w:val="auto"/>
        </w:rPr>
      </w:pPr>
    </w:p>
    <w:p>
      <w:pPr>
        <w:ind w:left="38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 xml:space="preserve">Flow Offerings” </w:t>
      </w:r>
      <w:r>
        <w:rPr>
          <w:rFonts w:ascii="Arial Unicode MS" w:cs="Arial Unicode MS" w:eastAsia="Arial Unicode MS" w:hAnsi="Arial Unicode MS"/>
          <w:sz w:val="22"/>
          <w:szCs w:val="22"/>
          <w:color w:val="auto"/>
        </w:rPr>
        <w:t>has the meaning set forth in Section 2.</w:t>
      </w:r>
    </w:p>
    <w:p>
      <w:pPr>
        <w:spacing w:after="0" w:line="254" w:lineRule="exact"/>
        <w:rPr>
          <w:sz w:val="20"/>
          <w:szCs w:val="20"/>
          <w:color w:val="auto"/>
        </w:rPr>
      </w:pPr>
    </w:p>
    <w:p>
      <w:pPr>
        <w:ind w:right="240" w:firstLine="389"/>
        <w:spacing w:after="0" w:line="276"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FTA Supported Rates</w:t>
      </w:r>
      <w:r>
        <w:rPr>
          <w:rFonts w:ascii="Arial Unicode MS" w:cs="Arial Unicode MS" w:eastAsia="Arial Unicode MS" w:hAnsi="Arial Unicode MS"/>
          <w:sz w:val="22"/>
          <w:szCs w:val="22"/>
          <w:color w:val="auto"/>
        </w:rPr>
        <w:t>” means the rates available to merchants that qualify for following: USMCA trade agreement,</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EU Registered Exporter System use, EU-UK TCA, and such other rates that may become available under free trade agreements that Flow agrees to support.</w:t>
      </w:r>
    </w:p>
    <w:p>
      <w:pPr>
        <w:spacing w:after="0" w:line="255" w:lineRule="exact"/>
        <w:rPr>
          <w:sz w:val="20"/>
          <w:szCs w:val="20"/>
          <w:color w:val="auto"/>
        </w:rPr>
      </w:pPr>
    </w:p>
    <w:p>
      <w:pPr>
        <w:ind w:right="300" w:firstLine="389"/>
        <w:spacing w:after="0" w:line="274"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Fully Landed Cost</w:t>
      </w:r>
      <w:r>
        <w:rPr>
          <w:rFonts w:ascii="Arial Unicode MS" w:cs="Arial Unicode MS" w:eastAsia="Arial Unicode MS" w:hAnsi="Arial Unicode MS"/>
          <w:sz w:val="22"/>
          <w:szCs w:val="22"/>
          <w:color w:val="auto"/>
        </w:rPr>
        <w:t>” means the full cost and expense for the fulllment of the MoR Customer Orders. Fully Landed</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Cost is inclusive of (i) the duties, customs fees, and/or taxes, and (ii) the charges relating to export, customs clearance, transport and delivery, as applicable, in each case required to be paid as a result of shipping the Product(s) to the desired address in the destination country.</w:t>
      </w:r>
    </w:p>
    <w:p>
      <w:pPr>
        <w:spacing w:after="0" w:line="254" w:lineRule="exact"/>
        <w:rPr>
          <w:sz w:val="20"/>
          <w:szCs w:val="20"/>
          <w:color w:val="auto"/>
        </w:rPr>
      </w:pPr>
    </w:p>
    <w:p>
      <w:pPr>
        <w:ind w:right="360" w:firstLine="389"/>
        <w:spacing w:after="0" w:line="274"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Intellectual Property</w:t>
      </w:r>
      <w:r>
        <w:rPr>
          <w:rFonts w:ascii="Arial Unicode MS" w:cs="Arial Unicode MS" w:eastAsia="Arial Unicode MS" w:hAnsi="Arial Unicode MS"/>
          <w:sz w:val="22"/>
          <w:szCs w:val="22"/>
          <w:color w:val="auto"/>
        </w:rPr>
        <w:t>” means all copyrights, patents, patent disclosures and inventions (whether patentable or not),</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trademarks, service marks, trade secrets, know-how and other confidential information, trade dress, trade names, logos, corporate names and domain names, together with all of the goodwill associated therewith, derivative works and all other rights related thereto.</w:t>
      </w:r>
    </w:p>
    <w:p>
      <w:pPr>
        <w:spacing w:after="0" w:line="254" w:lineRule="exact"/>
        <w:rPr>
          <w:sz w:val="20"/>
          <w:szCs w:val="20"/>
          <w:color w:val="auto"/>
        </w:rPr>
      </w:pPr>
    </w:p>
    <w:p>
      <w:pPr>
        <w:ind w:right="140" w:firstLine="389"/>
        <w:spacing w:after="0" w:line="276"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International Territories</w:t>
      </w:r>
      <w:r>
        <w:rPr>
          <w:rFonts w:ascii="Arial Unicode MS" w:cs="Arial Unicode MS" w:eastAsia="Arial Unicode MS" w:hAnsi="Arial Unicode MS"/>
          <w:sz w:val="22"/>
          <w:szCs w:val="22"/>
          <w:color w:val="auto"/>
        </w:rPr>
        <w:t>” means those countries other than the country where the distribution center for the</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applicable Product is located; provided, that International Territories shall not include any territory where the Parties are not permitted to conduct business based on governmental restrictions (e.g., North Korea).</w:t>
      </w:r>
    </w:p>
    <w:p>
      <w:pPr>
        <w:spacing w:after="0" w:line="246" w:lineRule="exact"/>
        <w:rPr>
          <w:sz w:val="20"/>
          <w:szCs w:val="20"/>
          <w:color w:val="auto"/>
        </w:rPr>
      </w:pPr>
    </w:p>
    <w:p>
      <w:pPr>
        <w:ind w:left="38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Logistics Providers</w:t>
      </w:r>
      <w:r>
        <w:rPr>
          <w:rFonts w:ascii="Arial Unicode MS" w:cs="Arial Unicode MS" w:eastAsia="Arial Unicode MS" w:hAnsi="Arial Unicode MS"/>
          <w:sz w:val="22"/>
          <w:szCs w:val="22"/>
          <w:color w:val="auto"/>
        </w:rPr>
        <w:t>” means those third parties that provide cross-border shipping services (e.g., DHL).</w:t>
      </w:r>
    </w:p>
    <w:p>
      <w:pPr>
        <w:spacing w:after="0" w:line="254" w:lineRule="exact"/>
        <w:rPr>
          <w:sz w:val="20"/>
          <w:szCs w:val="20"/>
          <w:color w:val="auto"/>
        </w:rPr>
      </w:pPr>
    </w:p>
    <w:p>
      <w:pPr>
        <w:ind w:firstLine="389"/>
        <w:spacing w:after="0" w:line="274"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b w:val="1"/>
          <w:bCs w:val="1"/>
          <w:color w:val="auto"/>
        </w:rPr>
        <w:t>Materials</w:t>
      </w:r>
      <w:r>
        <w:rPr>
          <w:rFonts w:ascii="Arial Unicode MS" w:cs="Arial Unicode MS" w:eastAsia="Arial Unicode MS" w:hAnsi="Arial Unicode MS"/>
          <w:sz w:val="22"/>
          <w:szCs w:val="22"/>
          <w:color w:val="auto"/>
        </w:rPr>
        <w:t>” means any content, information, materials and items provided or made accessible by a Party pursuant to</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this Agreement, including APIs, links, text, images, trademarks, logos, audio, video and other copyright works, and software, tools, technologies and other functional items, and any other intellectual property in whatever format. Shopify Materials and Flow Materials shall be construed accordingly.</w:t>
      </w:r>
    </w:p>
    <w:p>
      <w:pPr>
        <w:spacing w:after="0" w:line="200" w:lineRule="exact"/>
        <w:rPr>
          <w:sz w:val="20"/>
          <w:szCs w:val="20"/>
          <w:color w:val="auto"/>
        </w:rPr>
      </w:pPr>
    </w:p>
    <w:p>
      <w:pPr>
        <w:spacing w:after="0" w:line="208" w:lineRule="exact"/>
        <w:rPr>
          <w:sz w:val="20"/>
          <w:szCs w:val="20"/>
          <w:color w:val="auto"/>
        </w:rPr>
      </w:pPr>
    </w:p>
    <w:p>
      <w:pPr>
        <w:jc w:val="center"/>
        <w:ind w:right="380"/>
        <w:spacing w:after="0" w:line="295" w:lineRule="exact"/>
        <w:rPr>
          <w:sz w:val="20"/>
          <w:szCs w:val="20"/>
          <w:color w:val="auto"/>
        </w:rPr>
      </w:pPr>
      <w:r>
        <w:rPr>
          <w:rFonts w:ascii="Arial Unicode MS" w:cs="Arial Unicode MS" w:eastAsia="Arial Unicode MS" w:hAnsi="Arial Unicode MS"/>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26670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92" w:right="339" w:bottom="1440" w:gutter="0" w:footer="0" w:header="0"/>
        </w:sectPr>
      </w:pPr>
    </w:p>
    <w:bookmarkStart w:id="198" w:name="page199"/>
    <w:bookmarkEnd w:id="198"/>
    <w:p>
      <w:pPr>
        <w:ind w:right="18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Merchant</w:t>
      </w:r>
      <w:r>
        <w:rPr>
          <w:rFonts w:ascii="Times New Roman" w:cs="Times New Roman" w:eastAsia="Times New Roman" w:hAnsi="Times New Roman"/>
          <w:sz w:val="22"/>
          <w:szCs w:val="22"/>
          <w:color w:val="auto"/>
        </w:rPr>
        <w:t>” means any merchant user of the Shopify Service who utilize any or all of the Flow Offerings for the sales of Products, including (pursuant to the terms of this Agreement) sales to Flow to sell cross-border.</w:t>
      </w:r>
    </w:p>
    <w:p>
      <w:pPr>
        <w:spacing w:after="0" w:line="205" w:lineRule="exact"/>
        <w:rPr>
          <w:sz w:val="20"/>
          <w:szCs w:val="20"/>
          <w:color w:val="auto"/>
        </w:rPr>
      </w:pPr>
    </w:p>
    <w:p>
      <w:pPr>
        <w:ind w:right="52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Merchant Customer Personal Data</w:t>
      </w:r>
      <w:r>
        <w:rPr>
          <w:rFonts w:ascii="Times New Roman" w:cs="Times New Roman" w:eastAsia="Times New Roman" w:hAnsi="Times New Roman"/>
          <w:sz w:val="22"/>
          <w:szCs w:val="22"/>
          <w:color w:val="auto"/>
        </w:rPr>
        <w:t>” means any Personal Data relating to a Merchant’s customer that Flow may receive as part of any Flow Offering that is not related to an MoR Customer Order.</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Merchant Personal Data</w:t>
      </w:r>
      <w:r>
        <w:rPr>
          <w:rFonts w:ascii="Times New Roman" w:cs="Times New Roman" w:eastAsia="Times New Roman" w:hAnsi="Times New Roman"/>
          <w:sz w:val="22"/>
          <w:szCs w:val="22"/>
          <w:color w:val="auto"/>
        </w:rPr>
        <w:t>” means any Personal Data relating to a Merchant.</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p>
    <w:p>
      <w:pPr>
        <w:spacing w:after="0" w:line="283" w:lineRule="exact"/>
        <w:rPr>
          <w:sz w:val="20"/>
          <w:szCs w:val="20"/>
          <w:color w:val="auto"/>
        </w:rPr>
      </w:pPr>
    </w:p>
    <w:p>
      <w:pPr>
        <w:ind w:right="26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 Customer Orders</w:t>
      </w:r>
      <w:r>
        <w:rPr>
          <w:rFonts w:ascii="Times New Roman" w:cs="Times New Roman" w:eastAsia="Times New Roman" w:hAnsi="Times New Roman"/>
          <w:sz w:val="22"/>
          <w:szCs w:val="22"/>
          <w:color w:val="auto"/>
        </w:rPr>
        <w:t>” means each Customer Order for which Flow (or a Designated Affiliate) is the merchant of record (as further described in Section 2.2 below).</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Options</w:t>
      </w:r>
      <w:r>
        <w:rPr>
          <w:rFonts w:ascii="Times New Roman" w:cs="Times New Roman" w:eastAsia="Times New Roman" w:hAnsi="Times New Roman"/>
          <w:sz w:val="22"/>
          <w:szCs w:val="22"/>
          <w:color w:val="auto"/>
        </w:rPr>
        <w:t>” means the payment methods Flow makes available to customers for MoR Customer Orders.</w:t>
      </w:r>
    </w:p>
    <w:p>
      <w:pPr>
        <w:spacing w:after="0" w:line="287" w:lineRule="exact"/>
        <w:rPr>
          <w:sz w:val="20"/>
          <w:szCs w:val="20"/>
          <w:color w:val="auto"/>
        </w:rPr>
      </w:pPr>
    </w:p>
    <w:p>
      <w:pPr>
        <w:ind w:right="240" w:firstLine="38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xml:space="preserve"> means any information processed pursuant to the Agreement, that relates to, describes, or could reasonably be linked to an identifiable data subject, and shall include any personal data as described in any applicable data protection laws, directives, rules or regulations.</w:t>
      </w:r>
    </w:p>
    <w:p>
      <w:pPr>
        <w:spacing w:after="0" w:line="220" w:lineRule="exact"/>
        <w:rPr>
          <w:sz w:val="20"/>
          <w:szCs w:val="20"/>
          <w:color w:val="auto"/>
        </w:rPr>
      </w:pPr>
    </w:p>
    <w:p>
      <w:pPr>
        <w:ind w:right="4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Products</w:t>
      </w:r>
      <w:r>
        <w:rPr>
          <w:rFonts w:ascii="Times New Roman" w:cs="Times New Roman" w:eastAsia="Times New Roman" w:hAnsi="Times New Roman"/>
          <w:sz w:val="22"/>
          <w:szCs w:val="22"/>
          <w:color w:val="auto"/>
        </w:rPr>
        <w:t>” means the goods and products sold by Merchants on the Shopify Service, each of which shall have a unique SKU (stock-keeping unit) number.</w:t>
      </w:r>
    </w:p>
    <w:p>
      <w:pPr>
        <w:spacing w:after="0" w:line="205" w:lineRule="exact"/>
        <w:rPr>
          <w:sz w:val="20"/>
          <w:szCs w:val="20"/>
          <w:color w:val="auto"/>
        </w:rPr>
      </w:pPr>
    </w:p>
    <w:p>
      <w:pPr>
        <w:ind w:right="320" w:firstLine="389"/>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Information</w:t>
      </w:r>
      <w:r>
        <w:rPr>
          <w:rFonts w:ascii="Times New Roman" w:cs="Times New Roman" w:eastAsia="Times New Roman" w:hAnsi="Times New Roman"/>
          <w:sz w:val="21"/>
          <w:szCs w:val="21"/>
          <w:color w:val="auto"/>
        </w:rPr>
        <w:t>” includes, but is not limited to, Product related attributes, such as characteristics, constituent, end use, special feature, item type, materials, composition, construction, gender or stage of life, and country of origin.</w:t>
      </w:r>
    </w:p>
    <w:p>
      <w:pPr>
        <w:spacing w:after="0" w:line="180" w:lineRule="exact"/>
        <w:rPr>
          <w:sz w:val="20"/>
          <w:szCs w:val="20"/>
          <w:color w:val="auto"/>
        </w:rPr>
      </w:pPr>
    </w:p>
    <w:p>
      <w:pPr>
        <w:jc w:val="both"/>
        <w:ind w:right="100" w:firstLine="389"/>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“Security Event” </w:t>
      </w:r>
      <w:r>
        <w:rPr>
          <w:rFonts w:ascii="Times New Roman" w:cs="Times New Roman" w:eastAsia="Times New Roman" w:hAnsi="Times New Roman"/>
          <w:sz w:val="22"/>
          <w:szCs w:val="22"/>
          <w:color w:val="auto"/>
        </w:rPr>
        <w:t>means the actual unauthorized acquisition of or access to any confidential or personally identifiable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that has been provided by or made available on or through the Shopify Service or the Flow Offerings, including due to access or use by an unauthorized person or due to unauthorized use.</w:t>
      </w:r>
    </w:p>
    <w:p>
      <w:pPr>
        <w:spacing w:after="0" w:line="220" w:lineRule="exact"/>
        <w:rPr>
          <w:sz w:val="20"/>
          <w:szCs w:val="20"/>
          <w:color w:val="auto"/>
        </w:rPr>
      </w:pPr>
    </w:p>
    <w:p>
      <w:pPr>
        <w:ind w:right="80" w:firstLine="38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Currencies</w:t>
      </w:r>
      <w:r>
        <w:rPr>
          <w:rFonts w:ascii="Times New Roman" w:cs="Times New Roman" w:eastAsia="Times New Roman" w:hAnsi="Times New Roman"/>
          <w:sz w:val="22"/>
          <w:szCs w:val="22"/>
          <w:color w:val="auto"/>
        </w:rPr>
        <w:t>” means those currencies for which Flow and Shopify agree to support to settle to Merchants that the Merchants have selected as its base currency for its product catalogue. The initial Settlement Currencies are listed in Section 6.23 and additional currencies shall be added by mutual agreement.</w:t>
      </w:r>
    </w:p>
    <w:p>
      <w:pPr>
        <w:spacing w:after="0" w:line="220" w:lineRule="exact"/>
        <w:rPr>
          <w:sz w:val="20"/>
          <w:szCs w:val="20"/>
          <w:color w:val="auto"/>
        </w:rPr>
      </w:pPr>
    </w:p>
    <w:p>
      <w:pPr>
        <w:ind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Shared Customer Personal Data</w:t>
      </w:r>
      <w:r>
        <w:rPr>
          <w:rFonts w:ascii="Times New Roman" w:cs="Times New Roman" w:eastAsia="Times New Roman" w:hAnsi="Times New Roman"/>
          <w:sz w:val="22"/>
          <w:szCs w:val="22"/>
          <w:color w:val="auto"/>
        </w:rPr>
        <w:t>” means any Personal Data that each of Flow and Merchant may receive related to an MoR Customer Order.</w:t>
      </w:r>
    </w:p>
    <w:p>
      <w:pPr>
        <w:spacing w:after="0" w:line="205" w:lineRule="exact"/>
        <w:rPr>
          <w:sz w:val="20"/>
          <w:szCs w:val="20"/>
          <w:color w:val="auto"/>
        </w:rPr>
      </w:pPr>
    </w:p>
    <w:p>
      <w:pPr>
        <w:ind w:right="22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Shopify API Terms</w:t>
      </w:r>
      <w:r>
        <w:rPr>
          <w:rFonts w:ascii="Times New Roman" w:cs="Times New Roman" w:eastAsia="Times New Roman" w:hAnsi="Times New Roman"/>
          <w:sz w:val="22"/>
          <w:szCs w:val="22"/>
          <w:color w:val="auto"/>
        </w:rPr>
        <w:t>” means the Shopify API License and Terms of use, as amended from time to time in accordance with the terms of Section 22, available at https://www.shopify.com/legal/api-terms.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Shopify Partner Offering</w:t>
      </w:r>
      <w:r>
        <w:rPr>
          <w:rFonts w:ascii="Times New Roman" w:cs="Times New Roman" w:eastAsia="Times New Roman" w:hAnsi="Times New Roman"/>
          <w:sz w:val="22"/>
          <w:szCs w:val="22"/>
          <w:color w:val="auto"/>
        </w:rPr>
        <w:t>” has the meaning set forth in Section 3.</w:t>
      </w:r>
    </w:p>
    <w:p>
      <w:pPr>
        <w:spacing w:after="0" w:line="287" w:lineRule="exact"/>
        <w:rPr>
          <w:sz w:val="20"/>
          <w:szCs w:val="20"/>
          <w:color w:val="auto"/>
        </w:rPr>
      </w:pPr>
    </w:p>
    <w:p>
      <w:pPr>
        <w:ind w:right="58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Shopify Service</w:t>
      </w:r>
      <w:r>
        <w:rPr>
          <w:rFonts w:ascii="Times New Roman" w:cs="Times New Roman" w:eastAsia="Times New Roman" w:hAnsi="Times New Roman"/>
          <w:sz w:val="22"/>
          <w:szCs w:val="22"/>
          <w:color w:val="auto"/>
        </w:rPr>
        <w:t xml:space="preserve">” means the Shopify hosted commerce platform available via </w:t>
      </w:r>
      <w:r>
        <w:rPr>
          <w:rFonts w:ascii="Times New Roman" w:cs="Times New Roman" w:eastAsia="Times New Roman" w:hAnsi="Times New Roman"/>
          <w:sz w:val="22"/>
          <w:szCs w:val="22"/>
          <w:u w:val="single" w:color="auto"/>
          <w:color w:val="auto"/>
        </w:rPr>
        <w:t>www.shopify.com</w:t>
      </w:r>
      <w:r>
        <w:rPr>
          <w:rFonts w:ascii="Times New Roman" w:cs="Times New Roman" w:eastAsia="Times New Roman" w:hAnsi="Times New Roman"/>
          <w:sz w:val="22"/>
          <w:szCs w:val="22"/>
          <w:color w:val="auto"/>
        </w:rPr>
        <w:t xml:space="preserve"> (or successor or related URL) and any associated websites, products or services offered by Shopify.</w:t>
      </w:r>
    </w:p>
    <w:p>
      <w:pPr>
        <w:spacing w:after="0" w:line="3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720" w:top="392" w:right="359" w:bottom="1440" w:gutter="0" w:footer="0" w:header="0"/>
        </w:sectPr>
      </w:pPr>
    </w:p>
    <w:bookmarkStart w:id="199" w:name="page200"/>
    <w:bookmarkEnd w:id="199"/>
    <w:p>
      <w:pPr>
        <w:ind w:left="400" w:right="60" w:firstLine="38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Shopify Partner Terms</w:t>
      </w:r>
      <w:r>
        <w:rPr>
          <w:rFonts w:ascii="Times New Roman" w:cs="Times New Roman" w:eastAsia="Times New Roman" w:hAnsi="Times New Roman"/>
          <w:sz w:val="22"/>
          <w:szCs w:val="22"/>
          <w:color w:val="auto"/>
        </w:rPr>
        <w:t>” means the Shopify Partner Program Agreement, as amended from time to time in accordance with the terms of Section 22, available at https://www.shopify.ca/partners/terms.</w:t>
      </w:r>
    </w:p>
    <w:p>
      <w:pPr>
        <w:spacing w:after="0" w:line="205" w:lineRule="exact"/>
        <w:rPr>
          <w:sz w:val="20"/>
          <w:szCs w:val="20"/>
          <w:color w:val="auto"/>
        </w:rPr>
      </w:pPr>
    </w:p>
    <w:p>
      <w:pPr>
        <w:ind w:left="400" w:right="40" w:firstLine="38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Rate</w:t>
      </w:r>
      <w:r>
        <w:rPr>
          <w:rFonts w:ascii="Times New Roman" w:cs="Times New Roman" w:eastAsia="Times New Roman" w:hAnsi="Times New Roman"/>
          <w:sz w:val="22"/>
          <w:szCs w:val="22"/>
          <w:color w:val="auto"/>
        </w:rPr>
        <w:t>” means the rate used for most physical consumer goods, solely at the country level (other than for Canada, which shall include the provincial level), and excluding any special, exempt (or zero-rated), exempt with credit, exempt without credit, effective tax, flat rate, full exemption, GCC common VAT rates, partial exemption, reduced (or lower rate), increased, increased standard, industrial tax, intermediary, tax levy, municipal, luxury consumption rate, sales tax holiday, service related tax, special luxury goods, special sales tax, special zone, commercial zone, special B2B (business-to-business), special provincial, supplementary tax, table tax rate, tariff rate, tourism goods and services tax.</w:t>
      </w:r>
    </w:p>
    <w:p>
      <w:pPr>
        <w:spacing w:after="0" w:line="233" w:lineRule="exact"/>
        <w:rPr>
          <w:sz w:val="20"/>
          <w:szCs w:val="20"/>
          <w:color w:val="auto"/>
        </w:rPr>
      </w:pPr>
    </w:p>
    <w:p>
      <w:pPr>
        <w:ind w:left="400" w:right="120" w:firstLine="38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Calculator</w:t>
      </w:r>
      <w:r>
        <w:rPr>
          <w:rFonts w:ascii="Times New Roman" w:cs="Times New Roman" w:eastAsia="Times New Roman" w:hAnsi="Times New Roman"/>
          <w:sz w:val="22"/>
          <w:szCs w:val="22"/>
          <w:color w:val="auto"/>
        </w:rPr>
        <w:t>” means Flow’s software that provides the ability to compute sales tax due (also known as, depending on the jurisdiction, VAT, GST, PST or similar type of indirect tax) and duty amount at the time of checkout for cross-border sales of physical goods to consumers from a single jurisdiction to a single jurisdiction, based upon the Tax Inputs received and the duty rate (Standard Rate or FTA Supported Rates, as applicable, only). The tax calculator excludes US sales and use tax rates.</w:t>
      </w:r>
    </w:p>
    <w:p>
      <w:pPr>
        <w:spacing w:after="0" w:line="229" w:lineRule="exact"/>
        <w:rPr>
          <w:sz w:val="20"/>
          <w:szCs w:val="20"/>
          <w:color w:val="auto"/>
        </w:rPr>
      </w:pPr>
    </w:p>
    <w:p>
      <w:pPr>
        <w:ind w:left="400" w:right="80" w:firstLine="389"/>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Inputs</w:t>
      </w:r>
      <w:r>
        <w:rPr>
          <w:rFonts w:ascii="Times New Roman" w:cs="Times New Roman" w:eastAsia="Times New Roman" w:hAnsi="Times New Roman"/>
          <w:sz w:val="22"/>
          <w:szCs w:val="22"/>
          <w:color w:val="auto"/>
        </w:rPr>
        <w:t>” means such inputs, including but not limited to, tax rate (Standard Rate only), origination country, destination country, customer location, product type, shipping cost and insurance cost, if applicable. For each tax calculation for each Customer Order, Tax Inputs shall also include transaction data at the line item level (including all discounts, promo codes applied, etc).</w:t>
      </w:r>
    </w:p>
    <w:p>
      <w:pPr>
        <w:spacing w:after="0" w:line="228" w:lineRule="exact"/>
        <w:rPr>
          <w:sz w:val="20"/>
          <w:szCs w:val="20"/>
          <w:color w:val="auto"/>
        </w:rPr>
      </w:pPr>
    </w:p>
    <w:p>
      <w:pPr>
        <w:jc w:val="both"/>
        <w:ind w:left="400" w:right="700" w:firstLine="38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Order Volume</w:t>
      </w:r>
      <w:r>
        <w:rPr>
          <w:rFonts w:ascii="Times New Roman" w:cs="Times New Roman" w:eastAsia="Times New Roman" w:hAnsi="Times New Roman"/>
          <w:sz w:val="22"/>
          <w:szCs w:val="22"/>
          <w:color w:val="auto"/>
        </w:rPr>
        <w:t>” shall mean the amount of (in the base currency, or if more than one base currency, in the primary base currency) the purchase price of all items purchased pursuant to a Customer Order, plus taxes, duties and shipping charged to the customer</w:t>
      </w:r>
    </w:p>
    <w:p>
      <w:pPr>
        <w:spacing w:after="0" w:line="220" w:lineRule="exact"/>
        <w:rPr>
          <w:sz w:val="20"/>
          <w:szCs w:val="20"/>
          <w:color w:val="auto"/>
        </w:rPr>
      </w:pPr>
    </w:p>
    <w:p>
      <w:pPr>
        <w:ind w:right="140" w:firstLine="397"/>
        <w:spacing w:after="0" w:line="287" w:lineRule="auto"/>
        <w:tabs>
          <w:tab w:leader="none" w:pos="109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Flow’s Offering</w:t>
      </w:r>
      <w:r>
        <w:rPr>
          <w:rFonts w:ascii="Times New Roman" w:cs="Times New Roman" w:eastAsia="Times New Roman" w:hAnsi="Times New Roman"/>
          <w:sz w:val="22"/>
          <w:szCs w:val="22"/>
          <w:color w:val="auto"/>
        </w:rPr>
        <w:t>. Flow shall provide the following offerings for the Shopify native solution (the “</w:t>
      </w:r>
      <w:r>
        <w:rPr>
          <w:rFonts w:ascii="Times New Roman" w:cs="Times New Roman" w:eastAsia="Times New Roman" w:hAnsi="Times New Roman"/>
          <w:sz w:val="22"/>
          <w:szCs w:val="22"/>
          <w:b w:val="1"/>
          <w:bCs w:val="1"/>
          <w:color w:val="auto"/>
        </w:rPr>
        <w:t>Flow Offerings</w:t>
      </w:r>
      <w:r>
        <w:rPr>
          <w:rFonts w:ascii="Times New Roman" w:cs="Times New Roman" w:eastAsia="Times New Roman" w:hAnsi="Times New Roman"/>
          <w:sz w:val="22"/>
          <w:szCs w:val="22"/>
          <w:color w:val="auto"/>
        </w:rPr>
        <w:t>”), in accordance with the terms and conditions of this Agreement:</w:t>
      </w:r>
    </w:p>
    <w:p>
      <w:pPr>
        <w:spacing w:after="0" w:line="209" w:lineRule="exact"/>
        <w:rPr>
          <w:sz w:val="20"/>
          <w:szCs w:val="20"/>
          <w:color w:val="auto"/>
        </w:rPr>
      </w:pPr>
    </w:p>
    <w:p>
      <w:pPr>
        <w:ind w:left="920"/>
        <w:spacing w:after="0"/>
        <w:tabs>
          <w:tab w:leader="none" w:pos="17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The Flow Offering shall be the Flow Merchant Offering (as defined in Section 2.2) and the following:</w:t>
      </w:r>
    </w:p>
    <w:p>
      <w:pPr>
        <w:spacing w:after="0" w:line="287" w:lineRule="exact"/>
        <w:rPr>
          <w:sz w:val="20"/>
          <w:szCs w:val="20"/>
          <w:color w:val="auto"/>
        </w:rPr>
      </w:pPr>
    </w:p>
    <w:p>
      <w:pPr>
        <w:ind w:left="920" w:right="260" w:firstLine="643"/>
        <w:spacing w:after="0" w:line="284" w:lineRule="auto"/>
        <w:tabs>
          <w:tab w:leader="none" w:pos="234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for Shopify to make the Flow Merchant Offerings available to merchants as described in this Agreement as part of the Shopify Service for cross-border sales enablement;</w:t>
      </w:r>
    </w:p>
    <w:p>
      <w:pPr>
        <w:spacing w:after="0" w:line="211" w:lineRule="exact"/>
        <w:rPr>
          <w:rFonts w:ascii="Times New Roman" w:cs="Times New Roman" w:eastAsia="Times New Roman" w:hAnsi="Times New Roman"/>
          <w:sz w:val="22"/>
          <w:szCs w:val="22"/>
          <w:color w:val="auto"/>
        </w:rPr>
      </w:pPr>
    </w:p>
    <w:p>
      <w:pPr>
        <w:ind w:left="920" w:right="60" w:firstLine="643"/>
        <w:spacing w:after="0" w:line="265" w:lineRule="auto"/>
        <w:tabs>
          <w:tab w:leader="none" w:pos="23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Merchants to utilize the Flow Merchant Offerings, as well as the Flow Offerings (where applicable), through a natively integrated solution in the Shopify Service via APIs and collaborative integration support, as further described in Section 6, and to provide the APIs and the rights necessary to utilize the APIs to offer the Flow Offerings and support the integration;</w:t>
      </w:r>
    </w:p>
    <w:p>
      <w:pPr>
        <w:spacing w:after="0" w:line="232" w:lineRule="exact"/>
        <w:rPr>
          <w:rFonts w:ascii="Times New Roman" w:cs="Times New Roman" w:eastAsia="Times New Roman" w:hAnsi="Times New Roman"/>
          <w:sz w:val="22"/>
          <w:szCs w:val="22"/>
          <w:color w:val="auto"/>
        </w:rPr>
      </w:pPr>
    </w:p>
    <w:p>
      <w:pPr>
        <w:ind w:left="2340" w:hanging="777"/>
        <w:spacing w:after="0"/>
        <w:tabs>
          <w:tab w:leader="none" w:pos="23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shipping offering via Logistics Providers for Customer Orders;</w:t>
      </w:r>
    </w:p>
    <w:p>
      <w:pPr>
        <w:spacing w:after="0" w:line="287" w:lineRule="exact"/>
        <w:rPr>
          <w:rFonts w:ascii="Times New Roman" w:cs="Times New Roman" w:eastAsia="Times New Roman" w:hAnsi="Times New Roman"/>
          <w:sz w:val="22"/>
          <w:szCs w:val="22"/>
          <w:color w:val="auto"/>
        </w:rPr>
      </w:pPr>
    </w:p>
    <w:p>
      <w:pPr>
        <w:ind w:left="2360" w:hanging="797"/>
        <w:spacing w:after="0"/>
        <w:tabs>
          <w:tab w:leader="none" w:pos="23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Standard Rates for tax and duty and de minimis duty and tax thresholds for the Tax Calculator;</w:t>
      </w:r>
    </w:p>
    <w:p>
      <w:pPr>
        <w:spacing w:after="0" w:line="287" w:lineRule="exact"/>
        <w:rPr>
          <w:rFonts w:ascii="Times New Roman" w:cs="Times New Roman" w:eastAsia="Times New Roman" w:hAnsi="Times New Roman"/>
          <w:sz w:val="22"/>
          <w:szCs w:val="22"/>
          <w:color w:val="auto"/>
        </w:rPr>
      </w:pPr>
    </w:p>
    <w:p>
      <w:pPr>
        <w:ind w:left="920" w:firstLine="643"/>
        <w:spacing w:after="0" w:line="284" w:lineRule="auto"/>
        <w:tabs>
          <w:tab w:leader="none" w:pos="234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tax and duty amount to be displayed at checkout (as further described in Section 9.7) for non-MoR Customer Orders; and</w:t>
      </w:r>
    </w:p>
    <w:p>
      <w:pPr>
        <w:spacing w:after="0" w:line="211" w:lineRule="exact"/>
        <w:rPr>
          <w:rFonts w:ascii="Times New Roman" w:cs="Times New Roman" w:eastAsia="Times New Roman" w:hAnsi="Times New Roman"/>
          <w:sz w:val="22"/>
          <w:szCs w:val="22"/>
          <w:color w:val="auto"/>
        </w:rPr>
      </w:pPr>
    </w:p>
    <w:p>
      <w:pPr>
        <w:ind w:left="920" w:right="960" w:firstLine="643"/>
        <w:spacing w:after="0" w:line="284" w:lineRule="auto"/>
        <w:tabs>
          <w:tab w:leader="none" w:pos="232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Harmonization code (HS Code) recommendation offering for Products based on the Product Information provided for non-MoR Customer Orders.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00" w:name="page201"/>
    <w:bookmarkEnd w:id="200"/>
    <w:p>
      <w:pPr>
        <w:spacing w:after="0" w:line="4" w:lineRule="exact"/>
        <w:rPr>
          <w:sz w:val="20"/>
          <w:szCs w:val="20"/>
          <w:color w:val="auto"/>
        </w:rPr>
      </w:pPr>
    </w:p>
    <w:p>
      <w:pPr>
        <w:ind w:left="3" w:right="440" w:firstLine="518"/>
        <w:spacing w:after="0" w:line="284" w:lineRule="auto"/>
        <w:rPr>
          <w:sz w:val="20"/>
          <w:szCs w:val="20"/>
          <w:color w:val="auto"/>
        </w:rPr>
      </w:pPr>
      <w:r>
        <w:rPr>
          <w:rFonts w:ascii="Times New Roman" w:cs="Times New Roman" w:eastAsia="Times New Roman" w:hAnsi="Times New Roman"/>
          <w:sz w:val="22"/>
          <w:szCs w:val="22"/>
          <w:color w:val="auto"/>
        </w:rPr>
        <w:t>2.2 Shopify shall make available (as further described in Section 3) the following Flow offering to select (as further described in Section 5.1) Shopify Merchants (the “Flow Merchant Offering”):</w:t>
      </w:r>
    </w:p>
    <w:p>
      <w:pPr>
        <w:spacing w:after="0" w:line="211" w:lineRule="exact"/>
        <w:rPr>
          <w:sz w:val="20"/>
          <w:szCs w:val="20"/>
          <w:color w:val="auto"/>
        </w:rPr>
      </w:pPr>
    </w:p>
    <w:p>
      <w:pPr>
        <w:ind w:left="523" w:right="320" w:firstLine="643"/>
        <w:spacing w:after="0" w:line="261" w:lineRule="auto"/>
        <w:tabs>
          <w:tab w:leader="none" w:pos="195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Cross-border offering for sales to customers in International Territories whereby Flow (or its Designated Affiliate) will purchase the Merchant’s Product(s) that the customer has selected from the Merchant and promptly sell the same to the customer for the same price (e.g., at full price, or with discount that the Merchant provides for such purchase) such that Flow is the merchant of record (it being understood that Flow shall provide Shopify with advance written notice via e-mail of the names of its Designated Affiliates that will be the buyer and seller of the goods);</w:t>
      </w:r>
    </w:p>
    <w:p>
      <w:pPr>
        <w:spacing w:after="0" w:line="239" w:lineRule="exact"/>
        <w:rPr>
          <w:rFonts w:ascii="Times New Roman" w:cs="Times New Roman" w:eastAsia="Times New Roman" w:hAnsi="Times New Roman"/>
          <w:sz w:val="22"/>
          <w:szCs w:val="22"/>
          <w:color w:val="auto"/>
        </w:rPr>
      </w:pPr>
    </w:p>
    <w:p>
      <w:pPr>
        <w:ind w:left="1963" w:hanging="797"/>
        <w:spacing w:after="0"/>
        <w:tabs>
          <w:tab w:leader="none" w:pos="196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Multiple Settlement Currencies for MoR Customer Orders;</w:t>
      </w:r>
    </w:p>
    <w:p>
      <w:pPr>
        <w:spacing w:after="0" w:line="287" w:lineRule="exact"/>
        <w:rPr>
          <w:rFonts w:ascii="Times New Roman" w:cs="Times New Roman" w:eastAsia="Times New Roman" w:hAnsi="Times New Roman"/>
          <w:sz w:val="22"/>
          <w:szCs w:val="22"/>
          <w:color w:val="auto"/>
        </w:rPr>
      </w:pPr>
    </w:p>
    <w:p>
      <w:pPr>
        <w:ind w:left="1943" w:hanging="777"/>
        <w:spacing w:after="0"/>
        <w:tabs>
          <w:tab w:leader="none" w:pos="194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shipping offering via Logistics Providers for MoR Customer Orders;</w:t>
      </w:r>
    </w:p>
    <w:p>
      <w:pPr>
        <w:spacing w:after="0" w:line="287" w:lineRule="exact"/>
        <w:rPr>
          <w:rFonts w:ascii="Times New Roman" w:cs="Times New Roman" w:eastAsia="Times New Roman" w:hAnsi="Times New Roman"/>
          <w:sz w:val="22"/>
          <w:szCs w:val="22"/>
          <w:color w:val="auto"/>
        </w:rPr>
      </w:pPr>
    </w:p>
    <w:p>
      <w:pPr>
        <w:ind w:left="1963" w:hanging="797"/>
        <w:spacing w:after="0"/>
        <w:tabs>
          <w:tab w:leader="none" w:pos="196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solution for MoR Customer Orders (as further described in Section 9.9);</w:t>
      </w:r>
    </w:p>
    <w:p>
      <w:pPr>
        <w:spacing w:after="0" w:line="287" w:lineRule="exact"/>
        <w:rPr>
          <w:rFonts w:ascii="Times New Roman" w:cs="Times New Roman" w:eastAsia="Times New Roman" w:hAnsi="Times New Roman"/>
          <w:sz w:val="22"/>
          <w:szCs w:val="22"/>
          <w:color w:val="auto"/>
        </w:rPr>
      </w:pPr>
    </w:p>
    <w:p>
      <w:pPr>
        <w:ind w:left="523" w:firstLine="643"/>
        <w:spacing w:after="0" w:line="284" w:lineRule="auto"/>
        <w:tabs>
          <w:tab w:leader="none" w:pos="194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tax and duty amount to be displayed at checkout (as further described in Section 9.7) for MoR Customer Orders;</w:t>
      </w:r>
    </w:p>
    <w:p>
      <w:pPr>
        <w:spacing w:after="0" w:line="211" w:lineRule="exact"/>
        <w:rPr>
          <w:rFonts w:ascii="Times New Roman" w:cs="Times New Roman" w:eastAsia="Times New Roman" w:hAnsi="Times New Roman"/>
          <w:sz w:val="22"/>
          <w:szCs w:val="22"/>
          <w:color w:val="auto"/>
        </w:rPr>
      </w:pPr>
    </w:p>
    <w:p>
      <w:pPr>
        <w:ind w:left="523" w:right="960" w:firstLine="643"/>
        <w:spacing w:after="0" w:line="284" w:lineRule="auto"/>
        <w:tabs>
          <w:tab w:leader="none" w:pos="192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Harmonization code (HS Code) recommendation offering for Products based on the Product Information provided for MoR Customer Orders;</w:t>
      </w:r>
    </w:p>
    <w:p>
      <w:pPr>
        <w:spacing w:after="0" w:line="211" w:lineRule="exact"/>
        <w:rPr>
          <w:rFonts w:ascii="Times New Roman" w:cs="Times New Roman" w:eastAsia="Times New Roman" w:hAnsi="Times New Roman"/>
          <w:sz w:val="22"/>
          <w:szCs w:val="22"/>
          <w:color w:val="auto"/>
        </w:rPr>
      </w:pPr>
    </w:p>
    <w:p>
      <w:pPr>
        <w:ind w:left="523" w:right="420" w:firstLine="643"/>
        <w:spacing w:after="0" w:line="284" w:lineRule="auto"/>
        <w:tabs>
          <w:tab w:leader="none" w:pos="196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Payment Options offering for customers based on the jurisdiction of the customer solely for MoR Customer Orders through Flow’s payment provider(s); and</w:t>
      </w:r>
    </w:p>
    <w:p>
      <w:pPr>
        <w:spacing w:after="0" w:line="211" w:lineRule="exact"/>
        <w:rPr>
          <w:rFonts w:ascii="Times New Roman" w:cs="Times New Roman" w:eastAsia="Times New Roman" w:hAnsi="Times New Roman"/>
          <w:sz w:val="22"/>
          <w:szCs w:val="22"/>
          <w:color w:val="auto"/>
        </w:rPr>
      </w:pPr>
    </w:p>
    <w:p>
      <w:pPr>
        <w:ind w:left="523" w:right="260" w:firstLine="643"/>
        <w:spacing w:after="0" w:line="284" w:lineRule="auto"/>
        <w:tabs>
          <w:tab w:leader="none" w:pos="195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Tracking information for both MoR and non-MoR Customer Orders where Flow’s logistic offerings are used which will be made available to Shopify via the APIs.</w:t>
      </w:r>
    </w:p>
    <w:p>
      <w:pPr>
        <w:spacing w:after="0" w:line="211" w:lineRule="exact"/>
        <w:rPr>
          <w:sz w:val="20"/>
          <w:szCs w:val="20"/>
          <w:color w:val="auto"/>
        </w:rPr>
      </w:pPr>
    </w:p>
    <w:p>
      <w:pPr>
        <w:ind w:left="3" w:right="20" w:firstLine="518"/>
        <w:spacing w:after="0" w:line="273" w:lineRule="auto"/>
        <w:rPr>
          <w:sz w:val="20"/>
          <w:szCs w:val="20"/>
          <w:color w:val="auto"/>
        </w:rPr>
      </w:pPr>
      <w:r>
        <w:rPr>
          <w:rFonts w:ascii="Times New Roman" w:cs="Times New Roman" w:eastAsia="Times New Roman" w:hAnsi="Times New Roman"/>
          <w:sz w:val="21"/>
          <w:szCs w:val="21"/>
          <w:color w:val="auto"/>
        </w:rPr>
        <w:t>2.3 Flow shall be the exclusive provider for integrated merchant of record solution as part of the Shopify branded cross-border offering to its Merchants. Notwithstanding the foregoing, exclusivity shall not include merchant sales on a direct-to-consumer import or export basis from or to the People's Republic of China. For additional markets where the Flow Offering is not currently supported or for any additional expansion of the Flow Offerings for the Shopify branded native solution (including but not limited to new features, new services, new functionality, or expanded scope (e.g., additional rates beyond Standard Rates in the Tax Calculator), the Parties shall consult in good faith whereby Shopify will provide Flow with a first opportunity to provide the requested service or expansion. If Flow cannot or will not provide the requested additional services in accordance with the specifications provided by Shopify, acting in good faith, then Shopify shall be entitled to contract with a third party or develop (subject to the terms of Section 8) the services on a first-party basis.</w:t>
      </w:r>
    </w:p>
    <w:p>
      <w:pPr>
        <w:spacing w:after="0" w:line="224" w:lineRule="exact"/>
        <w:rPr>
          <w:sz w:val="20"/>
          <w:szCs w:val="20"/>
          <w:color w:val="auto"/>
        </w:rPr>
      </w:pPr>
    </w:p>
    <w:p>
      <w:pPr>
        <w:ind w:left="-397" w:right="1000" w:firstLine="397"/>
        <w:spacing w:after="0" w:line="287" w:lineRule="auto"/>
        <w:tabs>
          <w:tab w:leader="none" w:pos="6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Shopify’s Offering</w:t>
      </w:r>
      <w:r>
        <w:rPr>
          <w:rFonts w:ascii="Times New Roman" w:cs="Times New Roman" w:eastAsia="Times New Roman" w:hAnsi="Times New Roman"/>
          <w:sz w:val="22"/>
          <w:szCs w:val="22"/>
          <w:color w:val="auto"/>
        </w:rPr>
        <w:t>. Shopify shall provide the following to Global-e (the “</w:t>
      </w:r>
      <w:r>
        <w:rPr>
          <w:rFonts w:ascii="Times New Roman" w:cs="Times New Roman" w:eastAsia="Times New Roman" w:hAnsi="Times New Roman"/>
          <w:sz w:val="22"/>
          <w:szCs w:val="22"/>
          <w:b w:val="1"/>
          <w:bCs w:val="1"/>
          <w:color w:val="auto"/>
        </w:rPr>
        <w:t>Shopify Partner Offering</w:t>
      </w:r>
      <w:r>
        <w:rPr>
          <w:rFonts w:ascii="Times New Roman" w:cs="Times New Roman" w:eastAsia="Times New Roman" w:hAnsi="Times New Roman"/>
          <w:sz w:val="22"/>
          <w:szCs w:val="22"/>
          <w:color w:val="auto"/>
        </w:rPr>
        <w:t>”), in accordance with the terms and conditions of this Agreement:</w:t>
      </w:r>
    </w:p>
    <w:p>
      <w:pPr>
        <w:spacing w:after="0" w:line="209" w:lineRule="exact"/>
        <w:rPr>
          <w:sz w:val="20"/>
          <w:szCs w:val="20"/>
          <w:color w:val="auto"/>
        </w:rPr>
      </w:pPr>
    </w:p>
    <w:p>
      <w:pPr>
        <w:jc w:val="both"/>
        <w:ind w:left="3" w:right="180" w:firstLine="518"/>
        <w:spacing w:after="0" w:line="270" w:lineRule="auto"/>
        <w:rPr>
          <w:sz w:val="20"/>
          <w:szCs w:val="20"/>
          <w:color w:val="auto"/>
        </w:rPr>
      </w:pPr>
      <w:r>
        <w:rPr>
          <w:rFonts w:ascii="Times New Roman" w:cs="Times New Roman" w:eastAsia="Times New Roman" w:hAnsi="Times New Roman"/>
          <w:sz w:val="22"/>
          <w:szCs w:val="22"/>
          <w:color w:val="auto"/>
        </w:rPr>
        <w:t>3.1 in its sole discretion, make the Flow Offerings available in Shopify’s international portal (currently branded as “Shopify Markets”) such that the Flow Offerings are available to select merchants, as well as part of the Shopify Service for cross-border sales on a natively integrated basis as described herein; and</w:t>
      </w:r>
    </w:p>
    <w:p>
      <w:pPr>
        <w:spacing w:after="0" w:line="226" w:lineRule="exact"/>
        <w:rPr>
          <w:sz w:val="20"/>
          <w:szCs w:val="20"/>
          <w:color w:val="auto"/>
        </w:rPr>
      </w:pPr>
    </w:p>
    <w:p>
      <w:pPr>
        <w:jc w:val="both"/>
        <w:ind w:left="3" w:right="180" w:firstLine="518"/>
        <w:spacing w:after="0" w:line="284" w:lineRule="auto"/>
        <w:rPr>
          <w:sz w:val="20"/>
          <w:szCs w:val="20"/>
          <w:color w:val="auto"/>
        </w:rPr>
      </w:pPr>
      <w:r>
        <w:rPr>
          <w:rFonts w:ascii="Times New Roman" w:cs="Times New Roman" w:eastAsia="Times New Roman" w:hAnsi="Times New Roman"/>
          <w:sz w:val="22"/>
          <w:szCs w:val="22"/>
          <w:color w:val="auto"/>
        </w:rPr>
        <w:t>3.2 the APIs and the rights and licenses necessary to utilize the APIs to perform the Flow Offerings and support the integration.</w:t>
      </w:r>
    </w:p>
    <w:p>
      <w:pPr>
        <w:spacing w:after="0" w:line="211" w:lineRule="exact"/>
        <w:rPr>
          <w:sz w:val="20"/>
          <w:szCs w:val="20"/>
          <w:color w:val="auto"/>
        </w:rPr>
      </w:pPr>
    </w:p>
    <w:p>
      <w:pPr>
        <w:ind w:left="703" w:hanging="703"/>
        <w:spacing w:after="0"/>
        <w:tabs>
          <w:tab w:leader="none" w:pos="70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Flow Obligations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80" w:firstLine="518"/>
        <w:spacing w:after="0" w:line="270" w:lineRule="auto"/>
        <w:rPr>
          <w:sz w:val="20"/>
          <w:szCs w:val="20"/>
          <w:color w:val="auto"/>
        </w:rPr>
      </w:pPr>
      <w:r>
        <w:rPr>
          <w:rFonts w:ascii="Times New Roman" w:cs="Times New Roman" w:eastAsia="Times New Roman" w:hAnsi="Times New Roman"/>
          <w:sz w:val="22"/>
          <w:szCs w:val="22"/>
          <w:color w:val="auto"/>
        </w:rPr>
        <w:t>4.1 Flow will render the Flow Offerings, and will perform the Flow Offerings in a professional manner in compliance with Applicable Law and applicable payment network rules (within Flow’s control and subject to Sections 5 and 9) and consistent with high industry standards.</w:t>
      </w:r>
    </w:p>
    <w:p>
      <w:pPr>
        <w:spacing w:after="0" w:line="226" w:lineRule="exact"/>
        <w:rPr>
          <w:sz w:val="20"/>
          <w:szCs w:val="20"/>
          <w:color w:val="auto"/>
        </w:rPr>
      </w:pPr>
    </w:p>
    <w:p>
      <w:pPr>
        <w:ind w:left="3" w:right="180" w:firstLine="518"/>
        <w:spacing w:after="0" w:line="276" w:lineRule="auto"/>
        <w:rPr>
          <w:sz w:val="20"/>
          <w:szCs w:val="20"/>
          <w:color w:val="auto"/>
        </w:rPr>
      </w:pPr>
      <w:r>
        <w:rPr>
          <w:rFonts w:ascii="Times New Roman" w:cs="Times New Roman" w:eastAsia="Times New Roman" w:hAnsi="Times New Roman"/>
          <w:sz w:val="21"/>
          <w:szCs w:val="21"/>
          <w:color w:val="auto"/>
        </w:rPr>
        <w:t>4.2 Flow shall provide the Flow Merchant T&amp;Cs governing or related to the Flow Offerings. Flow will provide Shopify with the Flow Merchant T&amp;Cs prior to the launch of the Flow Offerings. To the extent applicable to the Flow Offerings, the Merchant T&amp;Cs will be subject to Shopify’s express written approval, such approval not to be unreasonably delayed, conditioned, or withheld. In the event Shopify requires modifications prior to providing such approval, the Parties will work in good faith to mutually agree to such modifications. Additionally, Flow will provide Shopify with at least thirty (30) days advance written notice of any proposed changes to the Flow Merchant T&amp;Cs (or such shorter time frame if</w:t>
      </w:r>
    </w:p>
    <w:p>
      <w:pPr>
        <w:sectPr>
          <w:pgSz w:w="11900" w:h="16842" w:orient="portrait"/>
          <w:cols w:equalWidth="0" w:num="1">
            <w:col w:w="10843"/>
          </w:cols>
          <w:pgMar w:left="717" w:top="396" w:right="339" w:bottom="0" w:gutter="0" w:footer="0" w:header="0"/>
        </w:sectPr>
      </w:pPr>
    </w:p>
    <w:bookmarkStart w:id="201" w:name="page202"/>
    <w:bookmarkEnd w:id="201"/>
    <w:p>
      <w:pPr>
        <w:spacing w:after="0" w:line="284" w:lineRule="auto"/>
        <w:rPr>
          <w:sz w:val="20"/>
          <w:szCs w:val="20"/>
          <w:color w:val="auto"/>
        </w:rPr>
      </w:pPr>
      <w:r>
        <w:rPr>
          <w:rFonts w:ascii="Times New Roman" w:cs="Times New Roman" w:eastAsia="Times New Roman" w:hAnsi="Times New Roman"/>
          <w:sz w:val="22"/>
          <w:szCs w:val="22"/>
          <w:color w:val="auto"/>
        </w:rPr>
        <w:t>required due to the nature of the circumstances of such change (e.g., change in law)), and such proposed changes will require Shopify’s prior express written approval, such approval not to be unreasonably delayed, conditioned, or withheld.</w:t>
      </w:r>
    </w:p>
    <w:p>
      <w:pPr>
        <w:spacing w:after="0" w:line="37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20" w:top="126" w:right="379" w:bottom="1440" w:gutter="0" w:footer="0" w:header="0"/>
        </w:sectPr>
      </w:pPr>
    </w:p>
    <w:bookmarkStart w:id="202" w:name="page203"/>
    <w:bookmarkEnd w:id="202"/>
    <w:p>
      <w:pPr>
        <w:ind w:left="3" w:right="120" w:firstLine="518"/>
        <w:spacing w:after="0" w:line="284" w:lineRule="auto"/>
        <w:rPr>
          <w:sz w:val="20"/>
          <w:szCs w:val="20"/>
          <w:color w:val="auto"/>
        </w:rPr>
      </w:pPr>
      <w:r>
        <w:rPr>
          <w:rFonts w:ascii="Times New Roman" w:cs="Times New Roman" w:eastAsia="Times New Roman" w:hAnsi="Times New Roman"/>
          <w:sz w:val="22"/>
          <w:szCs w:val="22"/>
          <w:color w:val="auto"/>
        </w:rPr>
        <w:t>4.3 Flow shall provide the Flow Offerings to Shopify as described in Section 2.1, and to Merchants as described in Section 2.2 in accordance with the Flow Merchant T&amp;Cs.</w:t>
      </w:r>
    </w:p>
    <w:p>
      <w:pPr>
        <w:spacing w:after="0" w:line="211" w:lineRule="exact"/>
        <w:rPr>
          <w:sz w:val="20"/>
          <w:szCs w:val="20"/>
          <w:color w:val="auto"/>
        </w:rPr>
      </w:pPr>
    </w:p>
    <w:p>
      <w:pPr>
        <w:ind w:left="3" w:right="200" w:firstLine="518"/>
        <w:spacing w:after="0" w:line="270" w:lineRule="auto"/>
        <w:rPr>
          <w:sz w:val="20"/>
          <w:szCs w:val="20"/>
          <w:color w:val="auto"/>
        </w:rPr>
      </w:pPr>
      <w:r>
        <w:rPr>
          <w:rFonts w:ascii="Times New Roman" w:cs="Times New Roman" w:eastAsia="Times New Roman" w:hAnsi="Times New Roman"/>
          <w:sz w:val="22"/>
          <w:szCs w:val="22"/>
          <w:color w:val="auto"/>
        </w:rPr>
        <w:t>4.4 For MoR Customer Orders, Flow will provide customer support for such orders relating to verification of Customer Orders (relating to status, charges, refunds and the like) and “where is my package” queries if Flow provides the logistics for such MoR Customer Orders.</w:t>
      </w:r>
    </w:p>
    <w:p>
      <w:pPr>
        <w:spacing w:after="0" w:line="226" w:lineRule="exact"/>
        <w:rPr>
          <w:sz w:val="20"/>
          <w:szCs w:val="20"/>
          <w:color w:val="auto"/>
        </w:rPr>
      </w:pPr>
    </w:p>
    <w:p>
      <w:pPr>
        <w:ind w:left="3" w:right="120" w:firstLine="518"/>
        <w:spacing w:after="0" w:line="261" w:lineRule="auto"/>
        <w:rPr>
          <w:sz w:val="20"/>
          <w:szCs w:val="20"/>
          <w:color w:val="auto"/>
        </w:rPr>
      </w:pPr>
      <w:r>
        <w:rPr>
          <w:rFonts w:ascii="Times New Roman" w:cs="Times New Roman" w:eastAsia="Times New Roman" w:hAnsi="Times New Roman"/>
          <w:sz w:val="22"/>
          <w:szCs w:val="22"/>
          <w:color w:val="auto"/>
        </w:rPr>
        <w:t>4.5 Flow will maintain the insurance coverage that Flow agrees to maintain in Exhibit F (Insurance). Upon Shopify’s request, Flow will provide Shopify with certificates of insurance evidencing the required coverage (if any). Flow will provide Shopify with at least 30 days prior written notice of any material reduction in coverage for, or cancellation of, these policies (if any). Shopify’s approval of any of Flow insurance policies does not relieve or limit any of Flow’s obligations under this Agreement. For purposes of clarification and not of limitation, Flow does not insure any of the Merchants products during shipping.</w:t>
      </w:r>
    </w:p>
    <w:p>
      <w:pPr>
        <w:spacing w:after="0" w:line="239" w:lineRule="exact"/>
        <w:rPr>
          <w:sz w:val="20"/>
          <w:szCs w:val="20"/>
          <w:color w:val="auto"/>
        </w:rPr>
      </w:pPr>
    </w:p>
    <w:p>
      <w:pPr>
        <w:ind w:left="703" w:hanging="703"/>
        <w:spacing w:after="0"/>
        <w:tabs>
          <w:tab w:leader="none" w:pos="70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Shopify Obligations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120" w:firstLine="518"/>
        <w:spacing w:after="0" w:line="263" w:lineRule="auto"/>
        <w:rPr>
          <w:sz w:val="20"/>
          <w:szCs w:val="20"/>
          <w:color w:val="auto"/>
        </w:rPr>
      </w:pPr>
      <w:r>
        <w:rPr>
          <w:rFonts w:ascii="Times New Roman" w:cs="Times New Roman" w:eastAsia="Times New Roman" w:hAnsi="Times New Roman"/>
          <w:sz w:val="22"/>
          <w:szCs w:val="22"/>
          <w:color w:val="auto"/>
        </w:rPr>
        <w:t>5.1 Shopify shall make available the Flow Offering throughout the Term to select Merchants in accordance with Section 2.3 and 6.2, and prior to utilizing any Flow Offering, shall ensure Merchants agree to the Flow Merchant T&amp;Cs. Shopify shall provide Flow (on behalf of its Designated Affiliates) proof of such Merchant’s acceptance of the Merchant T&amp;Cs, including a time-stamp and shall ensure that the Merchant has access to the then-current Merchant T&amp;Cs. Shopify shall include in its agreement with Merchants the Flow Merchant T&amp;Cs (via hyperlink or embedded text).</w:t>
      </w:r>
    </w:p>
    <w:p>
      <w:pPr>
        <w:spacing w:after="0" w:line="234" w:lineRule="exact"/>
        <w:rPr>
          <w:sz w:val="20"/>
          <w:szCs w:val="20"/>
          <w:color w:val="auto"/>
        </w:rPr>
      </w:pPr>
    </w:p>
    <w:p>
      <w:pPr>
        <w:ind w:left="3" w:right="100" w:firstLine="518"/>
        <w:spacing w:after="0" w:line="263" w:lineRule="auto"/>
        <w:rPr>
          <w:sz w:val="20"/>
          <w:szCs w:val="20"/>
          <w:color w:val="auto"/>
        </w:rPr>
      </w:pPr>
      <w:r>
        <w:rPr>
          <w:rFonts w:ascii="Times New Roman" w:cs="Times New Roman" w:eastAsia="Times New Roman" w:hAnsi="Times New Roman"/>
          <w:sz w:val="22"/>
          <w:szCs w:val="22"/>
          <w:color w:val="auto"/>
        </w:rPr>
        <w:t>5.2 Shopify shall promptly respond to any requests for information from Flow arising from Flow’s payment processors relating to the Flow relationship and Flow’s compliance with merchant of record obligations and scheme rules, and Shopify shall promptly notify Flow (on behalf of its Designated Affiliates) in the event a similar inquiry is received directly from a payment processor. All such requests and responses to such requests will be managed directly between Flow and the relevant payment processor.</w:t>
      </w:r>
    </w:p>
    <w:p>
      <w:pPr>
        <w:spacing w:after="0" w:line="234" w:lineRule="exact"/>
        <w:rPr>
          <w:sz w:val="20"/>
          <w:szCs w:val="20"/>
          <w:color w:val="auto"/>
        </w:rPr>
      </w:pPr>
    </w:p>
    <w:p>
      <w:pPr>
        <w:ind w:left="3" w:right="140" w:firstLine="518"/>
        <w:spacing w:after="0" w:line="263" w:lineRule="auto"/>
        <w:rPr>
          <w:sz w:val="20"/>
          <w:szCs w:val="20"/>
          <w:color w:val="auto"/>
        </w:rPr>
      </w:pPr>
      <w:r>
        <w:rPr>
          <w:rFonts w:ascii="Times New Roman" w:cs="Times New Roman" w:eastAsia="Times New Roman" w:hAnsi="Times New Roman"/>
          <w:sz w:val="22"/>
          <w:szCs w:val="22"/>
          <w:color w:val="auto"/>
        </w:rPr>
        <w:t>5.3 For the duration of the Term, the Flow Offering shall be solely provided as part of the Shopify Service (i.e., native integration) to Merchants with Products, subject to the terms and conditions herein. Any Designated Affiliates shall have the right to reject any Merchant; provided that Flow (on behalf of its Designated Affiliates) has delivered to Shopify reasonably detailed documented reasons for each Merchant rejection (e.g., product catalogue, segment, origination country, marketplace merchant, size).</w:t>
      </w:r>
    </w:p>
    <w:p>
      <w:pPr>
        <w:spacing w:after="0" w:line="234" w:lineRule="exact"/>
        <w:rPr>
          <w:sz w:val="20"/>
          <w:szCs w:val="20"/>
          <w:color w:val="auto"/>
        </w:rPr>
      </w:pPr>
    </w:p>
    <w:p>
      <w:pPr>
        <w:ind w:left="3" w:firstLine="389"/>
        <w:spacing w:after="0" w:line="276" w:lineRule="auto"/>
        <w:rPr>
          <w:sz w:val="20"/>
          <w:szCs w:val="20"/>
          <w:color w:val="auto"/>
        </w:rPr>
      </w:pPr>
      <w:r>
        <w:rPr>
          <w:rFonts w:ascii="Times New Roman" w:cs="Times New Roman" w:eastAsia="Times New Roman" w:hAnsi="Times New Roman"/>
          <w:sz w:val="21"/>
          <w:szCs w:val="21"/>
          <w:color w:val="auto"/>
        </w:rPr>
        <w:t>5.4 Through the integration Shopify shall exercise best efforts to provide to Flow near real time access to order data including line detail and payment transactions, including the ability to identify a MoR Customer Order, but in any event shall provide to Flow within [***] from the time the MoR Customer Order is captured. Such line detail shall include taxes, duties, and additional border fees (rates used and amounts charged (as provided by Flow)). Such feed(s) shall include all data requested by Flow, including US sales/use tax (including the data listed on Exhibit C and as otherwise reasonably requested from time to time) to meet its obligations as the merchant of record, and shall include all such other data as mutually agreed.</w:t>
      </w:r>
    </w:p>
    <w:p>
      <w:pPr>
        <w:spacing w:after="0" w:line="224" w:lineRule="exact"/>
        <w:rPr>
          <w:sz w:val="20"/>
          <w:szCs w:val="20"/>
          <w:color w:val="auto"/>
        </w:rPr>
      </w:pPr>
    </w:p>
    <w:p>
      <w:pPr>
        <w:ind w:left="3" w:right="60" w:firstLine="518"/>
        <w:spacing w:after="0" w:line="265" w:lineRule="auto"/>
        <w:rPr>
          <w:sz w:val="20"/>
          <w:szCs w:val="20"/>
          <w:color w:val="auto"/>
        </w:rPr>
      </w:pPr>
      <w:r>
        <w:rPr>
          <w:rFonts w:ascii="Times New Roman" w:cs="Times New Roman" w:eastAsia="Times New Roman" w:hAnsi="Times New Roman"/>
          <w:sz w:val="22"/>
          <w:szCs w:val="22"/>
          <w:color w:val="auto"/>
        </w:rPr>
        <w:t>5.5 Subject to Section 19, Shopify may provide marketing support for the awareness and adoption of the Flow Offerings, including those activities listed on Exhibit A. Additionally Shopify commits to marketing Shopify’s native cross-border solution and agrees to consider in good faith marketing opportunities with Global-e (on behalf of Flow) related to the Flow Offering hereunder.</w:t>
      </w:r>
    </w:p>
    <w:p>
      <w:pPr>
        <w:spacing w:after="0" w:line="395" w:lineRule="exact"/>
        <w:rPr>
          <w:sz w:val="20"/>
          <w:szCs w:val="20"/>
          <w:color w:val="auto"/>
        </w:rPr>
      </w:pPr>
    </w:p>
    <w:p>
      <w:pPr>
        <w:jc w:val="center"/>
        <w:ind w:right="337"/>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3"/>
          </w:cols>
          <w:pgMar w:left="717" w:top="396" w:right="379" w:bottom="1440" w:gutter="0" w:footer="0" w:header="0"/>
        </w:sectPr>
      </w:pPr>
    </w:p>
    <w:bookmarkStart w:id="203" w:name="page204"/>
    <w:bookmarkEnd w:id="203"/>
    <w:p>
      <w:pPr>
        <w:ind w:left="3" w:right="80" w:firstLine="518"/>
        <w:spacing w:after="0" w:line="270" w:lineRule="auto"/>
        <w:rPr>
          <w:sz w:val="20"/>
          <w:szCs w:val="20"/>
          <w:color w:val="auto"/>
        </w:rPr>
      </w:pPr>
      <w:r>
        <w:rPr>
          <w:rFonts w:ascii="Times New Roman" w:cs="Times New Roman" w:eastAsia="Times New Roman" w:hAnsi="Times New Roman"/>
          <w:sz w:val="22"/>
          <w:szCs w:val="22"/>
          <w:color w:val="auto"/>
        </w:rPr>
        <w:t>5.6 Shopify shall provide to Flow US sales and use tax rates in the jurisdictions where Flow is required to collect and remit sales/use tax. Shopify shall not be liable for any over or under collection of sales/use tax as the result of Flow using rates provided by Shopify.</w:t>
      </w:r>
    </w:p>
    <w:p>
      <w:pPr>
        <w:spacing w:after="0" w:line="226" w:lineRule="exact"/>
        <w:rPr>
          <w:sz w:val="20"/>
          <w:szCs w:val="20"/>
          <w:color w:val="auto"/>
        </w:rPr>
      </w:pPr>
    </w:p>
    <w:p>
      <w:pPr>
        <w:ind w:left="703" w:hanging="703"/>
        <w:spacing w:after="0"/>
        <w:tabs>
          <w:tab w:leader="none" w:pos="70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Initial Offering; Mutual Obligations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120" w:firstLine="518"/>
        <w:spacing w:after="0" w:line="260" w:lineRule="auto"/>
        <w:rPr>
          <w:sz w:val="20"/>
          <w:szCs w:val="20"/>
          <w:color w:val="auto"/>
        </w:rPr>
      </w:pPr>
      <w:r>
        <w:rPr>
          <w:rFonts w:ascii="Times New Roman" w:cs="Times New Roman" w:eastAsia="Times New Roman" w:hAnsi="Times New Roman"/>
          <w:sz w:val="22"/>
          <w:szCs w:val="22"/>
          <w:color w:val="auto"/>
        </w:rPr>
        <w:t>6.1 The Parties will establish an operating committee to oversee and review all aspects of the partnership, including a sub-committee for commercial aspects, and a sub-committee for technological and development aspects. The operating committee will consist of persons with sufficient enterprise responsibility and knowledge of a business unit integral to the performance or supervision of the partnership, as applicable, within each Party (e.g., business development, product/engineering). The operating committee shall discuss in good faith throughout the Term modifications to the Flow Offerings to improve, update, enhance, or maintain the integration with the Shopify Service. The Parties shall work together to determine the proper support for the Merchants (e.g., developing self-service FAQs).</w:t>
      </w:r>
    </w:p>
    <w:p>
      <w:pPr>
        <w:spacing w:after="0" w:line="242" w:lineRule="exact"/>
        <w:rPr>
          <w:sz w:val="20"/>
          <w:szCs w:val="20"/>
          <w:color w:val="auto"/>
        </w:rPr>
      </w:pPr>
    </w:p>
    <w:p>
      <w:pPr>
        <w:ind w:left="3" w:right="40" w:firstLine="518"/>
        <w:spacing w:after="0" w:line="272" w:lineRule="auto"/>
        <w:rPr>
          <w:sz w:val="20"/>
          <w:szCs w:val="20"/>
          <w:color w:val="auto"/>
        </w:rPr>
      </w:pPr>
      <w:r>
        <w:rPr>
          <w:rFonts w:ascii="Times New Roman" w:cs="Times New Roman" w:eastAsia="Times New Roman" w:hAnsi="Times New Roman"/>
          <w:sz w:val="21"/>
          <w:szCs w:val="21"/>
          <w:color w:val="auto"/>
        </w:rPr>
        <w:t>6.2 The Parties hereby commit to work diligently and in good faith to launch the offering to Merchants. Throughout the Term the operating committee shall meet as necessary for the launch and initial rollout of the Flow Offerings and thereafter shall meet no less frequently than quarterly throughout the Term. The operating committee shall mutually agree to a roadmap for the rollout of the Flow Offerings, including the selection of merchant categories (based on product catalogue, size, origination country(ies) and destination countries), timing of various Flow Offerings to be offered, and the inclusion or development/product roadmap functionality of the Shopify Platform to ensure that necessary inputs and restrictions are respected by the Parties and the Merchants, and obligations on each of the Parties under Applicable Law are able to be met. Flow Offerings shall be restricted to Merchants who have their default store language (as selected via the admin settings in the Shopify Services) set as the English language, until a roadmap for additional language is agreed to. Notwithstanding the foregoing, a Merchant may elect to use translation services offered by Shopify to translate all aspects of the Shopify Services, including the Flow Offerings as natively integrated therein, provided that Flow shall not be required to directly provide the Flow Offerings in any language other than English until a roadmap for additional languages is agreed to.</w:t>
      </w:r>
    </w:p>
    <w:p>
      <w:pPr>
        <w:spacing w:after="0" w:line="226" w:lineRule="exact"/>
        <w:rPr>
          <w:sz w:val="20"/>
          <w:szCs w:val="20"/>
          <w:color w:val="auto"/>
        </w:rPr>
      </w:pPr>
    </w:p>
    <w:p>
      <w:pPr>
        <w:ind w:left="3" w:right="180" w:firstLine="518"/>
        <w:spacing w:after="0" w:line="274" w:lineRule="auto"/>
        <w:rPr>
          <w:sz w:val="20"/>
          <w:szCs w:val="20"/>
          <w:color w:val="auto"/>
        </w:rPr>
      </w:pPr>
      <w:r>
        <w:rPr>
          <w:rFonts w:ascii="Times New Roman" w:cs="Times New Roman" w:eastAsia="Times New Roman" w:hAnsi="Times New Roman"/>
          <w:sz w:val="21"/>
          <w:szCs w:val="21"/>
          <w:color w:val="auto"/>
        </w:rPr>
        <w:t>6.3 The initial offering of the Flow Offerings shall include/be limited to the following: (i) the initial Settlement Currency shall be USD, (ii) settlements for the sale of Products for MoR Customer Orders shall be no more frequently than</w:t>
      </w:r>
    </w:p>
    <w:p>
      <w:pPr>
        <w:spacing w:after="0" w:line="1" w:lineRule="exact"/>
        <w:rPr>
          <w:sz w:val="20"/>
          <w:szCs w:val="20"/>
          <w:color w:val="auto"/>
        </w:rPr>
      </w:pPr>
    </w:p>
    <w:p>
      <w:pPr>
        <w:jc w:val="both"/>
        <w:ind w:left="3" w:right="300" w:hanging="3"/>
        <w:spacing w:after="0" w:line="264" w:lineRule="auto"/>
        <w:tabs>
          <w:tab w:leader="none" w:pos="52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to by the Parties, and (iii) Flow shall provide the tax and duty rates and Tax Calculator with only Standard Rates for sales Tax/VAT/GST (etc) rates to be utilized, excluding any tax rates for the United States, and as otherwise set forth in the definition of Tax Calculator and in Section 9.7 below.</w:t>
      </w:r>
    </w:p>
    <w:p>
      <w:pPr>
        <w:spacing w:after="0" w:line="233" w:lineRule="exact"/>
        <w:rPr>
          <w:sz w:val="20"/>
          <w:szCs w:val="20"/>
          <w:color w:val="auto"/>
        </w:rPr>
      </w:pPr>
    </w:p>
    <w:p>
      <w:pPr>
        <w:ind w:left="3" w:right="80" w:firstLine="518"/>
        <w:spacing w:after="0" w:line="261" w:lineRule="auto"/>
        <w:rPr>
          <w:sz w:val="20"/>
          <w:szCs w:val="20"/>
          <w:color w:val="auto"/>
        </w:rPr>
      </w:pPr>
      <w:r>
        <w:rPr>
          <w:rFonts w:ascii="Times New Roman" w:cs="Times New Roman" w:eastAsia="Times New Roman" w:hAnsi="Times New Roman"/>
          <w:sz w:val="22"/>
          <w:szCs w:val="22"/>
          <w:color w:val="auto"/>
        </w:rPr>
        <w:t>6.4 The matters contained herein do not fully represent the topics to be decided between the Parties to ensure a mutually beneficial partnership. Such topics may include additional means for data provision and reconciliation, additional Logistics Providers, 3PL integrations and compliance, label printing, commercial invoices, automation, improving accuracy of freight estimation, provision of services that require one or more licenses, taxes, Merchant documentation and optionality. Each Party commits to discussing all matters raised by the other Party in good faith, including utilizing a phased approach. All decisions of the operating committee shall be properly documented.</w:t>
      </w:r>
    </w:p>
    <w:p>
      <w:pPr>
        <w:spacing w:after="0" w:line="239" w:lineRule="exact"/>
        <w:rPr>
          <w:sz w:val="20"/>
          <w:szCs w:val="20"/>
          <w:color w:val="auto"/>
        </w:rPr>
      </w:pPr>
    </w:p>
    <w:p>
      <w:pPr>
        <w:jc w:val="both"/>
        <w:ind w:left="3" w:right="200" w:firstLine="518"/>
        <w:spacing w:after="0" w:line="270" w:lineRule="auto"/>
        <w:rPr>
          <w:sz w:val="20"/>
          <w:szCs w:val="20"/>
          <w:color w:val="auto"/>
        </w:rPr>
      </w:pPr>
      <w:r>
        <w:rPr>
          <w:rFonts w:ascii="Times New Roman" w:cs="Times New Roman" w:eastAsia="Times New Roman" w:hAnsi="Times New Roman"/>
          <w:sz w:val="22"/>
          <w:szCs w:val="22"/>
          <w:color w:val="auto"/>
        </w:rPr>
        <w:t>6.5 The Parties shall work together to support the accuracy and verification of data throughout the process of a Customer Order, from intake through the fulfillment of the Customer Order (including chargebacks), and shall escalate any identified issues with relevant urgency in accordance with Section 6.6.</w:t>
      </w:r>
    </w:p>
    <w:p>
      <w:pPr>
        <w:spacing w:after="0" w:line="226" w:lineRule="exact"/>
        <w:rPr>
          <w:sz w:val="20"/>
          <w:szCs w:val="20"/>
          <w:color w:val="auto"/>
        </w:rPr>
      </w:pPr>
    </w:p>
    <w:p>
      <w:pPr>
        <w:ind w:left="3" w:firstLine="518"/>
        <w:spacing w:after="0" w:line="263" w:lineRule="auto"/>
        <w:rPr>
          <w:sz w:val="20"/>
          <w:szCs w:val="20"/>
          <w:color w:val="auto"/>
        </w:rPr>
      </w:pPr>
      <w:r>
        <w:rPr>
          <w:rFonts w:ascii="Times New Roman" w:cs="Times New Roman" w:eastAsia="Times New Roman" w:hAnsi="Times New Roman"/>
          <w:sz w:val="22"/>
          <w:szCs w:val="22"/>
          <w:color w:val="auto"/>
        </w:rPr>
        <w:t>6.6 Any dispute, controversy or claim relating to all or any of the provisions of this Agreement shall be referred to the senior management of the Parties for good faith discussions and resolution. If any dispute, controversy, or claim cannot be resolved by such good faith discussions between the above mentioned senior managers within three business days, it shall be referred to a discussion between Global-e’s President, Flow’s CEO and Shopify’s Director, Partnerships (Merchant Services) for expeditious resolution.</w:t>
      </w:r>
    </w:p>
    <w:p>
      <w:pPr>
        <w:spacing w:after="0" w:line="396"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96" w:right="339" w:bottom="1440" w:gutter="0" w:footer="0" w:header="0"/>
        </w:sectPr>
      </w:pPr>
    </w:p>
    <w:bookmarkStart w:id="204" w:name="page205"/>
    <w:bookmarkEnd w:id="204"/>
    <w:p>
      <w:pPr>
        <w:ind w:left="3" w:right="420" w:firstLine="518"/>
        <w:spacing w:after="0" w:line="284" w:lineRule="auto"/>
        <w:rPr>
          <w:sz w:val="20"/>
          <w:szCs w:val="20"/>
          <w:color w:val="auto"/>
        </w:rPr>
      </w:pPr>
      <w:r>
        <w:rPr>
          <w:rFonts w:ascii="Times New Roman" w:cs="Times New Roman" w:eastAsia="Times New Roman" w:hAnsi="Times New Roman"/>
          <w:sz w:val="22"/>
          <w:szCs w:val="22"/>
          <w:color w:val="auto"/>
        </w:rPr>
        <w:t>6.7 All discussions and ideas discussed between the Parties shall not be deemed feedback by one Party to the other and no rights, title or interest related thereto shall be granted hereunder.</w:t>
      </w:r>
    </w:p>
    <w:p>
      <w:pPr>
        <w:spacing w:after="0" w:line="211" w:lineRule="exact"/>
        <w:rPr>
          <w:sz w:val="20"/>
          <w:szCs w:val="20"/>
          <w:color w:val="auto"/>
        </w:rPr>
      </w:pPr>
    </w:p>
    <w:p>
      <w:pPr>
        <w:ind w:left="3" w:right="340" w:firstLine="518"/>
        <w:spacing w:after="0" w:line="284" w:lineRule="auto"/>
        <w:rPr>
          <w:sz w:val="20"/>
          <w:szCs w:val="20"/>
          <w:color w:val="auto"/>
        </w:rPr>
      </w:pPr>
      <w:r>
        <w:rPr>
          <w:rFonts w:ascii="Times New Roman" w:cs="Times New Roman" w:eastAsia="Times New Roman" w:hAnsi="Times New Roman"/>
          <w:sz w:val="22"/>
          <w:szCs w:val="22"/>
          <w:color w:val="auto"/>
        </w:rPr>
        <w:t>6.8 The Parties will work in good faith to develop and implement [***] for [***], including but not limited to [***].</w:t>
      </w:r>
    </w:p>
    <w:p>
      <w:pPr>
        <w:spacing w:after="0" w:line="211" w:lineRule="exact"/>
        <w:rPr>
          <w:sz w:val="20"/>
          <w:szCs w:val="20"/>
          <w:color w:val="auto"/>
        </w:rPr>
      </w:pPr>
    </w:p>
    <w:p>
      <w:pPr>
        <w:ind w:left="703" w:hanging="703"/>
        <w:spacing w:after="0"/>
        <w:tabs>
          <w:tab w:leader="none" w:pos="7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firstLine="518"/>
        <w:spacing w:after="0" w:line="260" w:lineRule="auto"/>
        <w:rPr>
          <w:sz w:val="20"/>
          <w:szCs w:val="20"/>
          <w:color w:val="auto"/>
        </w:rPr>
      </w:pPr>
      <w:r>
        <w:rPr>
          <w:rFonts w:ascii="Times New Roman" w:cs="Times New Roman" w:eastAsia="Times New Roman" w:hAnsi="Times New Roman"/>
          <w:sz w:val="22"/>
          <w:szCs w:val="22"/>
          <w:color w:val="auto"/>
        </w:rPr>
        <w:t>7.1 The Parties shall work together for the initial integration, and continued support of the integration of the Flow Offerings and the Shopify Service, which shall include but not be limited to the support described in this Section 7, for the long-term mission of providing Merchants with seamless cross-border sales functionality and services. Each Party acknowledges that development shall be needed for the deep integration and each Party commits to providing the necessary resources for the same. It is anticipated that, at least initially and thereafter as necessary, the parties shall provide joint team support including a shared slack channel and regular meetings. The Parties understand that the complexity of the partnership will require short term solution(s), and the Parties will work together in good faith to agree on appropriate short term solutions.</w:t>
      </w:r>
    </w:p>
    <w:p>
      <w:pPr>
        <w:spacing w:after="0" w:line="238" w:lineRule="exact"/>
        <w:rPr>
          <w:sz w:val="20"/>
          <w:szCs w:val="20"/>
          <w:color w:val="auto"/>
        </w:rPr>
      </w:pPr>
    </w:p>
    <w:p>
      <w:pPr>
        <w:ind w:left="3" w:right="180" w:firstLine="518"/>
        <w:spacing w:after="0" w:line="265" w:lineRule="auto"/>
        <w:rPr>
          <w:sz w:val="20"/>
          <w:szCs w:val="20"/>
          <w:color w:val="auto"/>
        </w:rPr>
      </w:pPr>
      <w:r>
        <w:rPr>
          <w:rFonts w:ascii="Times New Roman" w:cs="Times New Roman" w:eastAsia="Times New Roman" w:hAnsi="Times New Roman"/>
          <w:sz w:val="22"/>
          <w:szCs w:val="22"/>
          <w:color w:val="auto"/>
        </w:rPr>
        <w:t>7.2 Integration shall support (but shall not be limited to) the mutually agreed payment gateway setup, data map, provision of data with a proper organizational structure for reporting and functionality, restricted party screening, and maintaining payment obligations (e.g., PCI and other Payment Ecosystem Obligations compliance). The Parties shall also actively manage risk with operational support and production QA processes for the rollout of new features.</w:t>
      </w:r>
    </w:p>
    <w:p>
      <w:pPr>
        <w:spacing w:after="0" w:line="233" w:lineRule="exact"/>
        <w:rPr>
          <w:sz w:val="20"/>
          <w:szCs w:val="20"/>
          <w:color w:val="auto"/>
        </w:rPr>
      </w:pPr>
    </w:p>
    <w:p>
      <w:pPr>
        <w:ind w:left="3" w:right="60" w:firstLine="518"/>
        <w:spacing w:after="0" w:line="260" w:lineRule="auto"/>
        <w:rPr>
          <w:sz w:val="20"/>
          <w:szCs w:val="20"/>
          <w:color w:val="auto"/>
        </w:rPr>
      </w:pPr>
      <w:r>
        <w:rPr>
          <w:rFonts w:ascii="Times New Roman" w:cs="Times New Roman" w:eastAsia="Times New Roman" w:hAnsi="Times New Roman"/>
          <w:sz w:val="22"/>
          <w:szCs w:val="22"/>
          <w:color w:val="auto"/>
        </w:rPr>
        <w:t>7.3 During the Term each Party shall provide the necessary technical and organizational support appropriate to the nature for the proper functioning and product and rollout roadmap and/or the provision of data. Each Party will provide throughout the Term, and make reasonably necessary modifications to, its APIs and other technology supporting the Flow Offerings in order to integrate the Flow Offerings in such a manner that is mutually agreeable, and within a mutually agreeable time frame. Neither Party shall make non-backwards compatible changes to its APIs or other technology (which shall also include discontinuing use or support thereof) that materially impact the other Party on less than [***] prior written notice to ensure the continued, uninterrupted provision of the Flow Offerings, unless a shorter notice period is mutually agreed to by the Parties.</w:t>
      </w:r>
    </w:p>
    <w:p>
      <w:pPr>
        <w:spacing w:after="0" w:line="238" w:lineRule="exact"/>
        <w:rPr>
          <w:sz w:val="20"/>
          <w:szCs w:val="20"/>
          <w:color w:val="auto"/>
        </w:rPr>
      </w:pPr>
    </w:p>
    <w:p>
      <w:pPr>
        <w:ind w:left="3" w:right="20" w:firstLine="518"/>
        <w:spacing w:after="0" w:line="259" w:lineRule="auto"/>
        <w:rPr>
          <w:sz w:val="20"/>
          <w:szCs w:val="20"/>
          <w:color w:val="auto"/>
        </w:rPr>
      </w:pPr>
      <w:r>
        <w:rPr>
          <w:rFonts w:ascii="Times New Roman" w:cs="Times New Roman" w:eastAsia="Times New Roman" w:hAnsi="Times New Roman"/>
          <w:sz w:val="22"/>
          <w:szCs w:val="22"/>
          <w:color w:val="auto"/>
        </w:rPr>
        <w:t>7.4 Each Party’s networks, operating system and software of its web servers, routers, databases, and computer systems whether owned or utilized (its “</w:t>
      </w:r>
      <w:r>
        <w:rPr>
          <w:rFonts w:ascii="Times New Roman" w:cs="Times New Roman" w:eastAsia="Times New Roman" w:hAnsi="Times New Roman"/>
          <w:sz w:val="22"/>
          <w:szCs w:val="22"/>
          <w:b w:val="1"/>
          <w:bCs w:val="1"/>
          <w:color w:val="auto"/>
        </w:rPr>
        <w:t>Systems</w:t>
      </w:r>
      <w:r>
        <w:rPr>
          <w:rFonts w:ascii="Times New Roman" w:cs="Times New Roman" w:eastAsia="Times New Roman" w:hAnsi="Times New Roman"/>
          <w:sz w:val="22"/>
          <w:szCs w:val="22"/>
          <w:color w:val="auto"/>
        </w:rPr>
        <w:t xml:space="preserve">”) shall be properly configured (using applicable industry standards) for secure operations of its APIs, including using reasonable efforts to ensure the same of its third party providers. Additionally, each Party shall comply with all Payment Card Industry Data Security Standards requirements and the Network Rules (as such term is commonly defined in the payments industry) that apply to its Systems and its performance under this Agreement. In the event a security deficiency is detected, the Party shall immediately notify the other Party of the security deficiency and diligently work to correct or eliminate it. Without limiting the foregoing, Flow will comply with the data security policies set forth in </w:t>
      </w:r>
      <w:r>
        <w:rPr>
          <w:rFonts w:ascii="Times New Roman" w:cs="Times New Roman" w:eastAsia="Times New Roman" w:hAnsi="Times New Roman"/>
          <w:sz w:val="22"/>
          <w:szCs w:val="22"/>
          <w:u w:val="single" w:color="auto"/>
          <w:color w:val="auto"/>
        </w:rPr>
        <w:t>Exhibit 3</w:t>
      </w:r>
      <w:r>
        <w:rPr>
          <w:rFonts w:ascii="Times New Roman" w:cs="Times New Roman" w:eastAsia="Times New Roman" w:hAnsi="Times New Roman"/>
          <w:sz w:val="22"/>
          <w:szCs w:val="22"/>
          <w:color w:val="auto"/>
        </w:rPr>
        <w:t xml:space="preserve"> (Data Security). Flow may update these policies from time to time. Flow will provide a copy of any updated policies to Shopify upon Shopify’s reasonable request.</w:t>
      </w:r>
    </w:p>
    <w:p>
      <w:pPr>
        <w:spacing w:after="0" w:line="243" w:lineRule="exact"/>
        <w:rPr>
          <w:sz w:val="20"/>
          <w:szCs w:val="20"/>
          <w:color w:val="auto"/>
        </w:rPr>
      </w:pPr>
    </w:p>
    <w:p>
      <w:pPr>
        <w:ind w:left="703" w:hanging="703"/>
        <w:spacing w:after="0"/>
        <w:tabs>
          <w:tab w:leader="none" w:pos="70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 Joint Development; Restrictions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100" w:firstLine="518"/>
        <w:spacing w:after="0" w:line="260" w:lineRule="auto"/>
        <w:rPr>
          <w:sz w:val="20"/>
          <w:szCs w:val="20"/>
          <w:color w:val="auto"/>
        </w:rPr>
      </w:pPr>
      <w:r>
        <w:rPr>
          <w:rFonts w:ascii="Times New Roman" w:cs="Times New Roman" w:eastAsia="Times New Roman" w:hAnsi="Times New Roman"/>
          <w:sz w:val="22"/>
          <w:szCs w:val="22"/>
          <w:color w:val="auto"/>
        </w:rPr>
        <w:t>8.1 All Intellectual Property Rights in and to all documents, work product, and other materials that are delivered to Shopify or prepared by or on behalf of Flow (collectively, the “</w:t>
      </w:r>
      <w:r>
        <w:rPr>
          <w:rFonts w:ascii="Times New Roman" w:cs="Times New Roman" w:eastAsia="Times New Roman" w:hAnsi="Times New Roman"/>
          <w:sz w:val="22"/>
          <w:szCs w:val="22"/>
          <w:b w:val="1"/>
          <w:bCs w:val="1"/>
          <w:color w:val="auto"/>
        </w:rPr>
        <w:t>Flow Deliverables</w:t>
      </w:r>
      <w:r>
        <w:rPr>
          <w:rFonts w:ascii="Times New Roman" w:cs="Times New Roman" w:eastAsia="Times New Roman" w:hAnsi="Times New Roman"/>
          <w:sz w:val="22"/>
          <w:szCs w:val="22"/>
          <w:color w:val="auto"/>
        </w:rPr>
        <w:t>”) except for any Confidential Information of Shopify or Shopify materials shall be owned by Flow. Flow hereby grants Shopify a license to use all Intellectual Property Rights in the Flow Deliverables free of additional charge and on a non-exclusive, worldwide, non-transferable, non-sublicensable, fully paid-up, and royalty-free to the extent necessary to enable Shopify to make reasonable use of the Flow Deliverables and the Flow Offerings, during the Term of this Agreement (i.e., this license shall not survive termination or expiration of the Agreement).</w:t>
      </w:r>
    </w:p>
    <w:p>
      <w:pPr>
        <w:spacing w:after="0" w:line="200" w:lineRule="exact"/>
        <w:rPr>
          <w:sz w:val="20"/>
          <w:szCs w:val="20"/>
          <w:color w:val="auto"/>
        </w:rPr>
      </w:pPr>
    </w:p>
    <w:p>
      <w:pPr>
        <w:spacing w:after="0" w:line="204"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3"/>
          </w:cols>
          <w:pgMar w:left="717" w:top="396" w:right="359" w:bottom="1440" w:gutter="0" w:footer="0" w:header="0"/>
        </w:sectPr>
      </w:pPr>
    </w:p>
    <w:bookmarkStart w:id="205" w:name="page206"/>
    <w:bookmarkEnd w:id="205"/>
    <w:p>
      <w:pPr>
        <w:ind w:left="3" w:right="20" w:firstLine="518"/>
        <w:spacing w:after="0" w:line="260" w:lineRule="auto"/>
        <w:rPr>
          <w:sz w:val="20"/>
          <w:szCs w:val="20"/>
          <w:color w:val="auto"/>
        </w:rPr>
      </w:pPr>
      <w:r>
        <w:rPr>
          <w:rFonts w:ascii="Times New Roman" w:cs="Times New Roman" w:eastAsia="Times New Roman" w:hAnsi="Times New Roman"/>
          <w:sz w:val="22"/>
          <w:szCs w:val="22"/>
          <w:color w:val="auto"/>
        </w:rPr>
        <w:t>8.2 All Intellectual Property Rights in and to all documents, work product, and other materials that are delivered to Flow under this Agreement or prepared by or on behalf of Shopify in the course of performing the Shopify Partner Offering (collectively, the “</w:t>
      </w:r>
      <w:r>
        <w:rPr>
          <w:rFonts w:ascii="Times New Roman" w:cs="Times New Roman" w:eastAsia="Times New Roman" w:hAnsi="Times New Roman"/>
          <w:sz w:val="22"/>
          <w:szCs w:val="22"/>
          <w:b w:val="1"/>
          <w:bCs w:val="1"/>
          <w:color w:val="auto"/>
        </w:rPr>
        <w:t>Shopify Deliverables</w:t>
      </w:r>
      <w:r>
        <w:rPr>
          <w:rFonts w:ascii="Times New Roman" w:cs="Times New Roman" w:eastAsia="Times New Roman" w:hAnsi="Times New Roman"/>
          <w:sz w:val="22"/>
          <w:szCs w:val="22"/>
          <w:color w:val="auto"/>
        </w:rPr>
        <w:t>”) except for any Confidential Information of Flow or Flow materials shall be owned by Shopify. Shopify hereby grants Flow a license to use all Intellectual Property Rights in the Shopify Deliverables free of additional charge and on a non-exclusive, worldwide, non-transferable, non-sublicensable, fully paid-up, and royalty-free to the extent necessary to enable Shopify to make reasonable use of the Shopify Deliverables and the Shopify Partner Offering, during the Term of this Agreement (i.e., this license shall not survive termination or expiration of the Agreement).</w:t>
      </w:r>
    </w:p>
    <w:p>
      <w:pPr>
        <w:spacing w:after="0" w:line="238" w:lineRule="exact"/>
        <w:rPr>
          <w:sz w:val="20"/>
          <w:szCs w:val="20"/>
          <w:color w:val="auto"/>
        </w:rPr>
      </w:pPr>
    </w:p>
    <w:p>
      <w:pPr>
        <w:ind w:left="3" w:right="320" w:firstLine="518"/>
        <w:spacing w:after="0" w:line="272" w:lineRule="auto"/>
        <w:rPr>
          <w:sz w:val="20"/>
          <w:szCs w:val="20"/>
          <w:color w:val="auto"/>
        </w:rPr>
      </w:pPr>
      <w:r>
        <w:rPr>
          <w:rFonts w:ascii="Times New Roman" w:cs="Times New Roman" w:eastAsia="Times New Roman" w:hAnsi="Times New Roman"/>
          <w:sz w:val="21"/>
          <w:szCs w:val="21"/>
          <w:color w:val="auto"/>
        </w:rPr>
        <w:t>8.3 To the extent that Shopify provides any Shopify Materials to Flow for the performance of its obligations under this Agreement, Flow will: (i) take all reasonable precautions to protect such property against loss, damage, theft or disappearance; (ii) take no actions that affect Shopify’s title or interest; (iii) abide by specifications and use instructions;</w:t>
      </w:r>
    </w:p>
    <w:p>
      <w:pPr>
        <w:spacing w:after="0" w:line="1" w:lineRule="exact"/>
        <w:rPr>
          <w:sz w:val="20"/>
          <w:szCs w:val="20"/>
          <w:color w:val="auto"/>
        </w:rPr>
      </w:pPr>
    </w:p>
    <w:p>
      <w:pPr>
        <w:ind w:left="3" w:right="160" w:hanging="3"/>
        <w:spacing w:after="0" w:line="264" w:lineRule="auto"/>
        <w:tabs>
          <w:tab w:leader="none" w:pos="36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give access to any third party without Shopify’s prior written consent; and (v) not reverse engineer, decompile, disassemble, modify, create derivative works of or otherwise create, attempt to create or derive, or permit or assist any third party to create or derive, the source code underlying the Shopify Materials.</w:t>
      </w:r>
    </w:p>
    <w:p>
      <w:pPr>
        <w:spacing w:after="0" w:line="233" w:lineRule="exact"/>
        <w:rPr>
          <w:sz w:val="20"/>
          <w:szCs w:val="20"/>
          <w:color w:val="auto"/>
        </w:rPr>
      </w:pPr>
    </w:p>
    <w:p>
      <w:pPr>
        <w:ind w:left="3" w:right="20" w:firstLine="518"/>
        <w:spacing w:after="0" w:line="261" w:lineRule="auto"/>
        <w:rPr>
          <w:sz w:val="20"/>
          <w:szCs w:val="20"/>
          <w:color w:val="auto"/>
        </w:rPr>
      </w:pPr>
      <w:r>
        <w:rPr>
          <w:rFonts w:ascii="Times New Roman" w:cs="Times New Roman" w:eastAsia="Times New Roman" w:hAnsi="Times New Roman"/>
          <w:sz w:val="22"/>
          <w:szCs w:val="22"/>
          <w:color w:val="auto"/>
        </w:rPr>
        <w:t>8.4 To the extent that Flow provides any Flow Materials to Shopify for the performance of its obligations under this Agreement, Shopify will: (i) take all reasonable precautions to protect such property against loss, damage, theft or disappearance; (ii) take no actions that affect Flow’s title or interest; (iii) abide by specifications and use instructions; (iv) not give access to any third party without Flow’s prior written consent; and (v) not reverse engineer, decompile, disassemble, modify, create derivative works of or otherwise create, attempt to create or derive, or permit or assist any third party to create or derive, the source code underlying the Flow Materials.</w:t>
      </w:r>
    </w:p>
    <w:p>
      <w:pPr>
        <w:spacing w:after="0" w:line="239" w:lineRule="exact"/>
        <w:rPr>
          <w:sz w:val="20"/>
          <w:szCs w:val="20"/>
          <w:color w:val="auto"/>
        </w:rPr>
      </w:pPr>
    </w:p>
    <w:p>
      <w:pPr>
        <w:ind w:left="3" w:firstLine="518"/>
        <w:spacing w:after="0" w:line="261" w:lineRule="auto"/>
        <w:rPr>
          <w:sz w:val="20"/>
          <w:szCs w:val="20"/>
          <w:color w:val="auto"/>
        </w:rPr>
      </w:pPr>
      <w:r>
        <w:rPr>
          <w:rFonts w:ascii="Times New Roman" w:cs="Times New Roman" w:eastAsia="Times New Roman" w:hAnsi="Times New Roman"/>
          <w:sz w:val="22"/>
          <w:szCs w:val="22"/>
          <w:color w:val="auto"/>
        </w:rPr>
        <w:t>8.5 Nothing in this Agreement shall be construed as granting either Party a license to use in any way the Intellectual Property Rights of the other Party (except as expressly provided in this Agreement), or to have undue influence over the other party’s product roadmap (i.e., suggestions may be considered but shall not be required to be adopted). Neither Party shall take any action that interferes with the other Party’s Intellectual Property Rights or attempt to copyright or patent any part of the other Party’s Intellectual Property Rights or attempt to register any trademark, service mark or trade name that is identical or confusingly similar to the other Party’s marks.</w:t>
      </w:r>
    </w:p>
    <w:p>
      <w:pPr>
        <w:spacing w:after="0" w:line="239" w:lineRule="exact"/>
        <w:rPr>
          <w:sz w:val="20"/>
          <w:szCs w:val="20"/>
          <w:color w:val="auto"/>
        </w:rPr>
      </w:pPr>
    </w:p>
    <w:p>
      <w:pPr>
        <w:ind w:left="3" w:right="160" w:firstLine="518"/>
        <w:spacing w:after="0" w:line="260" w:lineRule="auto"/>
        <w:rPr>
          <w:sz w:val="20"/>
          <w:szCs w:val="20"/>
          <w:color w:val="auto"/>
        </w:rPr>
      </w:pPr>
      <w:r>
        <w:rPr>
          <w:rFonts w:ascii="Times New Roman" w:cs="Times New Roman" w:eastAsia="Times New Roman" w:hAnsi="Times New Roman"/>
          <w:sz w:val="22"/>
          <w:szCs w:val="22"/>
          <w:color w:val="auto"/>
        </w:rPr>
        <w:t>8.6 The Parties are working together for the integration and the following terms shall apply. For purposes of this Section 8.6, “</w:t>
      </w:r>
      <w:r>
        <w:rPr>
          <w:rFonts w:ascii="Times New Roman" w:cs="Times New Roman" w:eastAsia="Times New Roman" w:hAnsi="Times New Roman"/>
          <w:sz w:val="22"/>
          <w:szCs w:val="22"/>
          <w:b w:val="1"/>
          <w:bCs w:val="1"/>
          <w:color w:val="auto"/>
        </w:rPr>
        <w:t>Background Technology</w:t>
      </w:r>
      <w:r>
        <w:rPr>
          <w:rFonts w:ascii="Times New Roman" w:cs="Times New Roman" w:eastAsia="Times New Roman" w:hAnsi="Times New Roman"/>
          <w:sz w:val="22"/>
          <w:szCs w:val="22"/>
          <w:color w:val="auto"/>
        </w:rPr>
        <w:t>” means any Materials, concepts, inventions, ideas, methods, methodologies, procedures, processes, know-how, techniques, models, templates, software, tools, utilities, designs, schematics, works of authorship, inventions, discoveries, technical information, routines and materials that are: (a) created, acquired or otherwise developed prior to the Effective Date of this Agreement by a Party, or (b) developed entirely outside the scope of the activities under this Agreement without reference to the Confidential Information of the other Party; and all Intellectual Property Rights related thereto.</w:t>
      </w:r>
    </w:p>
    <w:p>
      <w:pPr>
        <w:spacing w:after="0" w:line="242" w:lineRule="exact"/>
        <w:rPr>
          <w:sz w:val="20"/>
          <w:szCs w:val="20"/>
          <w:color w:val="auto"/>
        </w:rPr>
      </w:pPr>
    </w:p>
    <w:p>
      <w:pPr>
        <w:jc w:val="both"/>
        <w:ind w:left="523" w:right="480" w:firstLine="643"/>
        <w:spacing w:after="0" w:line="270"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Shopify and Flow, Shopify shall own and hold all right, title and interest in and to all Shopify Background Technology. “</w:t>
      </w:r>
      <w:r>
        <w:rPr>
          <w:rFonts w:ascii="Times New Roman" w:cs="Times New Roman" w:eastAsia="Times New Roman" w:hAnsi="Times New Roman"/>
          <w:sz w:val="22"/>
          <w:szCs w:val="22"/>
          <w:b w:val="1"/>
          <w:bCs w:val="1"/>
          <w:color w:val="auto"/>
        </w:rPr>
        <w:t>Shopify Background Technology</w:t>
      </w:r>
      <w:r>
        <w:rPr>
          <w:rFonts w:ascii="Times New Roman" w:cs="Times New Roman" w:eastAsia="Times New Roman" w:hAnsi="Times New Roman"/>
          <w:sz w:val="22"/>
          <w:szCs w:val="22"/>
          <w:color w:val="auto"/>
        </w:rPr>
        <w:t>” means Background Technology owned by Shopify.</w:t>
      </w:r>
    </w:p>
    <w:p>
      <w:pPr>
        <w:spacing w:after="0" w:line="226" w:lineRule="exact"/>
        <w:rPr>
          <w:rFonts w:ascii="Times New Roman" w:cs="Times New Roman" w:eastAsia="Times New Roman" w:hAnsi="Times New Roman"/>
          <w:sz w:val="22"/>
          <w:szCs w:val="22"/>
          <w:color w:val="auto"/>
        </w:rPr>
      </w:pPr>
    </w:p>
    <w:p>
      <w:pPr>
        <w:ind w:left="523" w:right="240" w:firstLine="643"/>
        <w:spacing w:after="0" w:line="309" w:lineRule="auto"/>
        <w:tabs>
          <w:tab w:leader="none" w:pos="1951"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between Shopify and Flow, Flow shall own and hold all right, title and interest in and to all Flow Background Technology. “</w:t>
      </w:r>
      <w:r>
        <w:rPr>
          <w:rFonts w:ascii="Times New Roman" w:cs="Times New Roman" w:eastAsia="Times New Roman" w:hAnsi="Times New Roman"/>
          <w:sz w:val="21"/>
          <w:szCs w:val="21"/>
          <w:b w:val="1"/>
          <w:bCs w:val="1"/>
          <w:color w:val="auto"/>
        </w:rPr>
        <w:t>Flow Background Technology</w:t>
      </w:r>
      <w:r>
        <w:rPr>
          <w:rFonts w:ascii="Times New Roman" w:cs="Times New Roman" w:eastAsia="Times New Roman" w:hAnsi="Times New Roman"/>
          <w:sz w:val="21"/>
          <w:szCs w:val="21"/>
          <w:color w:val="auto"/>
        </w:rPr>
        <w:t>” means Background Technology owned by Flow.</w:t>
      </w:r>
    </w:p>
    <w:p>
      <w:pPr>
        <w:spacing w:after="0" w:line="188" w:lineRule="exact"/>
        <w:rPr>
          <w:rFonts w:ascii="Times New Roman" w:cs="Times New Roman" w:eastAsia="Times New Roman" w:hAnsi="Times New Roman"/>
          <w:sz w:val="21"/>
          <w:szCs w:val="21"/>
          <w:color w:val="auto"/>
        </w:rPr>
      </w:pPr>
    </w:p>
    <w:p>
      <w:pPr>
        <w:ind w:left="523" w:firstLine="643"/>
        <w:spacing w:after="0" w:line="261" w:lineRule="auto"/>
        <w:tabs>
          <w:tab w:leader="none" w:pos="195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in this Agreement, it is agreed that any Improvement to the Shopify Background Technology (whether made by Shopify or Flow) (“</w:t>
      </w:r>
      <w:r>
        <w:rPr>
          <w:rFonts w:ascii="Times New Roman" w:cs="Times New Roman" w:eastAsia="Times New Roman" w:hAnsi="Times New Roman"/>
          <w:sz w:val="22"/>
          <w:szCs w:val="22"/>
          <w:b w:val="1"/>
          <w:bCs w:val="1"/>
          <w:color w:val="auto"/>
        </w:rPr>
        <w:t>Shopify Improvements</w:t>
      </w:r>
      <w:r>
        <w:rPr>
          <w:rFonts w:ascii="Times New Roman" w:cs="Times New Roman" w:eastAsia="Times New Roman" w:hAnsi="Times New Roman"/>
          <w:sz w:val="22"/>
          <w:szCs w:val="22"/>
          <w:color w:val="auto"/>
        </w:rPr>
        <w:t>”) shall be owned and controlled solely by Shopify. Flow hereby irrevocably and unconditionally assigns and transfers to Shopify all rights and interest in and to Shopify Improvements (including all Intellectual Property Rights therein). Shopify Improvements may also be Shopify Deliverables.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means any improvements, modifications or derivative works, whether or not patentable to the Background Technology.</w:t>
      </w:r>
    </w:p>
    <w:p>
      <w:pPr>
        <w:spacing w:after="0" w:line="200" w:lineRule="exact"/>
        <w:rPr>
          <w:sz w:val="20"/>
          <w:szCs w:val="20"/>
          <w:color w:val="auto"/>
        </w:rPr>
      </w:pPr>
    </w:p>
    <w:p>
      <w:pPr>
        <w:spacing w:after="0" w:line="20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96" w:right="339" w:bottom="1440" w:gutter="0" w:footer="0" w:header="0"/>
        </w:sectPr>
      </w:pPr>
    </w:p>
    <w:bookmarkStart w:id="206" w:name="page207"/>
    <w:bookmarkEnd w:id="206"/>
    <w:p>
      <w:pPr>
        <w:ind w:left="520" w:right="80" w:firstLine="643"/>
        <w:spacing w:after="0" w:line="263" w:lineRule="auto"/>
        <w:tabs>
          <w:tab w:leader="none" w:pos="19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in this Agreement, it is agreed that any Improvement to the Flow Background Technology (whether made by Shopify or Flow) (“</w:t>
      </w:r>
      <w:r>
        <w:rPr>
          <w:rFonts w:ascii="Times New Roman" w:cs="Times New Roman" w:eastAsia="Times New Roman" w:hAnsi="Times New Roman"/>
          <w:sz w:val="22"/>
          <w:szCs w:val="22"/>
          <w:b w:val="1"/>
          <w:bCs w:val="1"/>
          <w:color w:val="auto"/>
        </w:rPr>
        <w:t>Flow Improvements</w:t>
      </w:r>
      <w:r>
        <w:rPr>
          <w:rFonts w:ascii="Times New Roman" w:cs="Times New Roman" w:eastAsia="Times New Roman" w:hAnsi="Times New Roman"/>
          <w:sz w:val="22"/>
          <w:szCs w:val="22"/>
          <w:color w:val="auto"/>
        </w:rPr>
        <w:t>”) shall be owned and controlled solely by Flow. Shopify hereby irrevocably and unconditionally assigns and transfers to Flow all rights and interest in and to Flow Improvements (including all Intellectual Property Rights therein). Flow Improvements may also be Flow Deliverables.</w:t>
      </w:r>
    </w:p>
    <w:p>
      <w:pPr>
        <w:spacing w:after="0" w:line="233" w:lineRule="exact"/>
        <w:rPr>
          <w:rFonts w:ascii="Times New Roman" w:cs="Times New Roman" w:eastAsia="Times New Roman" w:hAnsi="Times New Roman"/>
          <w:sz w:val="22"/>
          <w:szCs w:val="22"/>
          <w:color w:val="auto"/>
        </w:rPr>
      </w:pPr>
    </w:p>
    <w:p>
      <w:pPr>
        <w:ind w:left="520" w:right="40" w:firstLine="643"/>
        <w:spacing w:after="0" w:line="259" w:lineRule="auto"/>
        <w:tabs>
          <w:tab w:leader="none" w:pos="194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assignment under Section (c) or (d) above may be ineffective or incomplete as a result of any operation of law, statutory or otherwise, the assigning party above (the “</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 hereby unconditionally and irrevocably waives the enforcement of such rights, and agrees never to assert such rights against the assigned party or any of Assignee’s licensees (the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 If Assignor has any right to the assigned items that cannot be assigned to Assignee or waived by Assignor, Assignor unconditionally and irrevocably grants to Assignee, during the term of such rights, an exclusive, irrevocable, perpetual, worldwide, fully paid and royalty-free license, with rights to sublicense throughout multiple levels of sublicenses, to reproduce, create derivative works of, distribute, publicly perform and publicly display by all means now known or later developed. In addition, Assignor agrees to obtain such assignment, waiver, covenant not to assert such rights, or license from any subsidiary, subcontractor, consultant, or employee who creates, either in whole or part, the assigned materials.</w:t>
      </w:r>
    </w:p>
    <w:p>
      <w:pPr>
        <w:spacing w:after="0" w:line="239" w:lineRule="exact"/>
        <w:rPr>
          <w:rFonts w:ascii="Times New Roman" w:cs="Times New Roman" w:eastAsia="Times New Roman" w:hAnsi="Times New Roman"/>
          <w:sz w:val="22"/>
          <w:szCs w:val="22"/>
          <w:color w:val="auto"/>
        </w:rPr>
      </w:pPr>
    </w:p>
    <w:p>
      <w:pPr>
        <w:ind w:left="520" w:right="40" w:firstLine="643"/>
        <w:spacing w:after="0" w:line="258" w:lineRule="auto"/>
        <w:tabs>
          <w:tab w:leader="none" w:pos="19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do not anticipate that they will create any New Materials. However, to the extent any New Materials are created, Shopify and Flow shall jointly own such New Materials developed pursuant to this Agreement, including all Intellectual Property Rights therein, without right of accounting and with the full right to sublicense such rights without the consent of the other party. Each Party hereby assigns and agrees to assign to the other Party an undivided one-half interest in the New Materials to effect the joint ownership described above. During and after the term of this Agreement, each Party (the “</w:t>
      </w:r>
      <w:r>
        <w:rPr>
          <w:rFonts w:ascii="Times New Roman" w:cs="Times New Roman" w:eastAsia="Times New Roman" w:hAnsi="Times New Roman"/>
          <w:sz w:val="22"/>
          <w:szCs w:val="22"/>
          <w:b w:val="1"/>
          <w:bCs w:val="1"/>
          <w:color w:val="auto"/>
        </w:rPr>
        <w:t>Appointing Party</w:t>
      </w:r>
      <w:r>
        <w:rPr>
          <w:rFonts w:ascii="Times New Roman" w:cs="Times New Roman" w:eastAsia="Times New Roman" w:hAnsi="Times New Roman"/>
          <w:sz w:val="22"/>
          <w:szCs w:val="22"/>
          <w:color w:val="auto"/>
        </w:rPr>
        <w:t>") will sign and deliver to the other Party (the “</w:t>
      </w:r>
      <w:r>
        <w:rPr>
          <w:rFonts w:ascii="Times New Roman" w:cs="Times New Roman" w:eastAsia="Times New Roman" w:hAnsi="Times New Roman"/>
          <w:sz w:val="22"/>
          <w:szCs w:val="22"/>
          <w:b w:val="1"/>
          <w:bCs w:val="1"/>
          <w:color w:val="auto"/>
        </w:rPr>
        <w:t>Securing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any further documents, including patent or copyright assignments or applications, to permit the Securing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exercise its rights pursuant to this Agreement. “</w:t>
      </w:r>
      <w:r>
        <w:rPr>
          <w:rFonts w:ascii="Times New Roman" w:cs="Times New Roman" w:eastAsia="Times New Roman" w:hAnsi="Times New Roman"/>
          <w:sz w:val="22"/>
          <w:szCs w:val="22"/>
          <w:b w:val="1"/>
          <w:bCs w:val="1"/>
          <w:color w:val="auto"/>
        </w:rPr>
        <w:t>New Materials</w:t>
      </w:r>
      <w:r>
        <w:rPr>
          <w:rFonts w:ascii="Times New Roman" w:cs="Times New Roman" w:eastAsia="Times New Roman" w:hAnsi="Times New Roman"/>
          <w:sz w:val="22"/>
          <w:szCs w:val="22"/>
          <w:color w:val="auto"/>
        </w:rPr>
        <w:t>” means any and all technology, products, design and associated documents (including all printed and electronic documentation and notes) that are jointly developed by the parties under this Agreement or that were developed or created by either party (or jointly by the parties) pursuant to, related to, or in connection with this Agreement and the activities contemplated herein, that are not Improvements to either Party’s Background Technology and all Intellectual Property Rights thereto (excluding Background Technology and Improvements).</w:t>
      </w:r>
    </w:p>
    <w:p>
      <w:pPr>
        <w:spacing w:after="0" w:line="244" w:lineRule="exact"/>
        <w:rPr>
          <w:rFonts w:ascii="Times New Roman" w:cs="Times New Roman" w:eastAsia="Times New Roman" w:hAnsi="Times New Roman"/>
          <w:sz w:val="22"/>
          <w:szCs w:val="22"/>
          <w:color w:val="auto"/>
        </w:rPr>
      </w:pPr>
    </w:p>
    <w:p>
      <w:pPr>
        <w:ind w:left="520" w:right="20" w:firstLine="643"/>
        <w:spacing w:after="0" w:line="259" w:lineRule="auto"/>
        <w:tabs>
          <w:tab w:leader="none" w:pos="195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negotiate in good faith a strategy for the protection of New Materials, including but not limited to the process and expenses for the filing of any patent applications and maintenance of any patent once registered. In the event that the Parties agree to file a patent application directed to New Materials in any country, such patent applications (“</w:t>
      </w:r>
      <w:r>
        <w:rPr>
          <w:rFonts w:ascii="Times New Roman" w:cs="Times New Roman" w:eastAsia="Times New Roman" w:hAnsi="Times New Roman"/>
          <w:sz w:val="22"/>
          <w:szCs w:val="22"/>
          <w:b w:val="1"/>
          <w:bCs w:val="1"/>
          <w:color w:val="auto"/>
        </w:rPr>
        <w:t>Joint Patent Applications</w:t>
      </w:r>
      <w:r>
        <w:rPr>
          <w:rFonts w:ascii="Times New Roman" w:cs="Times New Roman" w:eastAsia="Times New Roman" w:hAnsi="Times New Roman"/>
          <w:sz w:val="22"/>
          <w:szCs w:val="22"/>
          <w:color w:val="auto"/>
        </w:rPr>
        <w:t>”) shall be filed by both Parties hereto in any country. The Parties shall cooperate in deciding which Party shall bear, or whether and how the Parties shall share the costs of any Joint Patent Application filed jointly by the Parties, and if the Parties cannot agree, then they shall bear the costs on a 50-50 basis. Each Party agrees to cooperate with the other Party in the preparation of all documents and materials required for filing, prosecuting and/or maintaining any application(s) for Intellectual Property Rights relating to any New Materials. If the Parties do not agree then the jointly owned Intellectual Property Rights embodied in the new Materials then such Intellectual Property Rights shall not be registered.</w:t>
      </w:r>
    </w:p>
    <w:p>
      <w:pPr>
        <w:spacing w:after="0" w:line="239" w:lineRule="exact"/>
        <w:rPr>
          <w:rFonts w:ascii="Times New Roman" w:cs="Times New Roman" w:eastAsia="Times New Roman" w:hAnsi="Times New Roman"/>
          <w:sz w:val="22"/>
          <w:szCs w:val="22"/>
          <w:color w:val="auto"/>
        </w:rPr>
      </w:pPr>
    </w:p>
    <w:p>
      <w:pPr>
        <w:ind w:left="520" w:right="360" w:firstLine="643"/>
        <w:spacing w:after="0" w:line="270" w:lineRule="auto"/>
        <w:tabs>
          <w:tab w:leader="none" w:pos="19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good faith discussions regarding any modification to the Flow Background Technology or otherwise related to the Flow Offering shall not be considered services to Shopify and Flow shall undertake its obligations in the United States.</w:t>
      </w:r>
    </w:p>
    <w:p>
      <w:pPr>
        <w:spacing w:after="0" w:line="226" w:lineRule="exact"/>
        <w:rPr>
          <w:sz w:val="20"/>
          <w:szCs w:val="20"/>
          <w:color w:val="auto"/>
        </w:rPr>
      </w:pPr>
    </w:p>
    <w:p>
      <w:pPr>
        <w:ind w:firstLine="518"/>
        <w:spacing w:after="0" w:line="260" w:lineRule="auto"/>
        <w:rPr>
          <w:sz w:val="20"/>
          <w:szCs w:val="20"/>
          <w:color w:val="auto"/>
        </w:rPr>
      </w:pPr>
      <w:r>
        <w:rPr>
          <w:rFonts w:ascii="Times New Roman" w:cs="Times New Roman" w:eastAsia="Times New Roman" w:hAnsi="Times New Roman"/>
          <w:sz w:val="22"/>
          <w:szCs w:val="22"/>
          <w:color w:val="auto"/>
        </w:rPr>
        <w:t>8.7 Neither Party will (nor will permit any other Affiliate or party to) (a) resell, lease, distribute, transfer or otherwise make available the Flow Offering, Flow APIs, or Shopify APIs (as applicable), on a time-sharing or service bureau basis, (b) use the Flow Offering, Flow APIs or Shopify APIs (as applicable) to violate or circumvent any laws or regulations or in a manner that disrupts the operations of Flow or any of its other Clients, (c) use the Flow Offering, Flow APIs or Shopify APIs (as applicable) to store or transmit malicious code or offer or distribute contraband or misleading, stolen, counterfeit, or infringing product, (d) decompile, disassemble, or reverse engineer the Flow Offering, Flow APIs or Shopify APIs (as applicable), in whole or in part; or (e) attempt to circumvent any security features or protections in the Flow Offering, Flow APIs or Shopify APIs (as applicable) or any third party tool.</w:t>
      </w:r>
    </w:p>
    <w:p>
      <w:pPr>
        <w:spacing w:after="0" w:line="40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396" w:right="339" w:bottom="613" w:gutter="0" w:footer="0" w:header="0"/>
        </w:sectPr>
      </w:pPr>
    </w:p>
    <w:bookmarkStart w:id="207" w:name="page208"/>
    <w:bookmarkEnd w:id="207"/>
    <w:p>
      <w:pPr>
        <w:ind w:left="523"/>
        <w:spacing w:after="0"/>
        <w:tabs>
          <w:tab w:leader="none" w:pos="1303"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color w:val="auto"/>
        </w:rPr>
        <w:t>Nothing in this Section 8 shall be construed as a party providing services or supply to the other party.</w:t>
      </w:r>
    </w:p>
    <w:p>
      <w:pPr>
        <w:spacing w:after="0" w:line="287" w:lineRule="exact"/>
        <w:rPr>
          <w:sz w:val="20"/>
          <w:szCs w:val="20"/>
          <w:color w:val="auto"/>
        </w:rPr>
      </w:pPr>
    </w:p>
    <w:p>
      <w:pPr>
        <w:ind w:left="703" w:hanging="703"/>
        <w:spacing w:after="0"/>
        <w:tabs>
          <w:tab w:leader="none" w:pos="70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Feature Specific Terms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firstLine="518"/>
        <w:spacing w:after="0" w:line="261" w:lineRule="auto"/>
        <w:rPr>
          <w:sz w:val="20"/>
          <w:szCs w:val="20"/>
          <w:color w:val="auto"/>
        </w:rPr>
      </w:pPr>
      <w:r>
        <w:rPr>
          <w:rFonts w:ascii="Times New Roman" w:cs="Times New Roman" w:eastAsia="Times New Roman" w:hAnsi="Times New Roman"/>
          <w:sz w:val="22"/>
          <w:szCs w:val="22"/>
          <w:color w:val="auto"/>
        </w:rPr>
        <w:t>9.1 Shopify shall include in its agreement with Merchants the Flow Merchant T&amp;Cs, via hyperlink or embedded text. Shopify shall use all reasonable efforts to support Flow in enforcing the Flow Merchant T&amp;Cs for Merchant compliance (e.g., ensuring Merchant utilize the Flow Offering for the agreed upon term and countries), and in an effort to reduce and mitigate risk to Flow caused by a Merchant’s violation of Flow Merchant T&amp;Cs; provided, that Flow has informed Shopify and has requested such support. For example, ensuring Merchant (and by extension, Merchant’s carrier), utilizes the proper Flow tax ID numbers.</w:t>
      </w:r>
    </w:p>
    <w:p>
      <w:pPr>
        <w:spacing w:after="0" w:line="239" w:lineRule="exact"/>
        <w:rPr>
          <w:sz w:val="20"/>
          <w:szCs w:val="20"/>
          <w:color w:val="auto"/>
        </w:rPr>
      </w:pPr>
    </w:p>
    <w:p>
      <w:pPr>
        <w:ind w:left="3" w:right="20" w:firstLine="518"/>
        <w:spacing w:after="0" w:line="269" w:lineRule="auto"/>
        <w:rPr>
          <w:sz w:val="20"/>
          <w:szCs w:val="20"/>
          <w:color w:val="auto"/>
        </w:rPr>
      </w:pPr>
      <w:r>
        <w:rPr>
          <w:rFonts w:ascii="Times New Roman" w:cs="Times New Roman" w:eastAsia="Times New Roman" w:hAnsi="Times New Roman"/>
          <w:sz w:val="21"/>
          <w:szCs w:val="21"/>
          <w:color w:val="auto"/>
        </w:rPr>
        <w:t>9.2 For any Merchant utilizing Flow Merchant Offerings for MoR Customer Orders, Shopify shall ensure, that (i) Flow’s fraud solution is in proper working order for all MoR Customer Orders and recommendations from the fraud service provider are not overridden by Merchant, (ii) the Tax Calculator is utilized for the transaction (iii) classification of the applicable goods utilized Flow’s classification solution, (iv) the foreign exchange rate provided by Flow is utilized for display of prices to customers, for the sales and capture of amounts related to the Customer Order, for all relevant reporting and data provided to the Merchant, Flow and any third party, and as the basis for the Settlement Currencies, (v) only mutually approved International Territories are utilized as origination countries for each Cross-Border Sale; (vi) Merchant (or Merchant’s agent) is the exporter of record, (vii) the checkout display (including required verbiage) is in compliance with all Applicable Law for the destination country, (viii) Shopify provides Flow the information and support reasonably requested by Flow as necessary to meet its obligations as the merchant of record, including but not limited to those required by payment providers and governmental authorities, and (ix) the Flow Merchant Offering is not activated prior to Flow’s approval after the KYC review (it being understood that the Parties shall work together to implement a means of providing notice of such approval to Shopify via API). Additionally, Shopify shall support Flow’s “know your customer” obligations and underwriting, which includes, but is not limited to, enabling Merchants to provide the necessary information (prior to launch and any updates) (“KYC information”). KYC obligations continue throughout the relationship between the Merchant and Flow. Flow shall reach out to the Merchant from time to time relating to the Merchant’s sales, website, operations and items that Flow monitors from a KYC perspective (e.g., proper description of items, removing prohibited products for sale, concerns regarding false or inaccurate claims) (“KYC Communications”); provided, that Flow will leverage Shopify-approved templates, or where a specific Shopify-approved template is not provided, will ensure any KYC Communications reasonably adhere to KYC support guidelines provided by Shopify. Additionally, Flow will ensure that any KYC Communications include a designated Shopify support representative, provided that Flow has been provided with the contact details for such Shopify representative prior to issuing any KYC Communications. The Parties shall work together in good faith to develop systems or operations whereby any subsequent KYC Communications occur within the Shopify Services or are conducted by Shopify employees. The necessary KYC information is listed on Exhibit D. For purposes of clarification and not of limitation, the payments for MoR Customer Orders are provided by Flow to the customers as offered to Flow by Flow’s payment providers and Flow’s offering of payment methods shall be done in a manner in compliance with the terms of the payment providers’ agreements with Flow and all applicable law. The Parties acknowledge that certain goods and services relating to merchant of record services and sales of goods cross-border may require licenses (e.g., a CITES or Fish and Wildlife license) and the Parties do not intend that the Flow Offering provided hereunder shall require Flow to secure any license(s); provided, that in the event Flow has such a license, Flow may, in its sole discretion, agree to support a restricted good. For all MoR Customer Orders, the logistics services utilized for the delivery of the Goods that are not provided by Flow shall be subcontracted hereunder to Flow in order for Flow to provide delivered Products to the customer.</w:t>
      </w:r>
    </w:p>
    <w:p>
      <w:pPr>
        <w:spacing w:after="0" w:line="200" w:lineRule="exact"/>
        <w:rPr>
          <w:sz w:val="20"/>
          <w:szCs w:val="20"/>
          <w:color w:val="auto"/>
        </w:rPr>
      </w:pPr>
    </w:p>
    <w:p>
      <w:pPr>
        <w:spacing w:after="0" w:line="211"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3"/>
          </w:cols>
          <w:pgMar w:left="717" w:top="396" w:right="359" w:bottom="1440" w:gutter="0" w:footer="0" w:header="0"/>
        </w:sectPr>
      </w:pPr>
    </w:p>
    <w:bookmarkStart w:id="208" w:name="page209"/>
    <w:bookmarkEnd w:id="208"/>
    <w:p>
      <w:pPr>
        <w:ind w:right="40" w:firstLine="518"/>
        <w:spacing w:after="0" w:line="258" w:lineRule="auto"/>
        <w:rPr>
          <w:sz w:val="20"/>
          <w:szCs w:val="20"/>
          <w:color w:val="auto"/>
        </w:rPr>
      </w:pPr>
      <w:r>
        <w:rPr>
          <w:rFonts w:ascii="Times New Roman" w:cs="Times New Roman" w:eastAsia="Times New Roman" w:hAnsi="Times New Roman"/>
          <w:sz w:val="22"/>
          <w:szCs w:val="22"/>
          <w:color w:val="auto"/>
        </w:rPr>
        <w:t>9.3 Shopify shall provide all reasonable assistance necessary for Flow to meet its tax obligations as the seller of the Products, including, but not limited to ensuring that (i) origination country and destination country details provided by the Merchant are accurately transmitted to Flow, (ii) the local currency displayed at checkout and related Flow-provided currency exchange rate), (iii) only “duties delivered paid” is utilized for countries that Flow has registered to remit sales taxes directly, (iv) all Logistics Providers (a) utilize the transaction data provided by Flow for each MoR Customer Order for all filings with government agencies, including but not limited to customs agencies and taxing authorities, (b) utilizing the accurate Flow or Flow Affiliate tax ID number solely for MoR Customer Orders and not for any other orders, and (c) remit the necessary duties and taxes in accordance with the settings at checkout, and not remit taxes for countries that Flow has registered to remit sales taxes directly, and (iv) Merchants provide all tax and other documentation (provided Flow has requested such documentation from the Merchant or through Shopify) and data (including carrier data) necessary, and on a timely basis, for Flow to remit payments based on MoR Customer Orders. Shopify and Flow shall work together to share tax rate changes with Merchants.</w:t>
      </w:r>
    </w:p>
    <w:p>
      <w:pPr>
        <w:spacing w:after="0" w:line="247" w:lineRule="exact"/>
        <w:rPr>
          <w:sz w:val="20"/>
          <w:szCs w:val="20"/>
          <w:color w:val="auto"/>
        </w:rPr>
      </w:pPr>
    </w:p>
    <w:p>
      <w:pPr>
        <w:ind w:left="520"/>
        <w:spacing w:after="0"/>
        <w:tabs>
          <w:tab w:leader="none" w:pos="136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22"/>
          <w:szCs w:val="22"/>
          <w:color w:val="auto"/>
        </w:rPr>
        <w:t>9.5 The Flow Offering for international shipping includes rate shopping (by price or speed), label printing, Commercial invoice management, when Flow carrier: tracking, coordination with carrier to resolve clearance and delivery issues and claim filing. The Flow Offering for classification and duty calculation includes the creation of customs description from product catalog, classification of product based on the product SKU, application of identified duty rate to product at the item and order level, application of customs description, HS codes, duty rates, and product pricing for customs documentation for shipping of order.</w:t>
      </w:r>
    </w:p>
    <w:p>
      <w:pPr>
        <w:spacing w:after="0" w:line="239" w:lineRule="exact"/>
        <w:rPr>
          <w:sz w:val="20"/>
          <w:szCs w:val="20"/>
          <w:color w:val="auto"/>
        </w:rPr>
      </w:pPr>
    </w:p>
    <w:p>
      <w:pPr>
        <w:ind w:left="520"/>
        <w:spacing w:after="0"/>
        <w:tabs>
          <w:tab w:leader="none" w:pos="130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22"/>
          <w:szCs w:val="22"/>
          <w:color w:val="auto"/>
        </w:rPr>
        <w:t xml:space="preserve">9.7 Flow shall provide as a Flow Offering the Tax Calculator for Customer Orders; provided, that only Standard Rates for sales to consumers are required to be supported, and no origination countries shall be utilized that have not been approved by Flow in advance in writing (which, for purposes of clarification and not of limitation, a change in origination country may change support for a destination country, as further described at </w:t>
      </w:r>
      <w:r>
        <w:rPr>
          <w:rFonts w:ascii="Times New Roman" w:cs="Times New Roman" w:eastAsia="Times New Roman" w:hAnsi="Times New Roman"/>
          <w:sz w:val="22"/>
          <w:szCs w:val="22"/>
          <w:u w:val="single" w:color="auto"/>
          <w:color w:val="auto"/>
        </w:rPr>
        <w:t>https://api.flow.io/reference/countries</w:t>
      </w:r>
      <w:r>
        <w:rPr>
          <w:rFonts w:ascii="Times New Roman" w:cs="Times New Roman" w:eastAsia="Times New Roman" w:hAnsi="Times New Roman"/>
          <w:sz w:val="22"/>
          <w:szCs w:val="22"/>
          <w:color w:val="auto"/>
        </w:rPr>
        <w:t>. In the event the Parties desire for Flow to provide a Tax Calculator on product detail page or other page that is not the Merchant checkout page, the Parties shall discuss in good faith such offering, including but not limited to the integration and fees related thereto. Flow may, in its sole discretion, include non-Standard Rates; provided, that (A) such update is at no additional fee, and (B) no additional information is required to be provided by Shopify or a Merchant that is not already contemplated by this Agreement. Shopify shall ensure that (i) the Tax Inputs (other than the tax rate) are provided for the Tax Calculator to provide the tax and duty amounts at checkout and (ii) classification of the applicable goods utilized Flow’s classification solution. In the event that Shopify and Flow would like to expand the scope of the calculations or the definition and applicability of such Tax Calculator to additional Customer Orders, the parties shall discuss in good faith, which may include additional professional service fees or an additional per Customer Order fee. Shopify’s system shall capture the tax and duty calculation from Flow for each Customer Order and shall provide the data back to Flow (in the case of MoR Customer Orders only) and the Merchants such that each can meet its tax reporting obligations. Additionally, nothing herein shall require Flow to provide any tax invoices.</w:t>
      </w:r>
    </w:p>
    <w:p>
      <w:pPr>
        <w:spacing w:after="0" w:line="200" w:lineRule="exact"/>
        <w:rPr>
          <w:sz w:val="20"/>
          <w:szCs w:val="20"/>
          <w:color w:val="auto"/>
        </w:rPr>
      </w:pPr>
    </w:p>
    <w:p>
      <w:pPr>
        <w:spacing w:after="0" w:line="20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45085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720" w:top="396" w:right="359" w:bottom="1440" w:gutter="0" w:footer="0" w:header="0"/>
        </w:sectPr>
      </w:pPr>
    </w:p>
    <w:bookmarkStart w:id="209" w:name="page210"/>
    <w:bookmarkEnd w:id="209"/>
    <w:p>
      <w:pPr>
        <w:ind w:left="400" w:right="20" w:firstLine="518"/>
        <w:spacing w:after="0" w:line="257" w:lineRule="auto"/>
        <w:rPr>
          <w:sz w:val="20"/>
          <w:szCs w:val="20"/>
          <w:color w:val="auto"/>
        </w:rPr>
      </w:pPr>
      <w:r>
        <w:rPr>
          <w:rFonts w:ascii="Times New Roman" w:cs="Times New Roman" w:eastAsia="Times New Roman" w:hAnsi="Times New Roman"/>
          <w:sz w:val="22"/>
          <w:szCs w:val="22"/>
          <w:color w:val="auto"/>
        </w:rPr>
        <w:t xml:space="preserve">9.8 The Parties acknowledge that the provisioning of payment processing to customers as the merchant of record requires compliance with,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laws, network rules, and scheme rules (“</w:t>
      </w:r>
      <w:r>
        <w:rPr>
          <w:rFonts w:ascii="Times New Roman" w:cs="Times New Roman" w:eastAsia="Times New Roman" w:hAnsi="Times New Roman"/>
          <w:sz w:val="22"/>
          <w:szCs w:val="22"/>
          <w:b w:val="1"/>
          <w:bCs w:val="1"/>
          <w:color w:val="auto"/>
        </w:rPr>
        <w:t>Payment Ecosystem Obligations</w:t>
      </w:r>
      <w:r>
        <w:rPr>
          <w:rFonts w:ascii="Times New Roman" w:cs="Times New Roman" w:eastAsia="Times New Roman" w:hAnsi="Times New Roman"/>
          <w:sz w:val="22"/>
          <w:szCs w:val="22"/>
          <w:color w:val="auto"/>
        </w:rPr>
        <w:t>”). Such rules include that the consumer for any MoR Customer Order is aware that Flow is the seller. The ability to ensure that there is not consumer confusion is largely done at the time of sale at checkout. The parties shall work together in good faith to ensure the integration and natively integrating offering does not violate the Payment Ecosystem Obligations. Shopify shall ensure that Flow, as the seller of the goods in the transaction is presented in a conspicuous manner, visible to customers, such that the consumer should reasonably be aware that they are purchasing goods from Flow, together with a link to Flow’s consumer terms and conditions (or such other consumer terms and conditions for the sale of goods, which Shopify shall ensure state that Flow is the seller of the goods (and lists which Designated Affiliate will be the Seller, with the legally required information)) is provided at the time of every sale for every MoR Customer Order. If Shopify provides template emails for Merchants to confirm with the consumer MoR Customer Orders, such template shall include a similarly conspicuous statement regarding Flow as the seller of the goods in the transaction, including Flow’s customer service email (</w:t>
      </w:r>
      <w:r>
        <w:rPr>
          <w:rFonts w:ascii="Times New Roman" w:cs="Times New Roman" w:eastAsia="Times New Roman" w:hAnsi="Times New Roman"/>
          <w:sz w:val="22"/>
          <w:szCs w:val="22"/>
          <w:u w:val="single" w:color="auto"/>
          <w:color w:val="auto"/>
        </w:rPr>
        <w:t>help@flow.io</w:t>
      </w:r>
      <w:r>
        <w:rPr>
          <w:rFonts w:ascii="Times New Roman" w:cs="Times New Roman" w:eastAsia="Times New Roman" w:hAnsi="Times New Roman"/>
          <w:sz w:val="22"/>
          <w:szCs w:val="22"/>
          <w:color w:val="auto"/>
        </w:rPr>
        <w:t>). In the event Flow receives a complaint from one or more of its payment processors and/or inquiries from any network or scheme (or other party in the payments ecosystem), Shopify shall provide all reasonable support to assist Flow in addressing any such complaint or inquiry. In the event of any change in, or addition to, Payment Ecosystem Obligations, Shopify shall provide prompt and reasonable assistance to make any changes to checkout or customer communication (or otherwise) that may be required.</w:t>
      </w:r>
    </w:p>
    <w:p>
      <w:pPr>
        <w:spacing w:after="0" w:line="255" w:lineRule="exact"/>
        <w:rPr>
          <w:sz w:val="20"/>
          <w:szCs w:val="20"/>
          <w:color w:val="auto"/>
        </w:rPr>
      </w:pPr>
    </w:p>
    <w:p>
      <w:pPr>
        <w:ind w:left="400" w:firstLine="518"/>
        <w:spacing w:after="0" w:line="258" w:lineRule="auto"/>
        <w:rPr>
          <w:sz w:val="20"/>
          <w:szCs w:val="20"/>
          <w:color w:val="auto"/>
        </w:rPr>
      </w:pPr>
      <w:r>
        <w:rPr>
          <w:rFonts w:ascii="Times New Roman" w:cs="Times New Roman" w:eastAsia="Times New Roman" w:hAnsi="Times New Roman"/>
          <w:sz w:val="22"/>
          <w:szCs w:val="22"/>
          <w:color w:val="auto"/>
        </w:rPr>
        <w:t>9.9 Flow shall provide the fraud solution for MoR Customer Orders (“Fraud Protected Orders”). Shopify shall send to Flow the transaction information post-purchase to Flow for all Fraud Protected Orders in order for Flow to share with a fraud service provider. Flow shall return back to Shopify the decision on whether the transaction is likely or not to be fraud. Shopify shall ensure that funds are not captured and that no Fraud Protected Orders are available to be shipped until the fraud decision is made, that any Fraud Protected Orders found to be fraudulent are not fulfilled, and that Merchants are able to see the fraud decision from Shopify (whether in the Shopify console or otherwise). Shopify and Flow shall use best efforts to work together to improve Flow’s fraud solution. Additionally, the Parties agree to consider in good faith utilizing Shopify’s native fraud protection solution for MoR Customer Orders, provided that such utilization will be subject to the mutual agreement of the Parties. For all Fraud Protected Orders that comply with the terms of this Section 9.9, Flow shall be liable for Covered Chargebacks. All non-Covered Chargebacks shall be the responsibility of the Merchant. As between Flow and Shopify, Flow is responsible for all refunds and chargebacks, and relatedly Flow shall not look to Shopify as a financial guarantor of a Merchant, except for Merchants for which Shopify provides a guarantee pursuant to Section 9.4.</w:t>
      </w:r>
    </w:p>
    <w:p>
      <w:pPr>
        <w:spacing w:after="0" w:line="247" w:lineRule="exact"/>
        <w:rPr>
          <w:sz w:val="20"/>
          <w:szCs w:val="20"/>
          <w:color w:val="auto"/>
        </w:rPr>
      </w:pPr>
    </w:p>
    <w:p>
      <w:pPr>
        <w:ind w:right="80" w:firstLine="397"/>
        <w:spacing w:after="0" w:line="260" w:lineRule="auto"/>
        <w:tabs>
          <w:tab w:leader="none" w:pos="119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Privacy and Data Usage</w:t>
      </w:r>
      <w:r>
        <w:rPr>
          <w:rFonts w:ascii="Times New Roman" w:cs="Times New Roman" w:eastAsia="Times New Roman" w:hAnsi="Times New Roman"/>
          <w:sz w:val="22"/>
          <w:szCs w:val="22"/>
          <w:color w:val="auto"/>
        </w:rPr>
        <w:t>. In accordance with Applicable Data Protection Legislation, Shopify shall provide to Flow all transaction-specific data, including Shared Customer Personal Data, and if required by Flow to provide a Flow Offering requested by Shopify, Shopify may be required to provide Merchant Customer Personal Data to Flow. For certainty, the parties acknowledge and agree that Flow is a Data Processor for each Merchant with respect to each Merchant’s Merchant Customer Personal Data and Shared Customer Personal Data. The Parties acknowledge and agree that Flow is required to enter into Flow’s online Data Processing Agreement (which shall be updated from time to time to comply with applicable law) with each Merchant.</w:t>
      </w:r>
    </w:p>
    <w:p>
      <w:pPr>
        <w:spacing w:after="0" w:line="2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The parties further acknowledge and agree that Flow and Shopify are independent Data Controllers in respect of all Merchant Personal Data processed in connection with this Agreement. As such, Shopify independently determines the purpose and means of processing of Merchant Personal Data and is not a joint Data Controller with Flow with respect to Merchant Personal Data. The parties acknowledge and agree that Flow is permitted to process Merchant Personal Data for the following limited purposes:</w:t>
      </w:r>
    </w:p>
    <w:p>
      <w:pPr>
        <w:spacing w:after="0" w:line="219" w:lineRule="exact"/>
        <w:rPr>
          <w:sz w:val="20"/>
          <w:szCs w:val="20"/>
          <w:color w:val="auto"/>
        </w:rPr>
      </w:pPr>
    </w:p>
    <w:p>
      <w:pPr>
        <w:ind w:left="1340" w:hanging="684"/>
        <w:spacing w:after="0"/>
        <w:tabs>
          <w:tab w:leader="none" w:pos="13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reasonably necessary to provide the Flow Offerings to Shopify and Merchants;</w:t>
      </w:r>
    </w:p>
    <w:p>
      <w:pPr>
        <w:spacing w:after="0" w:line="287" w:lineRule="exact"/>
        <w:rPr>
          <w:rFonts w:ascii="Times New Roman" w:cs="Times New Roman" w:eastAsia="Times New Roman" w:hAnsi="Times New Roman"/>
          <w:sz w:val="22"/>
          <w:szCs w:val="22"/>
          <w:color w:val="auto"/>
        </w:rPr>
      </w:pPr>
    </w:p>
    <w:p>
      <w:pPr>
        <w:ind w:left="660" w:hanging="4"/>
        <w:spacing w:after="0" w:line="284" w:lineRule="auto"/>
        <w:tabs>
          <w:tab w:leader="none" w:pos="137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reasonably necessary to monitor, prevent and detect fraudulent transactions and to prevent harm to Shopify and Merchants;</w:t>
      </w:r>
    </w:p>
    <w:p>
      <w:pPr>
        <w:spacing w:after="0" w:line="211" w:lineRule="exact"/>
        <w:rPr>
          <w:rFonts w:ascii="Times New Roman" w:cs="Times New Roman" w:eastAsia="Times New Roman" w:hAnsi="Times New Roman"/>
          <w:sz w:val="22"/>
          <w:szCs w:val="22"/>
          <w:color w:val="auto"/>
        </w:rPr>
      </w:pPr>
    </w:p>
    <w:p>
      <w:pPr>
        <w:ind w:left="660" w:right="20" w:hanging="4"/>
        <w:spacing w:after="0" w:line="284" w:lineRule="auto"/>
        <w:tabs>
          <w:tab w:leader="none" w:pos="149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legal or regulatory obligations applicable to the processing and retention of Merchant Personal Data; and</w:t>
      </w:r>
    </w:p>
    <w:p>
      <w:pPr>
        <w:spacing w:after="0" w:line="211"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expressly permitted hereunder.</w:t>
      </w:r>
    </w:p>
    <w:p>
      <w:pPr>
        <w:spacing w:after="0" w:line="287" w:lineRule="exact"/>
        <w:rPr>
          <w:sz w:val="20"/>
          <w:szCs w:val="20"/>
          <w:color w:val="auto"/>
        </w:rPr>
      </w:pPr>
    </w:p>
    <w:p>
      <w:pPr>
        <w:ind w:left="400" w:right="200"/>
        <w:spacing w:after="0" w:line="270" w:lineRule="auto"/>
        <w:rPr>
          <w:sz w:val="20"/>
          <w:szCs w:val="20"/>
          <w:color w:val="auto"/>
        </w:rPr>
      </w:pPr>
      <w:r>
        <w:rPr>
          <w:rFonts w:ascii="Times New Roman" w:cs="Times New Roman" w:eastAsia="Times New Roman" w:hAnsi="Times New Roman"/>
          <w:sz w:val="22"/>
          <w:szCs w:val="22"/>
          <w:color w:val="auto"/>
        </w:rPr>
        <w:t>Nothing herein shall limit Flow’s right to aggregate and anonymize any data or information, relating to transaction-specific data or the use of the Flow Offering, to monitor, improve, or expand the Flow Offering or Flow’s commercial offerings, provided that no Merchant or data subject is identifiable.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0" w:gutter="0" w:footer="0" w:header="0"/>
        </w:sectPr>
      </w:pPr>
    </w:p>
    <w:bookmarkStart w:id="210" w:name="page211"/>
    <w:bookmarkEnd w:id="210"/>
    <w:p>
      <w:pPr>
        <w:ind w:left="3" w:right="160"/>
        <w:spacing w:after="0" w:line="265" w:lineRule="auto"/>
        <w:rPr>
          <w:sz w:val="20"/>
          <w:szCs w:val="20"/>
          <w:color w:val="auto"/>
        </w:rPr>
      </w:pPr>
      <w:r>
        <w:rPr>
          <w:rFonts w:ascii="Times New Roman" w:cs="Times New Roman" w:eastAsia="Times New Roman" w:hAnsi="Times New Roman"/>
          <w:sz w:val="22"/>
          <w:szCs w:val="22"/>
          <w:color w:val="auto"/>
        </w:rPr>
        <w:t>If the Parties agree that the definitions of Data Controller and Data Processor should be updated from time to time based on changes in the Applicable Data Protection Legislation the Parties agree that they shall work together expeditiously and in good faith to ensure that each Party remains in compliance of the Applicable Data Protection Legislation, including but not limited to, amendments to this Agreement.</w:t>
      </w:r>
    </w:p>
    <w:p>
      <w:pPr>
        <w:spacing w:after="0" w:line="233" w:lineRule="exact"/>
        <w:rPr>
          <w:sz w:val="20"/>
          <w:szCs w:val="20"/>
          <w:color w:val="auto"/>
        </w:rPr>
      </w:pPr>
    </w:p>
    <w:p>
      <w:pPr>
        <w:ind w:left="803" w:hanging="803"/>
        <w:spacing w:after="0"/>
        <w:tabs>
          <w:tab w:leader="none" w:pos="80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Expenses and Pay Outs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40" w:firstLine="518"/>
        <w:spacing w:after="0" w:line="265" w:lineRule="auto"/>
        <w:rPr>
          <w:sz w:val="20"/>
          <w:szCs w:val="20"/>
          <w:color w:val="auto"/>
        </w:rPr>
      </w:pPr>
      <w:r>
        <w:rPr>
          <w:rFonts w:ascii="Times New Roman" w:cs="Times New Roman" w:eastAsia="Times New Roman" w:hAnsi="Times New Roman"/>
          <w:sz w:val="22"/>
          <w:szCs w:val="22"/>
          <w:color w:val="auto"/>
        </w:rPr>
        <w:t>11.1 In consideration for Flow providing the Flow Offerings to Shopify in Section 2, Shopify shall pay the fees set out in Flow’s then current fee schedule other than for any Fees related to MoR Customer Orders, attached as Exhibit B-2; all amounts are calculated on Total Order Volume. In connection with fees payable by Shopify under this Section 11.1, Flow will issue to Shopify a statement detailing the amount of fees due and payable to Flow. [***].</w:t>
      </w:r>
    </w:p>
    <w:p>
      <w:pPr>
        <w:spacing w:after="0" w:line="233" w:lineRule="exact"/>
        <w:rPr>
          <w:sz w:val="20"/>
          <w:szCs w:val="20"/>
          <w:color w:val="auto"/>
        </w:rPr>
      </w:pPr>
    </w:p>
    <w:p>
      <w:pPr>
        <w:ind w:left="3" w:firstLine="518"/>
        <w:spacing w:after="0" w:line="258" w:lineRule="auto"/>
        <w:rPr>
          <w:sz w:val="20"/>
          <w:szCs w:val="20"/>
          <w:color w:val="auto"/>
        </w:rPr>
      </w:pPr>
      <w:r>
        <w:rPr>
          <w:rFonts w:ascii="Times New Roman" w:cs="Times New Roman" w:eastAsia="Times New Roman" w:hAnsi="Times New Roman"/>
          <w:sz w:val="22"/>
          <w:szCs w:val="22"/>
          <w:color w:val="auto"/>
        </w:rPr>
        <w:t>11.2 In consideration for providing the Shopify Partner Offering for the Flow merchant of record services, Flow shall pay Shopify the fee set forth on Exhibit B-1 (the “Shopify Partner Fee”) as set forth in this Section 11.2. The Shopify Partner Fee is payable no later than [***] business days [***] and Flow shall transfer, in U.S. dollars via wire transfer or ACH, to Shopify’s U.S. bank account (the “Shopify Account”) the aggregate amount of Shopify Partner Fees due for such [***]. Flow shall provide the calculation to Shopify pursuant to the statement described below of the Shopify Partner Fee. Flow may deduct from the Shopify Partner Fees any fees or other amounts owed by Shopify to Flow under the Agreement. In the event there are insufficient funds in the Shopify Account to net out amounts owed to Flow by Shopify, Flow shall issue one monthly invoice to Shopify for such amounts and, following receipt, Shopify shall pay such amounts to Flow within [***] days. Flow shall provide Shopify with a statement relating to each payment, detailing the amount of the Shopify Partner Fees due to Shopify for the applicable [***], and deductions made from such payment of Shopify Partner Fees, if any as to be mutually agreed by Parties, in sufficient detail to permit Shopify to validate the amount of such payment. Additionally, such statement will include the following details: (i) Shopify Partner Fee breakdown for each applicable geography; (ii) gross and net volume; (iii) [***] rate being charged; (iv) aggregate [***] being charged; (v) pricing tier applicable by fee type; (vi) aggregate [***] by fee type; and (vii) any additional details reasonably requested by Shopify. Flow shall use best efforts to provide Shopify with this statement no later than [***] business days following the end of each [***], but in an event, no later than [***].</w:t>
      </w:r>
    </w:p>
    <w:p>
      <w:pPr>
        <w:spacing w:after="0" w:line="239" w:lineRule="exact"/>
        <w:rPr>
          <w:sz w:val="20"/>
          <w:szCs w:val="20"/>
          <w:color w:val="auto"/>
        </w:rPr>
      </w:pPr>
    </w:p>
    <w:p>
      <w:pPr>
        <w:ind w:left="3" w:right="80" w:firstLine="518"/>
        <w:spacing w:after="0" w:line="260" w:lineRule="auto"/>
        <w:rPr>
          <w:sz w:val="20"/>
          <w:szCs w:val="20"/>
          <w:color w:val="auto"/>
        </w:rPr>
      </w:pPr>
      <w:r>
        <w:rPr>
          <w:rFonts w:ascii="Times New Roman" w:cs="Times New Roman" w:eastAsia="Times New Roman" w:hAnsi="Times New Roman"/>
          <w:sz w:val="22"/>
          <w:szCs w:val="22"/>
          <w:color w:val="auto"/>
        </w:rPr>
        <w:t>11.3 Shopify shall be responsible for all sales, use and excise taxes, and any other similar taxes, duties and charges of any kind imposed by any federal, state or local governmental entity on any amounts payable by Shopify hereunder. In no event shall Shopify pay or be responsible for any taxes and duties imposed on transactions with the Merchant’s customer, or regarding Flow’s income, revenues, gross receipts, personnel or real or personal property or other assets or in relation to transactions conducted between either Merchant and Flow, or Flow and the Merchant’s customer for MoR Customer Orders, it being understood that these specific taxes and duties, as applicable, shall be the sole responsibility for account and risk of Flow.</w:t>
      </w:r>
    </w:p>
    <w:p>
      <w:pPr>
        <w:spacing w:after="0" w:line="242" w:lineRule="exact"/>
        <w:rPr>
          <w:sz w:val="20"/>
          <w:szCs w:val="20"/>
          <w:color w:val="auto"/>
        </w:rPr>
      </w:pPr>
    </w:p>
    <w:p>
      <w:pPr>
        <w:ind w:left="3" w:right="60" w:firstLine="518"/>
        <w:spacing w:after="0" w:line="269" w:lineRule="auto"/>
        <w:rPr>
          <w:sz w:val="20"/>
          <w:szCs w:val="20"/>
          <w:color w:val="auto"/>
        </w:rPr>
      </w:pPr>
      <w:r>
        <w:rPr>
          <w:rFonts w:ascii="Times New Roman" w:cs="Times New Roman" w:eastAsia="Times New Roman" w:hAnsi="Times New Roman"/>
          <w:sz w:val="21"/>
          <w:szCs w:val="21"/>
          <w:color w:val="auto"/>
        </w:rPr>
        <w:t>11.4 Flow shall settle amounts due to the Merchant for the goods Flow purchased pursuant to the MoR Customer Orders (the “Merchant Payout”) in the applicable Settlement Currency [***] and Flow shall look to the Merchant for the [***], subject to the Flow Merchant T&amp;Cs. Flow’s remittances to the Merchant shall be net of Permitted Deductions. If a Permitted Deduction applies to a particular MoR Customer Order, then the Permitted Deduction shall be withheld from the amounts paid to the Merchant. If the Permitted Deduction does not relate to any particular MoR Customer Order, such Permitted Deduction shall be withheld from remittances to Shopify. “Permitted Deductions” include any actual and reasonable costs Flow or its Designated Affiliates incur as a result of Merchant’s instructions or approvals, including but not limited to those related to (i) the fees associated with payments set forth on Exhibit B-2; (ii) Fully Landed Cost and any shortfalls between the Fully Landed Cost and the amounts charged by Flow, (iii) non-Covered Chargebacks; (iv) credits (including tax), including relating to returns, refunds, and currency adjustments if outside of the currency rate lock period,</w:t>
      </w:r>
    </w:p>
    <w:p>
      <w:pPr>
        <w:spacing w:after="0" w:line="6" w:lineRule="exact"/>
        <w:rPr>
          <w:sz w:val="20"/>
          <w:szCs w:val="20"/>
          <w:color w:val="auto"/>
        </w:rPr>
      </w:pPr>
    </w:p>
    <w:p>
      <w:pPr>
        <w:ind w:left="3" w:right="40" w:hanging="3"/>
        <w:spacing w:after="0" w:line="258" w:lineRule="auto"/>
        <w:tabs>
          <w:tab w:leader="none" w:pos="30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re-shipments or processing undeliverables to a customer, (vi) actual costs incurred as a result of Merchant electing to override any value that modifies shipping prices, (vii) foreign exchange variances arising due shipment of Products (and capture) after the rate lock period expires, (viii) deposits, and (ix) any other costs, fees and expenses included in this Agreement or in the Flow Merchant T&amp;Cs. Flow will work with Shopify to make the payout information and Permitted Deductions available to Merchants within the Shopify console. For purposes of prices to customers and Merchant Payouts to Merchants, currencies will be converted at currency conversion rates at the percentage set forth in Exhibit B-2 [***]. Other currencies will be converted at [***]. Flow may also be permitted to withhold amounts to create a security deposit, as is often required by payment processors.</w:t>
      </w:r>
    </w:p>
    <w:p>
      <w:pPr>
        <w:spacing w:after="0" w:line="200" w:lineRule="exact"/>
        <w:rPr>
          <w:sz w:val="20"/>
          <w:szCs w:val="20"/>
          <w:color w:val="auto"/>
        </w:rPr>
      </w:pPr>
    </w:p>
    <w:p>
      <w:pPr>
        <w:spacing w:after="0" w:line="204"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3"/>
          </w:cols>
          <w:pgMar w:left="717" w:top="396" w:right="359" w:bottom="343" w:gutter="0" w:footer="0" w:header="0"/>
        </w:sectPr>
      </w:pPr>
    </w:p>
    <w:bookmarkStart w:id="211" w:name="page212"/>
    <w:bookmarkEnd w:id="211"/>
    <w:p>
      <w:pPr>
        <w:ind w:left="3" w:right="140" w:firstLine="518"/>
        <w:spacing w:after="0" w:line="265" w:lineRule="auto"/>
        <w:rPr>
          <w:sz w:val="20"/>
          <w:szCs w:val="20"/>
          <w:color w:val="auto"/>
        </w:rPr>
      </w:pPr>
      <w:r>
        <w:rPr>
          <w:rFonts w:ascii="Times New Roman" w:cs="Times New Roman" w:eastAsia="Times New Roman" w:hAnsi="Times New Roman"/>
          <w:sz w:val="22"/>
          <w:szCs w:val="22"/>
          <w:color w:val="auto"/>
        </w:rPr>
        <w:t>11.5 All statements issued to Shopify hereunder shall include all information prescribed by Applicable Laws for each of Flow and Shopify together with all other information required to permit the Party required to pay taxes, if any, in respect of supplies of goods and services hereunder to claim input tax credits, refunds, rebates, remission or other recovery, as permitted under Applicable Laws.</w:t>
      </w:r>
    </w:p>
    <w:p>
      <w:pPr>
        <w:spacing w:after="0" w:line="233" w:lineRule="exact"/>
        <w:rPr>
          <w:sz w:val="20"/>
          <w:szCs w:val="20"/>
          <w:color w:val="auto"/>
        </w:rPr>
      </w:pPr>
    </w:p>
    <w:p>
      <w:pPr>
        <w:ind w:left="3" w:firstLine="518"/>
        <w:spacing w:after="0" w:line="258" w:lineRule="auto"/>
        <w:rPr>
          <w:sz w:val="20"/>
          <w:szCs w:val="20"/>
          <w:color w:val="auto"/>
        </w:rPr>
      </w:pPr>
      <w:r>
        <w:rPr>
          <w:rFonts w:ascii="Times New Roman" w:cs="Times New Roman" w:eastAsia="Times New Roman" w:hAnsi="Times New Roman"/>
          <w:sz w:val="22"/>
          <w:szCs w:val="22"/>
          <w:color w:val="auto"/>
        </w:rPr>
        <w:t>11.6 All amounts paid to a Party hereunder shall be invoiced and paid in US Dollars. Each Party shall have the right to withhold amounts, at the withholding rate specified by Applicable Laws, from any amounts payable to the other Party pursuant to this Agreement, and any such amounts paid by the remitting Party to an authorized authority pursuant to such Applicable Laws shall, to the extent of such payment, be credited against and deducted from amounts otherwise owing to the other Party hereunder. It is anticipated that all Flow Offerings and any services related thereto are performed in the United States and in the event of any Flow Offerings or services are provided to Shopify in Canada, Flow shall note on each applicable invoice which portion of the supplies covered by such invoice was performed inside of Canada for the purposes of Canadian income tax legislation or such other information requested or required by Shopify to properly assess withholding requirements. At the request of Flow, Shopify shall deliver to Flow properly documented evidence of all amounts so withheld which were paid to the proper authorized authority for the account of Flow on an annual basis as required by applicable legislation.</w:t>
      </w:r>
    </w:p>
    <w:p>
      <w:pPr>
        <w:spacing w:after="0" w:line="249" w:lineRule="exact"/>
        <w:rPr>
          <w:sz w:val="20"/>
          <w:szCs w:val="20"/>
          <w:color w:val="auto"/>
        </w:rPr>
      </w:pPr>
    </w:p>
    <w:p>
      <w:pPr>
        <w:ind w:left="3" w:firstLine="518"/>
        <w:spacing w:after="0" w:line="281" w:lineRule="auto"/>
        <w:rPr>
          <w:sz w:val="20"/>
          <w:szCs w:val="20"/>
          <w:color w:val="auto"/>
        </w:rPr>
      </w:pPr>
      <w:r>
        <w:rPr>
          <w:rFonts w:ascii="Times New Roman" w:cs="Times New Roman" w:eastAsia="Times New Roman" w:hAnsi="Times New Roman"/>
          <w:sz w:val="21"/>
          <w:szCs w:val="21"/>
          <w:color w:val="auto"/>
        </w:rPr>
        <w:t>11.7 In the event that a governing authority inquires on the payout structure in this Section 11 may require any license(s) by Flow, the parties shall promptly review in good faith to revise the payout structure if and to the extent necessary such that no license shall be required and any portion of the payout that are the cause of concern shall temporarily be halted until such time as the matter can be resolved to the reasonable satisfaction of the Parties and such governing authority.</w:t>
      </w:r>
    </w:p>
    <w:p>
      <w:pPr>
        <w:spacing w:after="0" w:line="219" w:lineRule="exact"/>
        <w:rPr>
          <w:sz w:val="20"/>
          <w:szCs w:val="20"/>
          <w:color w:val="auto"/>
        </w:rPr>
      </w:pPr>
    </w:p>
    <w:p>
      <w:pPr>
        <w:ind w:left="3" w:right="380" w:firstLine="518"/>
        <w:spacing w:after="0" w:line="284" w:lineRule="auto"/>
        <w:rPr>
          <w:sz w:val="20"/>
          <w:szCs w:val="20"/>
          <w:color w:val="auto"/>
        </w:rPr>
      </w:pPr>
      <w:r>
        <w:rPr>
          <w:rFonts w:ascii="Times New Roman" w:cs="Times New Roman" w:eastAsia="Times New Roman" w:hAnsi="Times New Roman"/>
          <w:sz w:val="22"/>
          <w:szCs w:val="22"/>
          <w:color w:val="auto"/>
        </w:rPr>
        <w:t>11.8 For purposes of clarification and not of limitation, Sections 3.2.3 and 3.2.4 of the Shopify Partner Terms shall not apply.</w:t>
      </w:r>
    </w:p>
    <w:p>
      <w:pPr>
        <w:spacing w:after="0" w:line="211" w:lineRule="exact"/>
        <w:rPr>
          <w:sz w:val="20"/>
          <w:szCs w:val="20"/>
          <w:color w:val="auto"/>
        </w:rPr>
      </w:pPr>
    </w:p>
    <w:p>
      <w:pPr>
        <w:ind w:left="3" w:right="160" w:firstLine="518"/>
        <w:spacing w:after="0" w:line="284" w:lineRule="auto"/>
        <w:rPr>
          <w:sz w:val="20"/>
          <w:szCs w:val="20"/>
          <w:color w:val="auto"/>
        </w:rPr>
      </w:pPr>
      <w:r>
        <w:rPr>
          <w:rFonts w:ascii="Times New Roman" w:cs="Times New Roman" w:eastAsia="Times New Roman" w:hAnsi="Times New Roman"/>
          <w:sz w:val="22"/>
          <w:szCs w:val="22"/>
          <w:color w:val="auto"/>
        </w:rPr>
        <w:t>11.9 At the time of execution of this Agreement, the Parties shall enter into certain warrant agreements whereby Global-e will issue warrants to purchase common stock to Shopify or certain of its affiliates.</w:t>
      </w:r>
    </w:p>
    <w:p>
      <w:pPr>
        <w:spacing w:after="0" w:line="211" w:lineRule="exact"/>
        <w:rPr>
          <w:sz w:val="20"/>
          <w:szCs w:val="20"/>
          <w:color w:val="auto"/>
        </w:rPr>
      </w:pPr>
    </w:p>
    <w:p>
      <w:pPr>
        <w:ind w:left="803" w:hanging="803"/>
        <w:spacing w:after="0"/>
        <w:tabs>
          <w:tab w:leader="none" w:pos="80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w:t>
      </w:r>
    </w:p>
    <w:p>
      <w:pPr>
        <w:spacing w:after="0" w:line="287" w:lineRule="exact"/>
        <w:rPr>
          <w:sz w:val="20"/>
          <w:szCs w:val="20"/>
          <w:color w:val="auto"/>
        </w:rPr>
      </w:pPr>
    </w:p>
    <w:p>
      <w:pPr>
        <w:ind w:left="3" w:right="200" w:firstLine="518"/>
        <w:spacing w:after="0" w:line="270" w:lineRule="auto"/>
        <w:rPr>
          <w:sz w:val="20"/>
          <w:szCs w:val="20"/>
          <w:color w:val="auto"/>
        </w:rPr>
      </w:pPr>
      <w:r>
        <w:rPr>
          <w:rFonts w:ascii="Times New Roman" w:cs="Times New Roman" w:eastAsia="Times New Roman" w:hAnsi="Times New Roman"/>
          <w:sz w:val="22"/>
          <w:szCs w:val="22"/>
          <w:color w:val="auto"/>
        </w:rPr>
        <w:t>12.1 Each Party shall maintain consistently applied, accurate and complete books, records and other documents (including electronic files) to document compliance with this Agreement. Each Party and its Affiliates shall maintain the applicable books, records and other documents in conformance with generally accepted accounting principles.</w:t>
      </w:r>
    </w:p>
    <w:p>
      <w:pPr>
        <w:spacing w:after="0" w:line="226" w:lineRule="exact"/>
        <w:rPr>
          <w:sz w:val="20"/>
          <w:szCs w:val="20"/>
          <w:color w:val="auto"/>
        </w:rPr>
      </w:pPr>
    </w:p>
    <w:p>
      <w:pPr>
        <w:ind w:left="3" w:firstLine="518"/>
        <w:spacing w:after="0" w:line="262" w:lineRule="auto"/>
        <w:rPr>
          <w:sz w:val="20"/>
          <w:szCs w:val="20"/>
          <w:color w:val="auto"/>
        </w:rPr>
      </w:pPr>
      <w:r>
        <w:rPr>
          <w:rFonts w:ascii="Times New Roman" w:cs="Times New Roman" w:eastAsia="Times New Roman" w:hAnsi="Times New Roman"/>
          <w:sz w:val="22"/>
          <w:szCs w:val="22"/>
          <w:color w:val="auto"/>
        </w:rPr>
        <w:t>12.2 [***] will have the right at any time, but not more frequently than once in any [***] month period, upon thirty [***] days’ prior written notice to appoint an independent auditor under appropriate non-disclosure conditions, to audit</w:t>
      </w:r>
    </w:p>
    <w:p>
      <w:pPr>
        <w:ind w:left="3" w:right="100" w:hanging="3"/>
        <w:spacing w:after="0" w:line="264" w:lineRule="auto"/>
        <w:tabs>
          <w:tab w:leader="none" w:pos="52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books, records and other relevant documents (including electronic files) reasonably required to validate [***] compliance with this Agreement. Such audit shall last no longer than [***] business days, shall be conducted during normal business hours and shall not disrupt [***] business operations.</w:t>
      </w:r>
    </w:p>
    <w:p>
      <w:pPr>
        <w:spacing w:after="0" w:line="233" w:lineRule="exact"/>
        <w:rPr>
          <w:sz w:val="20"/>
          <w:szCs w:val="20"/>
          <w:color w:val="auto"/>
        </w:rPr>
      </w:pPr>
    </w:p>
    <w:p>
      <w:pPr>
        <w:ind w:left="3" w:right="340" w:firstLine="518"/>
        <w:spacing w:after="0" w:line="265" w:lineRule="auto"/>
        <w:rPr>
          <w:sz w:val="20"/>
          <w:szCs w:val="20"/>
          <w:color w:val="auto"/>
        </w:rPr>
      </w:pPr>
      <w:r>
        <w:rPr>
          <w:rFonts w:ascii="Times New Roman" w:cs="Times New Roman" w:eastAsia="Times New Roman" w:hAnsi="Times New Roman"/>
          <w:sz w:val="22"/>
          <w:szCs w:val="22"/>
          <w:color w:val="auto"/>
        </w:rPr>
        <w:t>12.3 [***] will be required to provide any information, access, records or books that could compromise its confidentiality or other undertakings towards third parties which are not relevant for the performance of the audit. The independent auditor shall only provide the final report to the [***] audit, which shall not include any excerpts from [***] books and records or other Confidential Information not already in the possession of the [***].</w:t>
      </w:r>
    </w:p>
    <w:p>
      <w:pPr>
        <w:spacing w:after="0" w:line="395"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3"/>
          </w:cols>
          <w:pgMar w:left="717" w:top="396" w:right="359" w:bottom="1440" w:gutter="0" w:footer="0" w:header="0"/>
        </w:sectPr>
      </w:pPr>
    </w:p>
    <w:bookmarkStart w:id="212" w:name="page213"/>
    <w:bookmarkEnd w:id="212"/>
    <w:p>
      <w:pPr>
        <w:ind w:left="900"/>
        <w:spacing w:after="0"/>
        <w:tabs>
          <w:tab w:leader="none" w:pos="180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If any such audit reveals financial non-compliance:</w:t>
      </w:r>
    </w:p>
    <w:p>
      <w:pPr>
        <w:spacing w:after="0" w:line="287" w:lineRule="exact"/>
        <w:rPr>
          <w:sz w:val="20"/>
          <w:szCs w:val="20"/>
          <w:color w:val="auto"/>
        </w:rPr>
      </w:pPr>
    </w:p>
    <w:p>
      <w:pPr>
        <w:ind w:left="900" w:right="440" w:firstLine="643"/>
        <w:spacing w:after="0" w:line="284" w:lineRule="auto"/>
        <w:tabs>
          <w:tab w:leader="none" w:pos="232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adjustment will be made by [***] to compensate for any overpayments or underpayments disclosed by any such audit; and</w:t>
      </w:r>
    </w:p>
    <w:p>
      <w:pPr>
        <w:spacing w:after="0" w:line="211" w:lineRule="exact"/>
        <w:rPr>
          <w:rFonts w:ascii="Times New Roman" w:cs="Times New Roman" w:eastAsia="Times New Roman" w:hAnsi="Times New Roman"/>
          <w:sz w:val="22"/>
          <w:szCs w:val="22"/>
          <w:color w:val="auto"/>
        </w:rPr>
      </w:pPr>
    </w:p>
    <w:p>
      <w:pPr>
        <w:ind w:left="900" w:right="20" w:firstLine="643"/>
        <w:spacing w:after="0" w:line="281" w:lineRule="auto"/>
        <w:tabs>
          <w:tab w:leader="none" w:pos="23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expense incurred as part of such examination will be paid by [***] unless such examination reveals an underpayment of the amounts due during the audit period that exceeds [***] percent of the amount actually due during such period, in which case [***] will reimburse the [***] for the reasonable out-of-pocket costs of the audit (not to exceed at [***] and will pay the underpayment amount due within [***] days of the conclusion of the audit.</w:t>
      </w:r>
    </w:p>
    <w:p>
      <w:pPr>
        <w:spacing w:after="0" w:line="219" w:lineRule="exact"/>
        <w:rPr>
          <w:sz w:val="20"/>
          <w:szCs w:val="20"/>
          <w:color w:val="auto"/>
        </w:rPr>
      </w:pPr>
    </w:p>
    <w:p>
      <w:pPr>
        <w:ind w:left="380" w:right="400" w:firstLine="518"/>
        <w:spacing w:after="0" w:line="284" w:lineRule="auto"/>
        <w:rPr>
          <w:sz w:val="20"/>
          <w:szCs w:val="20"/>
          <w:color w:val="auto"/>
        </w:rPr>
      </w:pPr>
      <w:r>
        <w:rPr>
          <w:rFonts w:ascii="Times New Roman" w:cs="Times New Roman" w:eastAsia="Times New Roman" w:hAnsi="Times New Roman"/>
          <w:sz w:val="22"/>
          <w:szCs w:val="22"/>
          <w:color w:val="auto"/>
        </w:rPr>
        <w:t>12.5 If any such audit reveals any technical or other discrepancies or non-compliance, [***] will be provided with [***] days’ notice to remedy such non-compliance, failing which [***] may terminate this Agreement.</w:t>
      </w:r>
    </w:p>
    <w:p>
      <w:pPr>
        <w:spacing w:after="0" w:line="211" w:lineRule="exact"/>
        <w:rPr>
          <w:sz w:val="20"/>
          <w:szCs w:val="20"/>
          <w:color w:val="auto"/>
        </w:rPr>
      </w:pPr>
    </w:p>
    <w:p>
      <w:pPr>
        <w:ind w:left="-20" w:firstLine="397"/>
        <w:spacing w:after="0" w:line="257" w:lineRule="auto"/>
        <w:tabs>
          <w:tab w:leader="none" w:pos="117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Each Party represents and warrants: (a) entering into and carrying out of the terms and conditions of this Agreement will not violate or constitute a breach of any obligation binding it, (b) it is duly organized, validly existing and in good standing under the laws of the state of jurisdiction of its formation and has full corporate power and authority to carry on its business as currently conducted, (c) when executed and delivered by it, this Agreement will constitute the legal, valid and binding obligation of it,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 (d) to its knowledge, any Materials and the Intellectual Property Rights to such Materials it may provide to the other Party do not violate the Intellectual Property Rights of any third party, and (e) it will not knowingly provide to the other Party any software, code or other such information that contain code or programming routines that contain destructive properties or that are intended to damage any system or data of the other Party. Shopify further represents and warrants that Shopify Inc. it is registered for purposes of goods and services tax/harmonized sales tax (“GST/HST”) under subdivision d of Division V of Part IX of the </w:t>
      </w:r>
      <w:r>
        <w:rPr>
          <w:rFonts w:ascii="Times New Roman" w:cs="Times New Roman" w:eastAsia="Times New Roman" w:hAnsi="Times New Roman"/>
          <w:sz w:val="22"/>
          <w:szCs w:val="22"/>
          <w:i w:val="1"/>
          <w:iCs w:val="1"/>
          <w:color w:val="auto"/>
        </w:rPr>
        <w:t>Excise Tax Act</w:t>
      </w:r>
      <w:r>
        <w:rPr>
          <w:rFonts w:ascii="Times New Roman" w:cs="Times New Roman" w:eastAsia="Times New Roman" w:hAnsi="Times New Roman"/>
          <w:sz w:val="22"/>
          <w:szCs w:val="22"/>
          <w:color w:val="auto"/>
        </w:rPr>
        <w:t xml:space="preserve"> (Canada) and its registration number is 847871746 RT0001 and (y) further it shall maintain its GST/HST registration throughout the Term. EXCEPT AS EXPRESSLY STATED OTHERWISE IN THE AGREEMENT, NEITHER PARTY MAKES ANY OTHER REPRESENTATIONS OR WARRANTIES, ORAL OR WRITTEN, EXPRESS OR IMPLIED, ARISING FROM COURSE OF DEALING, COURSE OF PERFORMANCE, USAGE OF TRADE, OR OTHERWISE, INCLUDING IMPLIED WARRANTIES OF MERCHANTABILITY, FITNESS FOR A PARTICULAR PURPOSE, TITLE, NON-INTERFERENCE, OR NON-INFRINGEMENT.</w:t>
      </w:r>
    </w:p>
    <w:p>
      <w:pPr>
        <w:spacing w:after="0" w:line="253" w:lineRule="exact"/>
        <w:rPr>
          <w:rFonts w:ascii="Times New Roman" w:cs="Times New Roman" w:eastAsia="Times New Roman" w:hAnsi="Times New Roman"/>
          <w:sz w:val="22"/>
          <w:szCs w:val="22"/>
          <w:color w:val="auto"/>
        </w:rPr>
      </w:pPr>
    </w:p>
    <w:p>
      <w:pPr>
        <w:ind w:left="1180" w:hanging="803"/>
        <w:spacing w:after="0"/>
        <w:tabs>
          <w:tab w:leader="none" w:pos="11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Indemnities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80" w:firstLine="518"/>
        <w:spacing w:after="0" w:line="269" w:lineRule="auto"/>
        <w:rPr>
          <w:sz w:val="20"/>
          <w:szCs w:val="20"/>
          <w:color w:val="auto"/>
        </w:rPr>
      </w:pPr>
      <w:r>
        <w:rPr>
          <w:rFonts w:ascii="Times New Roman" w:cs="Times New Roman" w:eastAsia="Times New Roman" w:hAnsi="Times New Roman"/>
          <w:sz w:val="21"/>
          <w:szCs w:val="21"/>
          <w:color w:val="auto"/>
        </w:rPr>
        <w:t>14.1 Each of Global-e and Flow agrees to defend, indemnify and hold harmless Shopify and its Affiliates, and the officers, directors, representatives, agents shareholders and employees of Shopify and its Affiliates (each, a “Shopify Indemnified Party”) against any third party claims, suits, damages, liabilities, demands, losses, costs and expenses (the “Losses”) of the Shopify Indemnified Party (including reasonable legal fees) to the extent the Losses arise out of, are in connection with, or related to (a) Flow or Global-e’s breach of this Agreement; (b) Flow Global-e’s gross negligence, fraud, or willful misconduct in carrying out the terms of this Agreement; (c) a claim that the Flow Offerings infringes or misappropriates any third party’s intellectual property rights; (d) any Merchant’s use of the Flow Offerings, including any claim made by customs or tax authorities; (e) Flow’s or its Affiliates’ violation of Applicable Laws; (f) liability for chargebacks (except for chargebacks resulting from Merchants for which Shopify provides a guarantee pursuant to Section 9.4), unpaid interchange fees, penalties, fines, or other liability arising pursuant to applicable payment network rules; or</w:t>
      </w:r>
    </w:p>
    <w:p>
      <w:pPr>
        <w:spacing w:after="0" w:line="6" w:lineRule="exact"/>
        <w:rPr>
          <w:sz w:val="20"/>
          <w:szCs w:val="20"/>
          <w:color w:val="auto"/>
        </w:rPr>
      </w:pPr>
    </w:p>
    <w:p>
      <w:pPr>
        <w:ind w:left="380" w:right="60" w:hanging="3"/>
        <w:spacing w:after="0" w:line="259" w:lineRule="auto"/>
        <w:tabs>
          <w:tab w:leader="none" w:pos="68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Event which occurs on any Flow information system (collectively, the “Flow Covered Claims”); provided that Global-e and Flow’s indemnification obligations under this Section 14.1 do not apply to the extent such Losses arise out of or result from (A) Shopify’s breach of this Agreement, (B) the gross negligence, fraud or willful misconduct of a Shopify Indemnified Party, (C) any violation of Applicable Laws by a Shopify Indemnified Party, and (D) the actions or inactions of a Merchant or a violation of the Flow Merchant T&amp;Cs by such Merchant other than failure of such Merchant to remit payments to Flow (including for recoverable chargebacks).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96" w:right="359" w:bottom="1440" w:gutter="0" w:footer="0" w:header="0"/>
        </w:sectPr>
      </w:pPr>
    </w:p>
    <w:bookmarkStart w:id="213" w:name="page214"/>
    <w:bookmarkEnd w:id="213"/>
    <w:p>
      <w:pPr>
        <w:ind w:left="3" w:right="40" w:firstLine="518"/>
        <w:spacing w:after="0" w:line="273" w:lineRule="auto"/>
        <w:rPr>
          <w:sz w:val="20"/>
          <w:szCs w:val="20"/>
          <w:color w:val="auto"/>
        </w:rPr>
      </w:pPr>
      <w:r>
        <w:rPr>
          <w:rFonts w:ascii="Times New Roman" w:cs="Times New Roman" w:eastAsia="Times New Roman" w:hAnsi="Times New Roman"/>
          <w:sz w:val="21"/>
          <w:szCs w:val="21"/>
          <w:color w:val="auto"/>
        </w:rPr>
        <w:t>14.2 Shopify agrees to defend, indemnify and hold harmless Flow and its Affiliates (including Global-e), and the officers, directors, representatives, agents shareholders and employees of Flow and its Affiliates (each, a “Flow Indemnified Party”) against any third party Losses of the Flow Indemnified Party (including reasonable legal fees) to the extent the Losses arise out of, are in connection with, or related to (a) Shopify’s breach of this Agreement; (b) Shopify’s gross negligence, fraud, or willful misconduct in carrying out the terms of this Agreement; and (c) any Security Event which occurs on any Shopify’s information system (collectively, the “Shopify Covered Claims” and together with Flow Covered Claims, the “Claims”); provided that Shopify’s indemnification obligations under this Section 14.2 do not apply to the extent such Losses arise out of or result from (A) Global-e or Flow’s breach of this Agreement, (B) the gross negligence, fraud or willful misconduct of a Flow Indemnified Party and (c) any violation of Applicable Laws by a Flow Indemnified Party.</w:t>
      </w:r>
    </w:p>
    <w:p>
      <w:pPr>
        <w:spacing w:after="0" w:line="228" w:lineRule="exact"/>
        <w:rPr>
          <w:sz w:val="20"/>
          <w:szCs w:val="20"/>
          <w:color w:val="auto"/>
        </w:rPr>
      </w:pPr>
    </w:p>
    <w:p>
      <w:pPr>
        <w:ind w:left="3" w:firstLine="518"/>
        <w:spacing w:after="0" w:line="258" w:lineRule="auto"/>
        <w:rPr>
          <w:sz w:val="20"/>
          <w:szCs w:val="20"/>
          <w:color w:val="auto"/>
        </w:rPr>
      </w:pPr>
      <w:r>
        <w:rPr>
          <w:rFonts w:ascii="Times New Roman" w:cs="Times New Roman" w:eastAsia="Times New Roman" w:hAnsi="Times New Roman"/>
          <w:sz w:val="22"/>
          <w:szCs w:val="22"/>
          <w:color w:val="auto"/>
        </w:rPr>
        <w:t>14.3 If any Claim is commenced with respect to which an indemnified party is entitled to indemnification under this Section 14, the applicable indemnified party will promptly provide notice thereof to the indemnifying party; provided, that the failure of any party entitled to indemnification hereunder to give notice as provided herein shall not relieve the indemnifying party of its obligations under this Section 14 except to the extent that the indemnified party’s failure to provide prompt notice actually prejudiced the indemnifying party. The indemnifying party will be entitled, if it so elects in a notice promptly delivered to the indemnified party, to immediately take control of the defense and investigation of the Claim and to engage attorneys reasonably acceptable to the indemnified party to handle and defend the same, at the indemnifying party’s sole cost. The indemnified party will cooperate in all reasonable respects, at the indemnifying party’s sole cost and request, in the investigation, trial and defense of such Claim and any appeal arising therefrom. In no event, however, shall Global-e or Flow consent to the entry of any judgment or enter into any settlement with respect to a Claim without Shopify’s prior written consent. The indemnified party may also, at its own cost, participate through its attorneys or otherwise in such investigation, trial and defense of any Claim and related appeals. If the indemnifying party does not timely assume full control over the defense of a Claim as provided in this Section 14.3, the indemnified party shall have the right to defend the Claim in such manner as it may deem appropriate, at the reasonable cost of the indemnifying party.</w:t>
      </w:r>
    </w:p>
    <w:p>
      <w:pPr>
        <w:spacing w:after="0" w:line="243" w:lineRule="exact"/>
        <w:rPr>
          <w:sz w:val="20"/>
          <w:szCs w:val="20"/>
          <w:color w:val="auto"/>
        </w:rPr>
      </w:pPr>
    </w:p>
    <w:p>
      <w:pPr>
        <w:ind w:left="523"/>
        <w:spacing w:after="0"/>
        <w:tabs>
          <w:tab w:leader="none" w:pos="1423"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For purposes of clarification and not of limitation, Section 8.2 of the Shopify Partner Terms shall not apply.</w:t>
      </w:r>
    </w:p>
    <w:p>
      <w:pPr>
        <w:spacing w:after="0" w:line="287" w:lineRule="exact"/>
        <w:rPr>
          <w:sz w:val="20"/>
          <w:szCs w:val="20"/>
          <w:color w:val="auto"/>
        </w:rPr>
      </w:pPr>
    </w:p>
    <w:p>
      <w:pPr>
        <w:ind w:left="803" w:hanging="803"/>
        <w:spacing w:after="0"/>
        <w:tabs>
          <w:tab w:leader="none" w:pos="80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83" w:lineRule="exact"/>
        <w:rPr>
          <w:sz w:val="20"/>
          <w:szCs w:val="20"/>
          <w:color w:val="auto"/>
        </w:rPr>
      </w:pPr>
    </w:p>
    <w:p>
      <w:pPr>
        <w:ind w:left="3" w:right="60" w:firstLine="518"/>
        <w:spacing w:after="0" w:line="258" w:lineRule="auto"/>
        <w:rPr>
          <w:sz w:val="20"/>
          <w:szCs w:val="20"/>
          <w:color w:val="auto"/>
        </w:rPr>
      </w:pPr>
      <w:r>
        <w:rPr>
          <w:rFonts w:ascii="Times New Roman" w:cs="Times New Roman" w:eastAsia="Times New Roman" w:hAnsi="Times New Roman"/>
          <w:sz w:val="22"/>
          <w:szCs w:val="22"/>
          <w:color w:val="auto"/>
        </w:rPr>
        <w:t>15.1 Each Party and its Affiliates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shall hold the Confidential Information of the other Party and its Affiliates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in confidence and the Receiving Party will disclose such Confidential Information only to its employees, agents and representatives who reasonably require access to such Confidential Information to perform the Receiving Party’s obligations or exercise its rights under this Agreement and who are subject to confidentiality obligations at least as protective of the Disclosing Party’s Confidential Information as those contained in this Agreement. Disclosing Party will be liable for any violation of this Section 15 by unauthorized disclosure of Confidential Information to such third parties. A Receiving Party may use the Confidential Information only as necessary for Receiving Party’s performance under or pursuant to rights granted in this Agreement and for no other purpose. A Receiving Party shall protect the Disclosing Party’s Confidential Information using at least the same degree of care it uses to protect its own Confidential Information of like importance, but no less than a reasonable degree of care, to prevent the unauthorized use, disclosure or duplication (except as required for backup systems or to carry out the purpose of the Agreement) of such Confidential Information. The Receiving Party is liable for its employees’, agents’ and representatives’ compliance with the terms of this Section 15. Upon written request, all copies and excerpts of Confidential Information will be promptly returned to the Disclosing Party or, at the Disclosing Party’s option, securely erased or destroyed, except for any Confidential Information of the Disclosing Party retained in standard archival or computer back-up systems, which will remain subject to these confidentiality provisions.</w:t>
      </w:r>
    </w:p>
    <w:p>
      <w:pPr>
        <w:spacing w:after="0" w:line="200" w:lineRule="exact"/>
        <w:rPr>
          <w:sz w:val="20"/>
          <w:szCs w:val="20"/>
          <w:color w:val="auto"/>
        </w:rPr>
      </w:pPr>
    </w:p>
    <w:p>
      <w:pPr>
        <w:spacing w:after="0" w:line="205"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96" w:right="339" w:bottom="1440" w:gutter="0" w:footer="0" w:header="0"/>
        </w:sectPr>
      </w:pPr>
    </w:p>
    <w:bookmarkStart w:id="214" w:name="page215"/>
    <w:bookmarkEnd w:id="214"/>
    <w:p>
      <w:pPr>
        <w:ind w:left="3" w:right="80" w:firstLine="518"/>
        <w:spacing w:after="0" w:line="258" w:lineRule="auto"/>
        <w:rPr>
          <w:sz w:val="20"/>
          <w:szCs w:val="20"/>
          <w:color w:val="auto"/>
        </w:rPr>
      </w:pPr>
      <w:r>
        <w:rPr>
          <w:rFonts w:ascii="Times New Roman" w:cs="Times New Roman" w:eastAsia="Times New Roman" w:hAnsi="Times New Roman"/>
          <w:sz w:val="22"/>
          <w:szCs w:val="22"/>
          <w:color w:val="auto"/>
        </w:rPr>
        <w:t>15.2 If a court or governmental agency having competent jurisdiction over the Parties requires a Receiving Party to disclose any Confidential Information of the Disclosing Party, then Receiving Party will promptly provide the Disclosing Party, and in any event before disclosure is made, with written notice of such requirement (to the extent permissible under applicable law), to enable the Disclosing Party to seek an appropriate protective order or other appropriate remedy and/or waive the Receiving Party’s compliance with the provision of this Agreement. To the extent legally permitted, the Receiving Party will consult and cooperate with the Disclosing Party to obtain a protective order or other remedy. In the event that the Disclosing Party does not seek such a protective order or other remedy, or such protective order or other remedy is not obtained, or the Disclosing Party grants a waiver hereunder, the Receiving Party may furnish that portion (and only that portion) of the Confidential Information of the Disclosing Party which the Receiving Party is legally compelled to disclose and will exercise such efforts to obtain reasonable assurance that confidential treatment will be accorded any Confidential Information of the Disclosing Party so furnished.</w:t>
      </w:r>
    </w:p>
    <w:p>
      <w:pPr>
        <w:spacing w:after="0" w:line="249" w:lineRule="exact"/>
        <w:rPr>
          <w:sz w:val="20"/>
          <w:szCs w:val="20"/>
          <w:color w:val="auto"/>
        </w:rPr>
      </w:pPr>
    </w:p>
    <w:p>
      <w:pPr>
        <w:ind w:left="3" w:right="1060" w:firstLine="518"/>
        <w:spacing w:after="0" w:line="284" w:lineRule="auto"/>
        <w:rPr>
          <w:sz w:val="20"/>
          <w:szCs w:val="20"/>
          <w:color w:val="auto"/>
        </w:rPr>
      </w:pPr>
      <w:r>
        <w:rPr>
          <w:rFonts w:ascii="Times New Roman" w:cs="Times New Roman" w:eastAsia="Times New Roman" w:hAnsi="Times New Roman"/>
          <w:sz w:val="22"/>
          <w:szCs w:val="22"/>
          <w:color w:val="auto"/>
        </w:rPr>
        <w:t>15.3 A Receiving Party may disclose the Disclosing Party’s Confidential Information with the written authorization of the Disclosing Party.</w:t>
      </w:r>
    </w:p>
    <w:p>
      <w:pPr>
        <w:spacing w:after="0" w:line="211" w:lineRule="exact"/>
        <w:rPr>
          <w:sz w:val="20"/>
          <w:szCs w:val="20"/>
          <w:color w:val="auto"/>
        </w:rPr>
      </w:pPr>
    </w:p>
    <w:p>
      <w:pPr>
        <w:ind w:left="3" w:right="20" w:firstLine="518"/>
        <w:spacing w:after="0" w:line="259" w:lineRule="auto"/>
        <w:rPr>
          <w:sz w:val="20"/>
          <w:szCs w:val="20"/>
          <w:color w:val="auto"/>
        </w:rPr>
      </w:pPr>
      <w:r>
        <w:rPr>
          <w:rFonts w:ascii="Times New Roman" w:cs="Times New Roman" w:eastAsia="Times New Roman" w:hAnsi="Times New Roman"/>
          <w:sz w:val="22"/>
          <w:szCs w:val="22"/>
          <w:color w:val="auto"/>
        </w:rPr>
        <w:t>15.4 The term “Confidential Information” excludes any portion of such information that a Receiving Party can establish by clear and convincing evidence to have been: (i) publicly known without breach of this Agreement; (ii) known by the Receiving Party prior to its receipt from the Disclosing Party; (iii) received in good faith from a third-party source that to Receiving Party’s reasonable knowledge disclosed such information without an obligation of confidentiality; or</w:t>
      </w:r>
    </w:p>
    <w:p>
      <w:pPr>
        <w:ind w:left="3"/>
        <w:spacing w:after="0"/>
        <w:rPr>
          <w:sz w:val="20"/>
          <w:szCs w:val="20"/>
          <w:color w:val="auto"/>
        </w:rPr>
      </w:pPr>
      <w:r>
        <w:rPr>
          <w:rFonts w:ascii="Times New Roman" w:cs="Times New Roman" w:eastAsia="Times New Roman" w:hAnsi="Times New Roman"/>
          <w:sz w:val="21"/>
          <w:szCs w:val="21"/>
          <w:color w:val="auto"/>
        </w:rPr>
        <w:t>(iv) developed independently by Receiving Party without use or reference to the Disclosing Party’s Confidential Information.</w:t>
      </w:r>
    </w:p>
    <w:p>
      <w:pPr>
        <w:spacing w:after="0" w:line="286" w:lineRule="exact"/>
        <w:rPr>
          <w:sz w:val="20"/>
          <w:szCs w:val="20"/>
          <w:color w:val="auto"/>
        </w:rPr>
      </w:pPr>
    </w:p>
    <w:p>
      <w:pPr>
        <w:ind w:left="3" w:right="80" w:firstLine="518"/>
        <w:spacing w:after="0" w:line="260" w:lineRule="auto"/>
        <w:rPr>
          <w:sz w:val="20"/>
          <w:szCs w:val="20"/>
          <w:color w:val="auto"/>
        </w:rPr>
      </w:pPr>
      <w:r>
        <w:rPr>
          <w:rFonts w:ascii="Times New Roman" w:cs="Times New Roman" w:eastAsia="Times New Roman" w:hAnsi="Times New Roman"/>
          <w:sz w:val="22"/>
          <w:szCs w:val="22"/>
          <w:color w:val="auto"/>
        </w:rPr>
        <w:t>15.5 Neither Party shall file the Agreement (including any addendum, schedule, supplement or attachment), or any future amendment or supplement hereto, in the case of Shopify with the Canadian securities regulators, or, in the case of Flow with the U.S. Securities and Exchange Commission unless such filing is required under Applicable Law. In the event that either Party determines that the Agreement (or amendment or supplement) must be filed with the relevant securities regulators under Applicable Law, it shall notify the other Party (if legally permissible) and take all actions necessary to obtain confidential treatment to the extent possible for the Agreement and all exhibits, addenda, schedules, supplements and attachments (including all pricing attachments).</w:t>
      </w:r>
    </w:p>
    <w:p>
      <w:pPr>
        <w:spacing w:after="0" w:line="242" w:lineRule="exact"/>
        <w:rPr>
          <w:sz w:val="20"/>
          <w:szCs w:val="20"/>
          <w:color w:val="auto"/>
        </w:rPr>
      </w:pPr>
    </w:p>
    <w:p>
      <w:pPr>
        <w:ind w:left="3" w:right="80" w:firstLine="518"/>
        <w:spacing w:after="0" w:line="276" w:lineRule="auto"/>
        <w:rPr>
          <w:sz w:val="20"/>
          <w:szCs w:val="20"/>
          <w:color w:val="auto"/>
        </w:rPr>
      </w:pPr>
      <w:r>
        <w:rPr>
          <w:rFonts w:ascii="Times New Roman" w:cs="Times New Roman" w:eastAsia="Times New Roman" w:hAnsi="Times New Roman"/>
          <w:sz w:val="21"/>
          <w:szCs w:val="21"/>
          <w:color w:val="auto"/>
        </w:rPr>
        <w:t>15.6 If the Receiving Party or its employees, representatives or agents breach the obligations set forth in this Section 15, then irreparable harm or injury may result to the Disclosing Party or third parties entrusting Confidential Information to the Disclosing Party. Therefore, the Disclosing Party’s remedies at law may be inadequate and the Disclosing Party will be entitled to seek an injunction to restrain any continuing or threatened breach of this Section 15 and to specifically enforce the terms and provisions of this Section 15. Notwithstanding any limitation on Receiving Party’s liability, the Disclosing Party will further be entitled to any other rights and remedies that it may have at law or in equity.</w:t>
      </w:r>
    </w:p>
    <w:p>
      <w:pPr>
        <w:spacing w:after="0" w:line="224" w:lineRule="exact"/>
        <w:rPr>
          <w:sz w:val="20"/>
          <w:szCs w:val="20"/>
          <w:color w:val="auto"/>
        </w:rPr>
      </w:pPr>
    </w:p>
    <w:p>
      <w:pPr>
        <w:ind w:left="803" w:hanging="803"/>
        <w:spacing w:after="0"/>
        <w:tabs>
          <w:tab w:leader="none" w:pos="80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Termination, and Survival</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523"/>
        <w:spacing w:after="0"/>
        <w:tabs>
          <w:tab w:leader="none" w:pos="1403"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This Agreement shall commence as of the Effective Date and shall continue thereafter for a period of three</w:t>
      </w:r>
    </w:p>
    <w:p>
      <w:pPr>
        <w:spacing w:after="0" w:line="29" w:lineRule="exact"/>
        <w:rPr>
          <w:sz w:val="20"/>
          <w:szCs w:val="20"/>
          <w:color w:val="auto"/>
        </w:rPr>
      </w:pPr>
    </w:p>
    <w:p>
      <w:pPr>
        <w:ind w:left="3" w:right="20" w:hanging="3"/>
        <w:spacing w:after="0" w:line="258" w:lineRule="auto"/>
        <w:tabs>
          <w:tab w:leader="none" w:pos="30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unless sooner terminated pursuant to Sections 16.2 and 16.3 of this Agreement. Subject to Section 16.2 and 16.3 of this Agreement after the Initial Term, this Agreement shall automatically renew for successive 1-year periods (each, a “</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unless a Party provides the other Party with written notice of its election to terminate this Agreement at least 180 days prior to the expiration of the then-current Renewal Term as applicable. The Initial Term together with all Renewal Terms shall be collectively referred to herein as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At least 210 days prior to the commencement of each Renewal Term, Flow shall provide Shopify its rates for an updated Exhibit B-2, and the same shall be effective commencing with the commencement of the Renewal Term.</w:t>
      </w:r>
    </w:p>
    <w:p>
      <w:pPr>
        <w:spacing w:after="0" w:line="200" w:lineRule="exact"/>
        <w:rPr>
          <w:sz w:val="20"/>
          <w:szCs w:val="20"/>
          <w:color w:val="auto"/>
        </w:rPr>
      </w:pPr>
    </w:p>
    <w:p>
      <w:pPr>
        <w:spacing w:after="0" w:line="206"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96" w:right="339" w:bottom="1440" w:gutter="0" w:footer="0" w:header="0"/>
        </w:sectPr>
      </w:pPr>
    </w:p>
    <w:bookmarkStart w:id="215" w:name="page216"/>
    <w:bookmarkEnd w:id="215"/>
    <w:p>
      <w:pPr>
        <w:ind w:left="3" w:right="40" w:firstLine="518"/>
        <w:spacing w:after="0" w:line="287" w:lineRule="auto"/>
        <w:rPr>
          <w:sz w:val="20"/>
          <w:szCs w:val="20"/>
          <w:color w:val="auto"/>
        </w:rPr>
      </w:pPr>
      <w:r>
        <w:rPr>
          <w:rFonts w:ascii="Times New Roman" w:cs="Times New Roman" w:eastAsia="Times New Roman" w:hAnsi="Times New Roman"/>
          <w:sz w:val="22"/>
          <w:szCs w:val="22"/>
          <w:color w:val="auto"/>
        </w:rPr>
        <w:t>16.2 Either Party may terminate this Agreement, effective upon written notice to the other Party (the “</w:t>
      </w:r>
      <w:r>
        <w:rPr>
          <w:rFonts w:ascii="Times New Roman" w:cs="Times New Roman" w:eastAsia="Times New Roman" w:hAnsi="Times New Roman"/>
          <w:sz w:val="22"/>
          <w:szCs w:val="22"/>
          <w:b w:val="1"/>
          <w:bCs w:val="1"/>
          <w:color w:val="auto"/>
        </w:rPr>
        <w:t>Defaulting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if the Defaulting Party:</w:t>
      </w:r>
    </w:p>
    <w:p>
      <w:pPr>
        <w:spacing w:after="0" w:line="209" w:lineRule="exact"/>
        <w:rPr>
          <w:sz w:val="20"/>
          <w:szCs w:val="20"/>
          <w:color w:val="auto"/>
        </w:rPr>
      </w:pPr>
    </w:p>
    <w:p>
      <w:pPr>
        <w:jc w:val="both"/>
        <w:ind w:left="523" w:right="40" w:firstLine="643"/>
        <w:spacing w:after="0" w:line="270" w:lineRule="auto"/>
        <w:tabs>
          <w:tab w:leader="none" w:pos="19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breaches this Agreement, and such breach is incapable of cure, or with respect to a material breach capable of cure, the Defaulting Party does not cure such breach within 30 days after receipt of written notice of such breach.</w:t>
      </w:r>
    </w:p>
    <w:p>
      <w:pPr>
        <w:spacing w:after="0" w:line="226" w:lineRule="exact"/>
        <w:rPr>
          <w:rFonts w:ascii="Times New Roman" w:cs="Times New Roman" w:eastAsia="Times New Roman" w:hAnsi="Times New Roman"/>
          <w:sz w:val="22"/>
          <w:szCs w:val="22"/>
          <w:color w:val="auto"/>
        </w:rPr>
      </w:pPr>
    </w:p>
    <w:p>
      <w:pPr>
        <w:ind w:left="1963" w:hanging="797"/>
        <w:spacing w:after="0"/>
        <w:tabs>
          <w:tab w:leader="none" w:pos="196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insolvent or admits its inability to pay its debts generally as they become due.</w:t>
      </w:r>
    </w:p>
    <w:p>
      <w:pPr>
        <w:spacing w:after="0" w:line="287" w:lineRule="exact"/>
        <w:rPr>
          <w:rFonts w:ascii="Times New Roman" w:cs="Times New Roman" w:eastAsia="Times New Roman" w:hAnsi="Times New Roman"/>
          <w:sz w:val="22"/>
          <w:szCs w:val="22"/>
          <w:color w:val="auto"/>
        </w:rPr>
      </w:pPr>
    </w:p>
    <w:p>
      <w:pPr>
        <w:ind w:left="523" w:firstLine="643"/>
        <w:spacing w:after="0" w:line="270" w:lineRule="auto"/>
        <w:tabs>
          <w:tab w:leader="none" w:pos="19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subject, voluntarily or involuntarily, to any proceeding under any domestic or foreign bankruptcy or insolvency law, which is not fully stayed within seven days or is not dismissed or vacated within 45 days after filing.</w:t>
      </w:r>
    </w:p>
    <w:p>
      <w:pPr>
        <w:spacing w:after="0" w:line="226" w:lineRule="exact"/>
        <w:rPr>
          <w:rFonts w:ascii="Times New Roman" w:cs="Times New Roman" w:eastAsia="Times New Roman" w:hAnsi="Times New Roman"/>
          <w:sz w:val="22"/>
          <w:szCs w:val="22"/>
          <w:color w:val="auto"/>
        </w:rPr>
      </w:pPr>
    </w:p>
    <w:p>
      <w:pPr>
        <w:ind w:left="1963" w:hanging="797"/>
        <w:spacing w:after="0"/>
        <w:tabs>
          <w:tab w:leader="none" w:pos="196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dissolved or liquidated or takes any corporate action for such purpose.</w:t>
      </w:r>
    </w:p>
    <w:p>
      <w:pPr>
        <w:spacing w:after="0" w:line="287" w:lineRule="exact"/>
        <w:rPr>
          <w:rFonts w:ascii="Times New Roman" w:cs="Times New Roman" w:eastAsia="Times New Roman" w:hAnsi="Times New Roman"/>
          <w:sz w:val="22"/>
          <w:szCs w:val="22"/>
          <w:color w:val="auto"/>
        </w:rPr>
      </w:pPr>
    </w:p>
    <w:p>
      <w:pPr>
        <w:ind w:left="1943" w:hanging="777"/>
        <w:spacing w:after="0"/>
        <w:tabs>
          <w:tab w:leader="none" w:pos="194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creditors.</w:t>
      </w:r>
    </w:p>
    <w:p>
      <w:pPr>
        <w:spacing w:after="0" w:line="287" w:lineRule="exact"/>
        <w:rPr>
          <w:rFonts w:ascii="Times New Roman" w:cs="Times New Roman" w:eastAsia="Times New Roman" w:hAnsi="Times New Roman"/>
          <w:sz w:val="22"/>
          <w:szCs w:val="22"/>
          <w:color w:val="auto"/>
        </w:rPr>
      </w:pPr>
    </w:p>
    <w:p>
      <w:pPr>
        <w:ind w:left="523" w:right="640" w:firstLine="643"/>
        <w:spacing w:after="0" w:line="284" w:lineRule="auto"/>
        <w:tabs>
          <w:tab w:leader="none" w:pos="192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receiver, trustee, custodian, or similar agent appointed by order of any court of competent jurisdiction to take charge of or sell any material portion of its property or business.</w:t>
      </w:r>
    </w:p>
    <w:p>
      <w:pPr>
        <w:spacing w:after="0" w:line="211" w:lineRule="exact"/>
        <w:rPr>
          <w:sz w:val="20"/>
          <w:szCs w:val="20"/>
          <w:color w:val="auto"/>
        </w:rPr>
      </w:pPr>
    </w:p>
    <w:p>
      <w:pPr>
        <w:ind w:left="523"/>
        <w:spacing w:after="0"/>
        <w:tabs>
          <w:tab w:leader="none" w:pos="1423"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In addition to Section 16.2, a Party may terminate this Agreement:</w:t>
      </w:r>
    </w:p>
    <w:p>
      <w:pPr>
        <w:spacing w:after="0" w:line="287" w:lineRule="exact"/>
        <w:rPr>
          <w:sz w:val="20"/>
          <w:szCs w:val="20"/>
          <w:color w:val="auto"/>
        </w:rPr>
      </w:pPr>
    </w:p>
    <w:p>
      <w:pPr>
        <w:ind w:left="523" w:right="380" w:firstLine="643"/>
        <w:spacing w:after="0" w:line="284" w:lineRule="auto"/>
        <w:tabs>
          <w:tab w:leader="none" w:pos="195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12 month period commencing with the Effective Date, for any reason by providing 180 days prior written notice to the other Party.</w:t>
      </w:r>
    </w:p>
    <w:p>
      <w:pPr>
        <w:spacing w:after="0" w:line="211" w:lineRule="exact"/>
        <w:rPr>
          <w:rFonts w:ascii="Times New Roman" w:cs="Times New Roman" w:eastAsia="Times New Roman" w:hAnsi="Times New Roman"/>
          <w:sz w:val="22"/>
          <w:szCs w:val="22"/>
          <w:color w:val="auto"/>
        </w:rPr>
      </w:pPr>
    </w:p>
    <w:p>
      <w:pPr>
        <w:ind w:left="523" w:right="40" w:firstLine="643"/>
        <w:spacing w:after="0" w:line="261" w:lineRule="auto"/>
        <w:tabs>
          <w:tab w:leader="none" w:pos="196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by either Party, if there is a change of control (directly or indirectly) in which a third party acquires a majority interest of the voting power, voting capital, or other equity interest of Global-e sufficient to exercise control over Global-e, which, in the case of Shopify’s right to terminate, occurs without Shopify’s prior written consent, provided that any consent or election to terminate under this Section 16.3(b) shall not be unreasonably delayed by Shopify following its receipt of notice from Global-e that a change of control has occurred within the meaning of this Section 16.3(b).</w:t>
      </w:r>
    </w:p>
    <w:p>
      <w:pPr>
        <w:spacing w:after="0" w:line="239"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22"/>
          <w:szCs w:val="22"/>
          <w:color w:val="auto"/>
        </w:rPr>
        <w:t>Neither party shall have a right to terminate except as expressly provided in this Agreement.</w:t>
      </w:r>
    </w:p>
    <w:p>
      <w:pPr>
        <w:spacing w:after="0" w:line="287" w:lineRule="exact"/>
        <w:rPr>
          <w:sz w:val="20"/>
          <w:szCs w:val="20"/>
          <w:color w:val="auto"/>
        </w:rPr>
      </w:pPr>
    </w:p>
    <w:p>
      <w:pPr>
        <w:ind w:left="3" w:right="100" w:firstLine="518"/>
        <w:spacing w:after="0" w:line="260" w:lineRule="auto"/>
        <w:rPr>
          <w:sz w:val="20"/>
          <w:szCs w:val="20"/>
          <w:color w:val="auto"/>
        </w:rPr>
      </w:pPr>
      <w:r>
        <w:rPr>
          <w:rFonts w:ascii="Times New Roman" w:cs="Times New Roman" w:eastAsia="Times New Roman" w:hAnsi="Times New Roman"/>
          <w:sz w:val="22"/>
          <w:szCs w:val="22"/>
          <w:color w:val="auto"/>
        </w:rPr>
        <w:t>16.4 The rights and obligations of the Parties set forth in Section 1 (Definitions), Section 8 (Intellectual Property), Section 10 (Privacy and Data Usage), Section 11 (Fees, Expenses and Pay Outs) until such time as all fees have been remitted for usage of the Flow Offering, Section 12 (Audit), for a period of one (1) year from the date this Agreement terminates (the “Termination Date”), Section 14 (Indemnities) for a period of one (1) year from the Termination Date, Section 15 (Confidentiality), Section 16 (Term, Termination and Survival), Section 17 (Limitation of Liability), Section 18 (Entire Agreement) and Sections 21 through 33 (inclusive) by their nature will survive any such termination or expiration of this Agreement.</w:t>
      </w:r>
    </w:p>
    <w:p>
      <w:pPr>
        <w:spacing w:after="0" w:line="242" w:lineRule="exact"/>
        <w:rPr>
          <w:sz w:val="20"/>
          <w:szCs w:val="20"/>
          <w:color w:val="auto"/>
        </w:rPr>
      </w:pPr>
    </w:p>
    <w:p>
      <w:pPr>
        <w:ind w:left="803" w:hanging="803"/>
        <w:spacing w:after="0"/>
        <w:tabs>
          <w:tab w:leader="none" w:pos="80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 w:right="40" w:firstLine="518"/>
        <w:spacing w:after="0" w:line="260" w:lineRule="auto"/>
        <w:rPr>
          <w:sz w:val="20"/>
          <w:szCs w:val="20"/>
          <w:color w:val="auto"/>
        </w:rPr>
      </w:pPr>
      <w:r>
        <w:rPr>
          <w:rFonts w:ascii="Times New Roman" w:cs="Times New Roman" w:eastAsia="Times New Roman" w:hAnsi="Times New Roman"/>
          <w:sz w:val="22"/>
          <w:szCs w:val="22"/>
          <w:color w:val="auto"/>
        </w:rPr>
        <w:t>17.1 IN NO EVENT SHALL EITHER PARTY BE LIABLE TO THE OTHER PARTY OR ITS AFFILIATES FOR ANY LOSS OF USE, REVENUE, OR PROFIT OR LOSS OF DATA OR ITS DIMINUTION IN VALUE, OR FOR ANY CONSEQUENTIAL, INCIDENTAL, INDIRECT, EXEMPLARY, SPECIAL, OR PUNITIVE DAMAGES WHETHER ARISING OUT OF BREACH OF CONTRACT, TORT (INCLUDING NEGLIGENCE), OR OTHERWISE, REGARDLESS OF WHETHER SUCH DAMAGE WAS FORESEEABLE AND WHETHER OR NOT A PARTY HAS BEEN ADVISED OF THE POSSIBILITY OF SUCH DAMAGES, AND NOTWITHSTANDING THE FAILURE OF ANY AGREED OR OTHER REMEDY OF ITS ESSENTIAL PURPOSE.</w:t>
      </w:r>
    </w:p>
    <w:p>
      <w:pPr>
        <w:spacing w:after="0" w:line="200" w:lineRule="exact"/>
        <w:rPr>
          <w:sz w:val="20"/>
          <w:szCs w:val="20"/>
          <w:color w:val="auto"/>
        </w:rPr>
      </w:pPr>
    </w:p>
    <w:p>
      <w:pPr>
        <w:spacing w:after="0" w:line="204"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45085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392" w:right="339" w:bottom="1440" w:gutter="0" w:footer="0" w:header="0"/>
        </w:sectPr>
      </w:pPr>
    </w:p>
    <w:bookmarkStart w:id="216" w:name="page217"/>
    <w:bookmarkEnd w:id="216"/>
    <w:p>
      <w:pPr>
        <w:ind w:left="360" w:firstLine="518"/>
        <w:spacing w:after="0" w:line="278" w:lineRule="auto"/>
        <w:rPr>
          <w:sz w:val="20"/>
          <w:szCs w:val="20"/>
          <w:color w:val="auto"/>
        </w:rPr>
      </w:pPr>
      <w:r>
        <w:rPr>
          <w:rFonts w:ascii="Times New Roman" w:cs="Times New Roman" w:eastAsia="Times New Roman" w:hAnsi="Times New Roman"/>
          <w:sz w:val="21"/>
          <w:szCs w:val="21"/>
          <w:color w:val="auto"/>
        </w:rPr>
        <w:t>17.2 WITHOUT LIMITING THE PROVISIONS OF SECTION 17.1, AND EXCEPT FOR A BREACH OF SECTION 15 (CONFIDENTIALITY) (SUBJECT TO THE SPECIAL LIMIT) OR A PARTY’S FRAUDULENT WILLFUL MISCONDUCT OF THIS AGREEMENT, THE CUMULATIVE LIABILITY OF EACH PARTY TO THE OTHER FOR ALL CLAIMS ARISING FROM OR RELATING TO THIS AGREEMENT, INCLUDING, WITHOUT LIMITATION, ANY CAUSE OF ACTION SOUNDING IN CONTRACT, TORT, OR STRICT LIABILITY, SHALL NOT EXCEED [***].</w:t>
      </w:r>
    </w:p>
    <w:p>
      <w:pPr>
        <w:spacing w:after="0" w:line="221" w:lineRule="exact"/>
        <w:rPr>
          <w:sz w:val="20"/>
          <w:szCs w:val="20"/>
          <w:color w:val="auto"/>
        </w:rPr>
      </w:pPr>
    </w:p>
    <w:p>
      <w:pPr>
        <w:ind w:left="360" w:right="100" w:firstLine="518"/>
        <w:spacing w:after="0" w:line="261" w:lineRule="auto"/>
        <w:rPr>
          <w:sz w:val="20"/>
          <w:szCs w:val="20"/>
          <w:color w:val="auto"/>
        </w:rPr>
      </w:pPr>
      <w:r>
        <w:rPr>
          <w:rFonts w:ascii="Times New Roman" w:cs="Times New Roman" w:eastAsia="Times New Roman" w:hAnsi="Times New Roman"/>
          <w:sz w:val="22"/>
          <w:szCs w:val="22"/>
          <w:color w:val="auto"/>
        </w:rPr>
        <w:t>17.3 NOTWITHSTANDING ANYTHING TO THE CONTRARY IN THIS SECTION 17, IN THE EVENT OF A PARTY’S BREACH OF SECTION 15 THAT RESULTS IN OR CONSTITUTES THE UNAUTHORIZED USE OR DISCLOSURE OF PERSONAL DATA OR THE OTHER PARTY’S CONFIDENTIAL INFORMATION, THE CUMULATIVE LIABILITY OF EACH PARTY TO THE OTHER FOR SUCH CLAIMS, INCLUDING, WITHOUT LIMITATION, ANY CAUSE OF ACTION SOUNDING IN CONTRACT, TORT, OR STRICT LIABILITY, SHALL NOT EXCEED AN AMOUNT EQUAL TO [***].</w:t>
      </w:r>
    </w:p>
    <w:p>
      <w:pPr>
        <w:spacing w:after="0" w:line="239" w:lineRule="exact"/>
        <w:rPr>
          <w:sz w:val="20"/>
          <w:szCs w:val="20"/>
          <w:color w:val="auto"/>
        </w:rPr>
      </w:pPr>
    </w:p>
    <w:p>
      <w:pPr>
        <w:ind w:left="-40" w:right="200" w:firstLine="397"/>
        <w:spacing w:after="0" w:line="260" w:lineRule="auto"/>
        <w:tabs>
          <w:tab w:leader="none" w:pos="115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and together with any exhibits, schedules, attachments and appendices, as well as the Shopify API Terms and the Shopify Partner Terms, constitutes the sole and entire agreement of the Parties with respect to the subject matter contained herein, and supersedes all prior and contemporaneous understandings, agreements, representations and warranties, both written and oral, regarding such subject matter, and specifically cancels the Master Services Agreement by and between Shopify and Flow dated November 12, 2021. Further this Agreement prevails over any inconsistency with the Shopify Partner Terms and the Shopify API Terms. For the avoidance of doubt this Agreement shall not terminate or be deemed to be terminated or amended solely by reason of the Shopify Partner Terms and Shopify API Terms being amended, varied, expiring or otherwise being replaced by Shopify.</w:t>
      </w:r>
    </w:p>
    <w:p>
      <w:pPr>
        <w:spacing w:after="0" w:line="237" w:lineRule="exact"/>
        <w:rPr>
          <w:rFonts w:ascii="Times New Roman" w:cs="Times New Roman" w:eastAsia="Times New Roman" w:hAnsi="Times New Roman"/>
          <w:sz w:val="22"/>
          <w:szCs w:val="22"/>
          <w:color w:val="auto"/>
        </w:rPr>
      </w:pPr>
    </w:p>
    <w:p>
      <w:pPr>
        <w:ind w:left="-40" w:firstLine="397"/>
        <w:spacing w:after="0" w:line="260" w:lineRule="auto"/>
        <w:tabs>
          <w:tab w:leader="none" w:pos="115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All media releases and public announcements by Shopify or Global-e or their Affiliates (including Flow), representatives, employees, partners or agents, relating to this Agreement, including, without limitation, promotional or marketing material shall be coordinated with and approved by both Parties in writing prior to the release thereof, which such coordination and approval to be timely provided. Each Party shall use good faith reasonable efforts to support any additional marketing efforts by the other Party with regard to the Flow Offering and/or Shopify cross-border native solution. Notwithstanding the foregoing, Shopify may issue media releases or any other public statements regarding its cross-border service offering and suite of cross-border products without Global-e’s prior written consent, provided that such public statements do not explicitly reference Global-e or Flow.</w:t>
      </w:r>
    </w:p>
    <w:p>
      <w:pPr>
        <w:spacing w:after="0" w:line="237" w:lineRule="exact"/>
        <w:rPr>
          <w:rFonts w:ascii="Times New Roman" w:cs="Times New Roman" w:eastAsia="Times New Roman" w:hAnsi="Times New Roman"/>
          <w:sz w:val="22"/>
          <w:szCs w:val="22"/>
          <w:color w:val="auto"/>
        </w:rPr>
      </w:pPr>
    </w:p>
    <w:p>
      <w:pPr>
        <w:ind w:left="-40" w:right="20" w:firstLine="397"/>
        <w:spacing w:after="0" w:line="265" w:lineRule="auto"/>
        <w:tabs>
          <w:tab w:leader="none" w:pos="115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Branding</w:t>
      </w:r>
      <w:r>
        <w:rPr>
          <w:rFonts w:ascii="Times New Roman" w:cs="Times New Roman" w:eastAsia="Times New Roman" w:hAnsi="Times New Roman"/>
          <w:sz w:val="22"/>
          <w:szCs w:val="22"/>
          <w:color w:val="auto"/>
        </w:rPr>
        <w:t>. Shopify will have sole discretion over the branding and presentation of the Flow Offering or Flow Merchant Offerings made available via the Shopify Services; provided, that Shopify shall ensure Flow is included in Shopify’s international portal (currently called “Markets”), in a manner that reasonably supports the Flow Offering as the native solution, in accordance with Section 2.3.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96" w:right="359" w:bottom="1440" w:gutter="0" w:footer="0" w:header="0"/>
        </w:sectPr>
      </w:pPr>
    </w:p>
    <w:bookmarkStart w:id="217" w:name="page218"/>
    <w:bookmarkEnd w:id="217"/>
    <w:p>
      <w:pPr>
        <w:ind w:right="60" w:firstLine="397"/>
        <w:spacing w:after="0" w:line="260" w:lineRule="auto"/>
        <w:tabs>
          <w:tab w:leader="none" w:pos="119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claims, demands, waivers and other communications under this Agreement (each, a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with the correlative meaning “</w:t>
      </w:r>
      <w:r>
        <w:rPr>
          <w:rFonts w:ascii="Times New Roman" w:cs="Times New Roman" w:eastAsia="Times New Roman" w:hAnsi="Times New Roman"/>
          <w:sz w:val="22"/>
          <w:szCs w:val="22"/>
          <w:b w:val="1"/>
          <w:bCs w:val="1"/>
          <w:color w:val="auto"/>
        </w:rPr>
        <w:t>Notify</w:t>
      </w:r>
      <w:r>
        <w:rPr>
          <w:rFonts w:ascii="Times New Roman" w:cs="Times New Roman" w:eastAsia="Times New Roman" w:hAnsi="Times New Roman"/>
          <w:sz w:val="22"/>
          <w:szCs w:val="22"/>
          <w:color w:val="auto"/>
        </w:rPr>
        <w:t>”) must be in writing and addressed to the other Party at its address set forth below (or to such other address that the receiving Party may designate from time to time in accordance with this Section). Unless otherwise agreed herein, all Notices must be delivered by personal delivery, nationally recognized overnight courier or certified or registered mail (in each case, return receipt requested, postage prepaid). Except as otherwise provided in this Agreement, a Notice is effective only (a) on receipt by the receiving Party; and (b) if the Party giving the Notice has complied with the requirements of this Section 21.</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Notice to Shopify:</w:t>
            </w:r>
          </w:p>
        </w:tc>
        <w:tc>
          <w:tcPr>
            <w:tcW w:w="56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151 O’Connor Street,</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Ground Floor,</w:t>
            </w:r>
          </w:p>
        </w:tc>
      </w:tr>
      <w:tr>
        <w:trPr>
          <w:trHeight w:val="234"/>
        </w:trPr>
        <w:tc>
          <w:tcPr>
            <w:tcW w:w="566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Ottawa, Ontario, Canada K2P 2L8</w:t>
            </w: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3"/>
        </w:trPr>
        <w:tc>
          <w:tcPr>
            <w:tcW w:w="566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Attention: Legal Team</w:t>
            </w: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Notice to Global-e:</w:t>
            </w: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25 Bazel St.,</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Petah Tikva, Israel</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Attention: Nir Debbi, President</w:t>
            </w:r>
          </w:p>
        </w:tc>
      </w:tr>
      <w:tr>
        <w:trPr>
          <w:trHeight w:val="234"/>
        </w:trPr>
        <w:tc>
          <w:tcPr>
            <w:tcW w:w="566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 a separately delivered copy to: Attn: Legal</w:t>
            </w: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Notice to Flow:</w:t>
            </w: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 Hudson Place</w:t>
            </w:r>
          </w:p>
        </w:tc>
      </w:tr>
      <w:tr>
        <w:trPr>
          <w:trHeight w:val="216"/>
        </w:trPr>
        <w:tc>
          <w:tcPr>
            <w:tcW w:w="566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7th Floor</w:t>
            </w:r>
          </w:p>
        </w:tc>
      </w:tr>
      <w:tr>
        <w:trPr>
          <w:trHeight w:val="234"/>
        </w:trPr>
        <w:tc>
          <w:tcPr>
            <w:tcW w:w="566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Hoboken, NJ 07030</w:t>
            </w:r>
          </w:p>
        </w:tc>
      </w:tr>
      <w:tr>
        <w:trPr>
          <w:trHeight w:val="51"/>
        </w:trPr>
        <w:tc>
          <w:tcPr>
            <w:tcW w:w="566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8"/>
        </w:trPr>
        <w:tc>
          <w:tcPr>
            <w:tcW w:w="566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Attention: Rob Keve, CEO</w:t>
            </w:r>
          </w:p>
        </w:tc>
      </w:tr>
      <w:tr>
        <w:trPr>
          <w:trHeight w:val="234"/>
        </w:trPr>
        <w:tc>
          <w:tcPr>
            <w:tcW w:w="566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 a separately delivered copy to: Attn: Legal</w:t>
            </w: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ind w:right="80" w:firstLine="397"/>
        <w:spacing w:after="0" w:line="261" w:lineRule="auto"/>
        <w:tabs>
          <w:tab w:leader="none" w:pos="119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found by a court of competent jurisdiction to be invalid, illegal or unenforceable in any jurisdiction, such invalidity, illegality or unenforceability shall not affect any other term or provision of this Agreement or invalidate or render unenforceable such term or provision in any other jurisdiction. Upon a determination that any term or provision is invalid, illegal, or unenforceable, the Parties shall negotiate in good faith to modify this Agreement to effect the original intent of the Parties as closely as possible in order that the transactions contemplated hereby be consummated as originally contemplated to the greatest extent possible.</w:t>
      </w:r>
    </w:p>
    <w:p>
      <w:pPr>
        <w:spacing w:after="0" w:line="239" w:lineRule="exact"/>
        <w:rPr>
          <w:rFonts w:ascii="Times New Roman" w:cs="Times New Roman" w:eastAsia="Times New Roman" w:hAnsi="Times New Roman"/>
          <w:sz w:val="22"/>
          <w:szCs w:val="22"/>
          <w:color w:val="auto"/>
        </w:rPr>
      </w:pPr>
    </w:p>
    <w:p>
      <w:pPr>
        <w:ind w:right="100" w:firstLine="397"/>
        <w:spacing w:after="0" w:line="284" w:lineRule="auto"/>
        <w:tabs>
          <w:tab w:leader="none" w:pos="119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 to or modification of this Agreement is effective unless it is in writing and signed by an authorized representative of each of Global-e and Shopify.</w:t>
      </w:r>
    </w:p>
    <w:p>
      <w:pPr>
        <w:spacing w:after="0" w:line="211" w:lineRule="exact"/>
        <w:rPr>
          <w:rFonts w:ascii="Times New Roman" w:cs="Times New Roman" w:eastAsia="Times New Roman" w:hAnsi="Times New Roman"/>
          <w:sz w:val="22"/>
          <w:szCs w:val="22"/>
          <w:color w:val="auto"/>
        </w:rPr>
      </w:pPr>
    </w:p>
    <w:p>
      <w:pPr>
        <w:ind w:right="120" w:firstLine="397"/>
        <w:spacing w:after="0" w:line="259" w:lineRule="auto"/>
        <w:tabs>
          <w:tab w:leader="none" w:pos="119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All references in this Agreement to exhibits, schedules, attachments and appendices will be deemed to be references to exhibits, schedules, attachments and appendices to this Agreement unless the context shall require otherwise. Captions and headings of the sections and paragraphs of this Agreement are intended solely for convenience and no provision of this Agreement is to be construed by reference to the caption or heading of any section or paragraph. A singular term in this Agreement will be deemed to include the plural and any plural term the singular. Where a word or phrase is defined in this Agreement, each of its other grammatical forms will have a corresponding meaning. Whenever the words “include”, “includes” or “including” are used in this Agreement, they will be deemed to be followed by the words “without limitation”, whether or not they are in fact followed by those words or words of like import. Moreover, this Agreement shall not be construed against either Party as the author or drafter of the Agreement.</w:t>
      </w:r>
    </w:p>
    <w:p>
      <w:pPr>
        <w:spacing w:after="0" w:line="242" w:lineRule="exact"/>
        <w:rPr>
          <w:rFonts w:ascii="Times New Roman" w:cs="Times New Roman" w:eastAsia="Times New Roman" w:hAnsi="Times New Roman"/>
          <w:sz w:val="22"/>
          <w:szCs w:val="22"/>
          <w:color w:val="auto"/>
        </w:rPr>
      </w:pPr>
    </w:p>
    <w:p>
      <w:pPr>
        <w:ind w:right="20" w:firstLine="397"/>
        <w:spacing w:after="0" w:line="260" w:lineRule="auto"/>
        <w:tabs>
          <w:tab w:leader="none" w:pos="119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by any Party to this Agreement of any of the provisions of this Agreement shall be effective unless explicitly set forth in writing and signed by the Party so waiving and, unless otherwise specified in such written waiver, no waiver of any provision of this Agreement will constitute a continuing waiver of such provision or a waiver of any other provision of this Agreement. Except as otherwise set forth in this Agreement or the written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8" w:name="page219"/>
    <w:bookmarkEnd w:id="218"/>
    <w:p>
      <w:pPr>
        <w:ind w:left="-397" w:right="100" w:firstLine="397"/>
        <w:spacing w:after="0" w:line="263"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The relationship between the Parties is that of independent contractors. The details of the method and manner for performance of the Flow Offerings by Flow shall be under its own control. Nothing contained in this Agreement shall be construed as creating any agency, partnership, joint venture or other form of joint enterprise, employment or fiduciary relationship between the Parties, and neither Party shall have authority to contract for or bind the other party in any manner whatsoever.</w:t>
      </w:r>
    </w:p>
    <w:p>
      <w:pPr>
        <w:spacing w:after="0" w:line="233" w:lineRule="exact"/>
        <w:rPr>
          <w:rFonts w:ascii="Times New Roman" w:cs="Times New Roman" w:eastAsia="Times New Roman" w:hAnsi="Times New Roman"/>
          <w:sz w:val="22"/>
          <w:szCs w:val="22"/>
          <w:color w:val="auto"/>
        </w:rPr>
      </w:pPr>
    </w:p>
    <w:p>
      <w:pPr>
        <w:ind w:left="-397" w:right="340" w:firstLine="397"/>
        <w:spacing w:after="0" w:line="270"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Services</w:t>
      </w:r>
      <w:r>
        <w:rPr>
          <w:rFonts w:ascii="Times New Roman" w:cs="Times New Roman" w:eastAsia="Times New Roman" w:hAnsi="Times New Roman"/>
          <w:sz w:val="22"/>
          <w:szCs w:val="22"/>
          <w:color w:val="auto"/>
        </w:rPr>
        <w:t>. Shopify agrees that Flow shall have the right to support Flow’s existing Clients, including Clients that move to the Shopify Service from another platform, and Shopify agrees that it shall not require either Flow or the merchant to terminate the relationship or limit Flow’s ability to modify, amend or extend.</w:t>
      </w:r>
    </w:p>
    <w:p>
      <w:pPr>
        <w:spacing w:after="0" w:line="226" w:lineRule="exact"/>
        <w:rPr>
          <w:rFonts w:ascii="Times New Roman" w:cs="Times New Roman" w:eastAsia="Times New Roman" w:hAnsi="Times New Roman"/>
          <w:sz w:val="22"/>
          <w:szCs w:val="22"/>
          <w:color w:val="auto"/>
        </w:rPr>
      </w:pPr>
    </w:p>
    <w:p>
      <w:pPr>
        <w:ind w:left="-397" w:right="60" w:firstLine="397"/>
        <w:spacing w:after="0" w:line="261"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Except for an assignment to an Affiliate of either Party, and other than performance of this Agreement by a Designated Affiliate pursuant to the terms hereof, neither Party will transfer or assign this Agreement without the other Party’s prior written consent, such consent not to be unreasonably withheld, delayed, or conditioned. This Agreement benefits solely the Parties to this Agreement and their respective permitted successors and assigns and nothing in this Agreement, express or implied, confers on any other Person any legal or equitable right, benefit, or remedy of any nature whatsoever under or by reason of this Agreement.</w:t>
      </w:r>
    </w:p>
    <w:p>
      <w:pPr>
        <w:spacing w:after="0" w:line="239" w:lineRule="exact"/>
        <w:rPr>
          <w:rFonts w:ascii="Times New Roman" w:cs="Times New Roman" w:eastAsia="Times New Roman" w:hAnsi="Times New Roman"/>
          <w:sz w:val="22"/>
          <w:szCs w:val="22"/>
          <w:color w:val="auto"/>
        </w:rPr>
      </w:pPr>
    </w:p>
    <w:p>
      <w:pPr>
        <w:ind w:left="-397" w:right="320" w:firstLine="397"/>
        <w:spacing w:after="0" w:line="263"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and all related documents including all exhibits attached hereto, and all matters arising out of or relating to this Agreement, whether sounding in contract, tort, or statute are governed by, and construed in accordance with, the laws of the State of New York, United States of America (including its statutes of limitations), without giving effect to the conflict of laws provisions thereof to the extent such principles or rules would require or permit the application of the laws of any jurisdiction other than those of the State of New York.</w:t>
      </w:r>
    </w:p>
    <w:p>
      <w:pPr>
        <w:spacing w:after="0" w:line="233" w:lineRule="exact"/>
        <w:rPr>
          <w:rFonts w:ascii="Times New Roman" w:cs="Times New Roman" w:eastAsia="Times New Roman" w:hAnsi="Times New Roman"/>
          <w:sz w:val="22"/>
          <w:szCs w:val="22"/>
          <w:color w:val="auto"/>
        </w:rPr>
      </w:pPr>
    </w:p>
    <w:p>
      <w:pPr>
        <w:ind w:left="-397" w:right="20" w:firstLine="397"/>
        <w:spacing w:after="0" w:line="258"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including contract, equity, tort, fraud and statutory claims, in any forum other than U.S. District Court, Southern District of New York or, if such court does not have subject matter jurisdiction, the courts of the State of New York sitting in the Borough of Manhattan, The City of New York, and any appellate court from any thereof. Each Party irrevocably and unconditionally submits to the exclusive jurisdiction of such courts and agrees to bring any such action, litigation or proceeding only in U.S. District Court, Southern District of New York or, if such court does not have subject matter jurisdiction, the courts of the State of New York sitting in the Borough of Manhattan, The City of New York. Each Party agrees that a final judgment in any such action, litigation, or proceeding is conclusive and may be enforced in other jurisdictions by suit on the judgment or in any other manner provided by law.</w:t>
      </w:r>
    </w:p>
    <w:p>
      <w:pPr>
        <w:spacing w:after="0" w:line="248" w:lineRule="exact"/>
        <w:rPr>
          <w:rFonts w:ascii="Times New Roman" w:cs="Times New Roman" w:eastAsia="Times New Roman" w:hAnsi="Times New Roman"/>
          <w:sz w:val="22"/>
          <w:szCs w:val="22"/>
          <w:color w:val="auto"/>
        </w:rPr>
      </w:pPr>
    </w:p>
    <w:p>
      <w:pPr>
        <w:ind w:left="-397" w:right="80" w:firstLine="397"/>
        <w:spacing w:after="0" w:line="260"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ACKNOWLEDGES THAT ANY CONTROVERSY THAT MAY ARISE UNDER THIS AGREEMENT, INCLUDING EXHIBITS, SCHEDULES, ATTACHMENTS, AND APPENDICES ATTACHED TO THIS AGREEMENT, IS LIKELY TO INVOLVE COMPLICATED AND DIFFICULT ISSUES AND, THEREFORE, EACH SUCH PARTY IRREVOCABLY AND UNCONDITIONALLY WAIVES, TO THE FULLEST EXTENT PERMITTED UNDER APPLICABLE LAWS, ANY RIGHT IT MAY HAVE TO A TRIAL BY JURY IN RESPECT OF ANY LEGAL ACTION ARISING OUT OF OR RELATING TO THIS AGREEMENT, INCLUDING ANY EXHIBITS, SCHEDULES, ATTACHMENTS OR APPENDICES ATTACHED TO THIS AGREEMENT, OR THE TRANSACTIONS CONTEMPLATED HEREBY.</w:t>
      </w:r>
    </w:p>
    <w:p>
      <w:pPr>
        <w:spacing w:after="0" w:line="237" w:lineRule="exact"/>
        <w:rPr>
          <w:rFonts w:ascii="Times New Roman" w:cs="Times New Roman" w:eastAsia="Times New Roman" w:hAnsi="Times New Roman"/>
          <w:sz w:val="22"/>
          <w:szCs w:val="22"/>
          <w:color w:val="auto"/>
        </w:rPr>
      </w:pPr>
    </w:p>
    <w:p>
      <w:pPr>
        <w:ind w:left="-397" w:right="60" w:firstLine="397"/>
        <w:spacing w:after="0" w:line="265" w:lineRule="auto"/>
        <w:tabs>
          <w:tab w:leader="none" w:pos="80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is deemed an original, but all of which together are deemed to be one and the same agreement. A signed copy of this Agreement delivered by facsimile, email, or other means of electronic transmission is deemed to have the same legal effect as delivery of an original signed copy of this Agreement.</w:t>
      </w:r>
    </w:p>
    <w:p>
      <w:pPr>
        <w:spacing w:after="0" w:line="232" w:lineRule="exact"/>
        <w:rPr>
          <w:rFonts w:ascii="Times New Roman" w:cs="Times New Roman" w:eastAsia="Times New Roman" w:hAnsi="Times New Roman"/>
          <w:sz w:val="22"/>
          <w:szCs w:val="22"/>
          <w:color w:val="auto"/>
        </w:rPr>
      </w:pPr>
    </w:p>
    <w:p>
      <w:pPr>
        <w:ind w:left="-397" w:firstLine="397"/>
        <w:spacing w:after="0" w:line="272" w:lineRule="auto"/>
        <w:tabs>
          <w:tab w:leader="none" w:pos="80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Neither Party shall be liable or responsible to the other Party, nor be deemed to have defaulted or breached this Agreement, for any failure or delay in fulfilling or performing any term of this Agreement when and to the extent such failure or delay is caused by or results from acts or circumstances beyond the reasonable control of the non-performing Party including, without limitation, acts of God, flood, fire, earthquake, explosion, governmental actions, war, invasion or hostilities (whether war is declared or not), terrorist threats or acts, riot, or other civil unrest, national emergency, revolution, insurrection, epidemic (excluding COVID-19), lock-outs, strikes or other labor disputes (whether or not relating to either party’s workforce), or restraints or delays affecting carriers or inability or delay in obtaining supplies of adequate or suitable materials, materials or telecommunication breakdown or power outage (a “Force Majeure Event”), only if and to the extent that the failure could not have been prevented by reasonable precautions and measures and cannot reasonably be circumvented by the non-performing Party through the use of alternate sources, workaround plans, disaster recovery, business continuity measures or other means. The Party limited in performing its obligations under this Agreement due to a Force Majeure Event shall: (i) as soon as</w:t>
      </w:r>
    </w:p>
    <w:p>
      <w:pPr>
        <w:sectPr>
          <w:pgSz w:w="11900" w:h="16838" w:orient="portrait"/>
          <w:cols w:equalWidth="0" w:num="1">
            <w:col w:w="10803"/>
          </w:cols>
          <w:pgMar w:left="717" w:top="396" w:right="379" w:bottom="0" w:gutter="0" w:footer="0" w:header="0"/>
        </w:sectPr>
      </w:pPr>
    </w:p>
    <w:bookmarkStart w:id="219" w:name="page220"/>
    <w:bookmarkEnd w:id="219"/>
    <w:p>
      <w:pPr>
        <w:spacing w:after="0" w:line="263" w:lineRule="auto"/>
        <w:rPr>
          <w:sz w:val="20"/>
          <w:szCs w:val="20"/>
          <w:color w:val="auto"/>
        </w:rPr>
      </w:pPr>
      <w:r>
        <w:rPr>
          <w:rFonts w:ascii="Times New Roman" w:cs="Times New Roman" w:eastAsia="Times New Roman" w:hAnsi="Times New Roman"/>
          <w:sz w:val="22"/>
          <w:szCs w:val="22"/>
          <w:color w:val="auto"/>
        </w:rPr>
        <w:t>reasonably practicable after the start of a Force Majeure Event, notify the other Party in writing of the Force Majeure Event, the date on which it started, its likely or potential duration and the effect the Force Majeure Event on its ability to perform any of its obligations under this Agreement and (ii) use reasonable efforts to mitigate the effect of the Force Majeure Event on the performance of its obligations. Notwithstanding the foregoing, if the event in question continues for a continuous period in excess of 45 days, Shopify shall be entitled to give notice in writing to Flow to terminate this Agreement.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0" w:name="page221"/>
    <w:bookmarkEnd w:id="220"/>
    <w:p>
      <w:pPr>
        <w:spacing w:after="0" w:line="284"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as of the Effective Date by their respective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2459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pacing w:after="0" w:line="2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SHOPIFY INC.</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By_____________________</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FLOW COMMERCE INC.</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By_____________________</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28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GLOBAL-E ONLINE LTD.</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By_____________________</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666" w:right="1079" w:bottom="1440" w:gutter="0" w:footer="0" w:header="0"/>
        </w:sectPr>
      </w:pPr>
    </w:p>
    <w:bookmarkStart w:id="221" w:name="page222"/>
    <w:bookmarkEnd w:id="221"/>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8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MARKETING AND PROMOTIONAL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Shopify shall undertake the following marketing and promotional activities:</w:t>
      </w:r>
    </w:p>
    <w:p>
      <w:pPr>
        <w:spacing w:after="0" w:line="283"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launch of the Flow Offerings, list Flow as a partner on an appropriate website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Flow shall have the right to market to Shopify merchants utilizing Shopify Materials subject to the requirements of Section 19.</w:t>
      </w: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92" w:right="61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B-1</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SHOPIFY PARTNER FEE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FLOW FEE SCHEDULE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BFBFB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BFBFBF"/>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shd w:val="clear" w:color="auto" w:fill="BFBFBF"/>
          </w:tcPr>
          <w:p>
            <w:pPr>
              <w:jc w:val="right"/>
              <w:ind w:right="3310"/>
              <w:spacing w:after="0"/>
              <w:rPr>
                <w:sz w:val="20"/>
                <w:szCs w:val="20"/>
                <w:color w:val="auto"/>
              </w:rPr>
            </w:pPr>
            <w:r>
              <w:rPr>
                <w:rFonts w:ascii="Times New Roman" w:cs="Times New Roman" w:eastAsia="Times New Roman" w:hAnsi="Times New Roman"/>
                <w:sz w:val="18"/>
                <w:szCs w:val="18"/>
                <w:color w:val="auto"/>
                <w:w w:val="97"/>
              </w:rPr>
              <w:t>[***]</w:t>
            </w:r>
          </w:p>
        </w:tc>
        <w:tc>
          <w:tcPr>
            <w:tcW w:w="146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60" w:type="dxa"/>
            <w:vAlign w:val="bottom"/>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FF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Borders>
              <w:top w:val="single" w:sz="8" w:color="auto"/>
            </w:tcBorders>
          </w:tcPr>
          <w:p>
            <w:pPr>
              <w:jc w:val="right"/>
              <w:ind w:right="3310"/>
              <w:spacing w:after="0" w:line="198" w:lineRule="exact"/>
              <w:rPr>
                <w:sz w:val="20"/>
                <w:szCs w:val="20"/>
                <w:color w:val="auto"/>
              </w:rPr>
            </w:pPr>
            <w:r>
              <w:rPr>
                <w:rFonts w:ascii="Times New Roman" w:cs="Times New Roman" w:eastAsia="Times New Roman" w:hAnsi="Times New Roman"/>
                <w:sz w:val="18"/>
                <w:szCs w:val="18"/>
                <w:color w:val="auto"/>
                <w:w w:val="97"/>
              </w:rPr>
              <w:t>[***]</w:t>
            </w:r>
          </w:p>
        </w:tc>
        <w:tc>
          <w:tcPr>
            <w:tcW w:w="1460" w:type="dxa"/>
            <w:vAlign w:val="bottom"/>
            <w:tcBorders>
              <w:top w:val="single" w:sz="8" w:color="auto"/>
            </w:tcBorders>
            <w:shd w:val="clear" w:color="auto" w:fill="FF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460" w:type="dxa"/>
            <w:vAlign w:val="bottom"/>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60" w:type="dxa"/>
            <w:vAlign w:val="bottom"/>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1460" w:type="dxa"/>
            <w:vAlign w:val="bottom"/>
            <w:shd w:val="clear" w:color="auto" w:fill="FF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22"/>
                <w:szCs w:val="22"/>
                <w:color w:val="auto"/>
              </w:rPr>
              <w:t>26</w:t>
            </w:r>
          </w:p>
        </w:tc>
        <w:tc>
          <w:tcPr>
            <w:tcW w:w="3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36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24" w:name="page225"/>
    <w:bookmarkEnd w:id="2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520" w:type="dxa"/>
            <w:vAlign w:val="bottom"/>
            <w:tcBorders>
              <w:top w:val="single" w:sz="8" w:color="auto"/>
              <w:lef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w:t>
            </w:r>
          </w:p>
        </w:tc>
        <w:tc>
          <w:tcPr>
            <w:tcW w:w="6980" w:type="dxa"/>
            <w:vAlign w:val="bottom"/>
            <w:tcBorders>
              <w:top w:val="single" w:sz="8" w:color="auto"/>
              <w:right w:val="single" w:sz="8" w:color="auto"/>
            </w:tcBorders>
          </w:tcPr>
          <w:p>
            <w:pPr>
              <w:spacing w:after="0"/>
              <w:rPr>
                <w:sz w:val="23"/>
                <w:szCs w:val="23"/>
                <w:color w:val="auto"/>
              </w:rPr>
            </w:pPr>
          </w:p>
        </w:tc>
        <w:tc>
          <w:tcPr>
            <w:tcW w:w="740" w:type="dxa"/>
            <w:vAlign w:val="bottom"/>
            <w:tcBorders>
              <w:top w:val="single" w:sz="8" w:color="auto"/>
              <w:right w:val="single" w:sz="8" w:color="auto"/>
            </w:tcBorders>
          </w:tcPr>
          <w:p>
            <w:pPr>
              <w:spacing w:after="0"/>
              <w:rPr>
                <w:sz w:val="23"/>
                <w:szCs w:val="23"/>
                <w:color w:val="auto"/>
              </w:rPr>
            </w:pPr>
          </w:p>
        </w:tc>
      </w:tr>
      <w:tr>
        <w:trPr>
          <w:trHeight w:val="40"/>
        </w:trPr>
        <w:tc>
          <w:tcPr>
            <w:tcW w:w="3520" w:type="dxa"/>
            <w:vAlign w:val="bottom"/>
            <w:tcBorders>
              <w:left w:val="single" w:sz="8" w:color="auto"/>
              <w:bottom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91"/>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250"/>
        </w:trPr>
        <w:tc>
          <w:tcPr>
            <w:tcW w:w="3520" w:type="dxa"/>
            <w:vAlign w:val="bottom"/>
            <w:tcBorders>
              <w:lef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w:t>
            </w:r>
          </w:p>
        </w:tc>
        <w:tc>
          <w:tcPr>
            <w:tcW w:w="698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r>
      <w:tr>
        <w:trPr>
          <w:trHeight w:val="40"/>
        </w:trPr>
        <w:tc>
          <w:tcPr>
            <w:tcW w:w="3520" w:type="dxa"/>
            <w:vAlign w:val="bottom"/>
            <w:tcBorders>
              <w:left w:val="single" w:sz="8" w:color="auto"/>
              <w:bottom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9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250"/>
        </w:trPr>
        <w:tc>
          <w:tcPr>
            <w:tcW w:w="3520" w:type="dxa"/>
            <w:vAlign w:val="bottom"/>
            <w:tcBorders>
              <w:lef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w:t>
            </w:r>
          </w:p>
        </w:tc>
        <w:tc>
          <w:tcPr>
            <w:tcW w:w="698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r>
      <w:tr>
        <w:trPr>
          <w:trHeight w:val="40"/>
        </w:trPr>
        <w:tc>
          <w:tcPr>
            <w:tcW w:w="3520" w:type="dxa"/>
            <w:vAlign w:val="bottom"/>
            <w:tcBorders>
              <w:left w:val="single" w:sz="8" w:color="auto"/>
              <w:bottom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9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250"/>
        </w:trPr>
        <w:tc>
          <w:tcPr>
            <w:tcW w:w="3520" w:type="dxa"/>
            <w:vAlign w:val="bottom"/>
            <w:tcBorders>
              <w:lef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r>
      <w:tr>
        <w:trPr>
          <w:trHeight w:val="41"/>
        </w:trPr>
        <w:tc>
          <w:tcPr>
            <w:tcW w:w="3520" w:type="dxa"/>
            <w:vAlign w:val="bottom"/>
            <w:tcBorders>
              <w:left w:val="single" w:sz="8" w:color="auto"/>
              <w:bottom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20" w:type="dxa"/>
            <w:vAlign w:val="bottom"/>
            <w:tcBorders>
              <w:left w:val="single" w:sz="8" w:color="auto"/>
              <w:bottom w:val="single" w:sz="8" w:color="auto"/>
              <w:right w:val="single" w:sz="8" w:color="auto"/>
            </w:tcBorders>
          </w:tcPr>
          <w:p>
            <w:pPr>
              <w:spacing w:after="0"/>
              <w:rPr>
                <w:sz w:val="22"/>
                <w:szCs w:val="22"/>
                <w:color w:val="auto"/>
              </w:rPr>
            </w:pPr>
          </w:p>
        </w:tc>
        <w:tc>
          <w:tcPr>
            <w:tcW w:w="698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r>
      <w:tr>
        <w:trPr>
          <w:trHeight w:val="290"/>
        </w:trPr>
        <w:tc>
          <w:tcPr>
            <w:tcW w:w="3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250"/>
        </w:trPr>
        <w:tc>
          <w:tcPr>
            <w:tcW w:w="3520" w:type="dxa"/>
            <w:vAlign w:val="bottom"/>
            <w:tcBorders>
              <w:lef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w:t>
            </w:r>
          </w:p>
        </w:tc>
        <w:tc>
          <w:tcPr>
            <w:tcW w:w="698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r>
      <w:tr>
        <w:trPr>
          <w:trHeight w:val="257"/>
        </w:trPr>
        <w:tc>
          <w:tcPr>
            <w:tcW w:w="3520" w:type="dxa"/>
            <w:vAlign w:val="bottom"/>
            <w:tcBorders>
              <w:left w:val="single" w:sz="8" w:color="auto"/>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0"/>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53"/>
        </w:trPr>
        <w:tc>
          <w:tcPr>
            <w:tcW w:w="3520" w:type="dxa"/>
            <w:vAlign w:val="bottom"/>
            <w:tcBorders>
              <w:left w:val="single" w:sz="8" w:color="auto"/>
              <w:right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right w:val="single" w:sz="8" w:color="auto"/>
            </w:tcBorders>
          </w:tcPr>
          <w:p>
            <w:pPr>
              <w:jc w:val="right"/>
              <w:ind w:right="6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69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25" w:name="page226"/>
    <w:bookmarkEnd w:id="225"/>
    <w:tbl>
      <w:tblPr>
        <w:tblLayout w:type="fixed"/>
        <w:tblInd w:w="10" w:type="dxa"/>
        <w:tblCellMar>
          <w:top w:w="0" w:type="dxa"/>
          <w:left w:w="0" w:type="dxa"/>
          <w:bottom w:w="0" w:type="dxa"/>
          <w:right w:w="0" w:type="dxa"/>
        </w:tblCellMar>
      </w:tblPr>
      <w:tr>
        <w:trPr>
          <w:trHeight w:val="270"/>
        </w:trPr>
        <w:tc>
          <w:tcPr>
            <w:tcW w:w="3600" w:type="dxa"/>
            <w:vAlign w:val="bottom"/>
            <w:tcBorders>
              <w:top w:val="single" w:sz="8" w:color="auto"/>
              <w:lef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b w:val="1"/>
                <w:bCs w:val="1"/>
                <w:color w:val="auto"/>
              </w:rPr>
              <w:t>[***]</w:t>
            </w:r>
          </w:p>
        </w:tc>
        <w:tc>
          <w:tcPr>
            <w:tcW w:w="7180" w:type="dxa"/>
            <w:vAlign w:val="bottom"/>
            <w:tcBorders>
              <w:top w:val="single" w:sz="8" w:color="auto"/>
              <w:right w:val="single" w:sz="8" w:color="auto"/>
            </w:tcBorders>
          </w:tcPr>
          <w:p>
            <w:pPr>
              <w:spacing w:after="0"/>
              <w:rPr>
                <w:sz w:val="23"/>
                <w:szCs w:val="23"/>
                <w:color w:val="auto"/>
              </w:rPr>
            </w:pPr>
          </w:p>
        </w:tc>
        <w:tc>
          <w:tcPr>
            <w:tcW w:w="460" w:type="dxa"/>
            <w:vAlign w:val="bottom"/>
            <w:tcBorders>
              <w:top w:val="single" w:sz="8" w:color="auto"/>
              <w:right w:val="single" w:sz="8" w:color="auto"/>
            </w:tcBorders>
          </w:tcPr>
          <w:p>
            <w:pPr>
              <w:spacing w:after="0"/>
              <w:rPr>
                <w:sz w:val="23"/>
                <w:szCs w:val="23"/>
                <w:color w:val="auto"/>
              </w:rPr>
            </w:pPr>
          </w:p>
        </w:tc>
      </w:tr>
      <w:tr>
        <w:trPr>
          <w:trHeight w:val="41"/>
        </w:trPr>
        <w:tc>
          <w:tcPr>
            <w:tcW w:w="3600" w:type="dxa"/>
            <w:vAlign w:val="bottom"/>
            <w:tcBorders>
              <w:left w:val="single" w:sz="8" w:color="auto"/>
              <w:bottom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1"/>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91"/>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r>
      <w:tr>
        <w:trPr>
          <w:trHeight w:val="250"/>
        </w:trPr>
        <w:tc>
          <w:tcPr>
            <w:tcW w:w="3600" w:type="dxa"/>
            <w:vAlign w:val="bottom"/>
            <w:tcBorders>
              <w:lef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b w:val="1"/>
                <w:bCs w:val="1"/>
                <w:color w:val="auto"/>
              </w:rPr>
              <w:t>[***]</w:t>
            </w:r>
          </w:p>
        </w:tc>
        <w:tc>
          <w:tcPr>
            <w:tcW w:w="718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r>
      <w:tr>
        <w:trPr>
          <w:trHeight w:val="40"/>
        </w:trPr>
        <w:tc>
          <w:tcPr>
            <w:tcW w:w="3600" w:type="dxa"/>
            <w:vAlign w:val="bottom"/>
            <w:tcBorders>
              <w:left w:val="single" w:sz="8" w:color="auto"/>
              <w:bottom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1"/>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0"/>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jc w:val="right"/>
              <w:ind w:right="6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40"/>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91"/>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r>
      <w:tr>
        <w:trPr>
          <w:trHeight w:val="250"/>
        </w:trPr>
        <w:tc>
          <w:tcPr>
            <w:tcW w:w="3600" w:type="dxa"/>
            <w:vAlign w:val="bottom"/>
            <w:tcBorders>
              <w:lef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b w:val="1"/>
                <w:bCs w:val="1"/>
                <w:color w:val="auto"/>
              </w:rPr>
              <w:t>[***]</w:t>
            </w:r>
          </w:p>
        </w:tc>
        <w:tc>
          <w:tcPr>
            <w:tcW w:w="71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r>
      <w:tr>
        <w:trPr>
          <w:trHeight w:val="37"/>
        </w:trPr>
        <w:tc>
          <w:tcPr>
            <w:tcW w:w="3600" w:type="dxa"/>
            <w:vAlign w:val="bottom"/>
            <w:tcBorders>
              <w:left w:val="single" w:sz="8" w:color="auto"/>
              <w:bottom w:val="single" w:sz="8" w:color="auto"/>
            </w:tcBorders>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r>
        <w:trPr>
          <w:trHeight w:val="253"/>
        </w:trPr>
        <w:tc>
          <w:tcPr>
            <w:tcW w:w="3600" w:type="dxa"/>
            <w:vAlign w:val="bottom"/>
            <w:tcBorders>
              <w:left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t>
            </w:r>
          </w:p>
        </w:tc>
      </w:tr>
      <w:tr>
        <w:trPr>
          <w:trHeight w:val="37"/>
        </w:trPr>
        <w:tc>
          <w:tcPr>
            <w:tcW w:w="3600" w:type="dxa"/>
            <w:vAlign w:val="bottom"/>
            <w:tcBorders>
              <w:left w:val="single" w:sz="8" w:color="auto"/>
              <w:bottom w:val="single" w:sz="8" w:color="auto"/>
              <w:right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6" w:name="page227"/>
    <w:bookmarkEnd w:id="226"/>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INIMUM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ATA</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IELDS</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EQUIRED</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right="1260"/>
        <w:spacing w:after="0" w:line="284" w:lineRule="auto"/>
        <w:rPr>
          <w:sz w:val="20"/>
          <w:szCs w:val="20"/>
          <w:color w:val="auto"/>
        </w:rPr>
      </w:pPr>
      <w:r>
        <w:rPr>
          <w:rFonts w:ascii="Times New Roman" w:cs="Times New Roman" w:eastAsia="Times New Roman" w:hAnsi="Times New Roman"/>
          <w:sz w:val="22"/>
          <w:szCs w:val="22"/>
          <w:color w:val="auto"/>
        </w:rPr>
        <w:t xml:space="preserve">All data mentioned in the Shopify order api v.2021-07 - </w:t>
      </w:r>
      <w:r>
        <w:rPr>
          <w:rFonts w:ascii="Times New Roman" w:cs="Times New Roman" w:eastAsia="Times New Roman" w:hAnsi="Times New Roman"/>
          <w:sz w:val="22"/>
          <w:szCs w:val="22"/>
          <w:u w:val="single" w:color="auto"/>
          <w:color w:val="auto"/>
        </w:rPr>
        <w:t>https://shopify.dev/api/admin/rest/reference/orders/order?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api%5Bversion%5D=2021-07</w:t>
      </w:r>
    </w:p>
    <w:p>
      <w:pPr>
        <w:spacing w:after="0" w:line="21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In the event that any of the specified models in the above mentioned API are missing data, Shopify will ensure that those will be populated correctly.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92" w:right="479" w:bottom="1440" w:gutter="0" w:footer="0" w:header="0"/>
        </w:sectPr>
      </w:pPr>
    </w:p>
    <w:bookmarkStart w:id="227" w:name="page228"/>
    <w:bookmarkEnd w:id="227"/>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Onboarding KYC Minimum data required:</w:t>
      </w:r>
    </w:p>
    <w:p>
      <w:pPr>
        <w:spacing w:after="0" w:line="283"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Legal Name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State / Jurisdiction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ID (with evidence/supporting documentation if necessary)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Storefront URL</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Currency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Transactional Volume, Chargeback %, and Refund % (From reporting)</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Catalog (Pricing, Weight, COO, HS6, Gift Card Flags)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Location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Name and Address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Contact Information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Fulfillment Period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Card acceptance</w:t>
      </w:r>
    </w:p>
    <w:p>
      <w:pPr>
        <w:spacing w:after="0" w:line="2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Goods Form (</w:t>
      </w:r>
      <w:r>
        <w:rPr>
          <w:rFonts w:ascii="Times New Roman" w:cs="Times New Roman" w:eastAsia="Times New Roman" w:hAnsi="Times New Roman"/>
          <w:sz w:val="18"/>
          <w:szCs w:val="18"/>
          <w:i w:val="1"/>
          <w:iCs w:val="1"/>
          <w:color w:val="auto"/>
        </w:rPr>
        <w:t>if needed</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parties shall work together to ensure Flow receives the above information through the integration for onboarding and continued support of the Merchant’s cross border sales and the Parties acknowledge and agree that Flow may reach out to the Client directly.</w:t>
      </w:r>
    </w:p>
    <w:p>
      <w:pPr>
        <w:spacing w:after="0" w:line="3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392" w:right="75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DATA SECURITY</w:t>
      </w:r>
    </w:p>
    <w:p>
      <w:pPr>
        <w:spacing w:after="0" w:line="271" w:lineRule="exact"/>
        <w:rPr>
          <w:sz w:val="20"/>
          <w:szCs w:val="20"/>
          <w:color w:val="auto"/>
        </w:rPr>
      </w:pPr>
    </w:p>
    <w:p>
      <w:pPr>
        <w:ind w:left="720" w:hanging="712"/>
        <w:spacing w:after="0"/>
        <w:tabs>
          <w:tab w:leader="none" w:pos="7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Programs and Policies</w:t>
      </w:r>
    </w:p>
    <w:p>
      <w:pPr>
        <w:spacing w:after="0" w:line="286" w:lineRule="exact"/>
        <w:rPr>
          <w:rFonts w:ascii="Times New Roman" w:cs="Times New Roman" w:eastAsia="Times New Roman" w:hAnsi="Times New Roman"/>
          <w:sz w:val="22"/>
          <w:szCs w:val="22"/>
          <w:b w:val="1"/>
          <w:bCs w:val="1"/>
          <w:color w:val="auto"/>
        </w:rPr>
      </w:pPr>
    </w:p>
    <w:p>
      <w:pPr>
        <w:ind w:left="1300" w:right="60" w:hanging="644"/>
        <w:spacing w:after="0" w:line="258"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Program</w:t>
      </w:r>
      <w:r>
        <w:rPr>
          <w:rFonts w:ascii="Times New Roman" w:cs="Times New Roman" w:eastAsia="Times New Roman" w:hAnsi="Times New Roman"/>
          <w:sz w:val="18"/>
          <w:szCs w:val="18"/>
          <w:color w:val="auto"/>
        </w:rPr>
        <w:t>. Flow maintains and enforces a security program that addresses the management of security and the security controls employed by Flow. The security program includes: (i) documented policies that Flow formally approves, internally publishes, communicates to appropriate personnel and reviews at least annually; (ii) documented, clear assignment of responsibility and authority for security program activities; (iii) policies covering, as applicable, acceptable computer use, Data classification, cryptographic controls, access control, removable media, and remote access; and (iv) regular testing of the key controls, systems and procedures.</w:t>
      </w:r>
    </w:p>
    <w:p>
      <w:pPr>
        <w:spacing w:after="0" w:line="23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Program</w:t>
      </w:r>
      <w:r>
        <w:rPr>
          <w:rFonts w:ascii="Times New Roman" w:cs="Times New Roman" w:eastAsia="Times New Roman" w:hAnsi="Times New Roman"/>
          <w:sz w:val="18"/>
          <w:szCs w:val="18"/>
          <w:color w:val="auto"/>
        </w:rPr>
        <w:t>. Flow maintains and enforces a privacy program and related policies that address how Personal Data is collected, used and shared.</w:t>
      </w:r>
    </w:p>
    <w:p>
      <w:pPr>
        <w:spacing w:after="0" w:line="21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 and Asset Management</w:t>
      </w:r>
    </w:p>
    <w:p>
      <w:pPr>
        <w:spacing w:after="0" w:line="286" w:lineRule="exact"/>
        <w:rPr>
          <w:rFonts w:ascii="Times New Roman" w:cs="Times New Roman" w:eastAsia="Times New Roman" w:hAnsi="Times New Roman"/>
          <w:sz w:val="22"/>
          <w:szCs w:val="22"/>
          <w:b w:val="1"/>
          <w:bCs w:val="1"/>
          <w:color w:val="auto"/>
        </w:rPr>
      </w:pPr>
    </w:p>
    <w:p>
      <w:pPr>
        <w:ind w:left="1300" w:right="16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Management</w:t>
      </w:r>
      <w:r>
        <w:rPr>
          <w:rFonts w:ascii="Times New Roman" w:cs="Times New Roman" w:eastAsia="Times New Roman" w:hAnsi="Times New Roman"/>
          <w:sz w:val="18"/>
          <w:szCs w:val="18"/>
          <w:color w:val="auto"/>
        </w:rPr>
        <w:t>. Flow performs risk assessments and implements and maintains controls for risk identification, analysis, monitoring, reporting, and corrective action.</w:t>
      </w:r>
    </w:p>
    <w:p>
      <w:pPr>
        <w:spacing w:after="0" w:line="21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Management</w:t>
      </w:r>
      <w:r>
        <w:rPr>
          <w:rFonts w:ascii="Times New Roman" w:cs="Times New Roman" w:eastAsia="Times New Roman" w:hAnsi="Times New Roman"/>
          <w:sz w:val="18"/>
          <w:szCs w:val="18"/>
          <w:color w:val="auto"/>
        </w:rPr>
        <w:t>. Flow maintains and enforces an asset management program that appropriately classifies and controls hardware and software assets throughout their life cycle.</w:t>
      </w:r>
    </w:p>
    <w:p>
      <w:pPr>
        <w:spacing w:after="0" w:line="21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Worker Education</w:t>
      </w:r>
    </w:p>
    <w:p>
      <w:pPr>
        <w:spacing w:after="0" w:line="282" w:lineRule="exact"/>
        <w:rPr>
          <w:rFonts w:ascii="Times New Roman" w:cs="Times New Roman" w:eastAsia="Times New Roman" w:hAnsi="Times New Roman"/>
          <w:sz w:val="22"/>
          <w:szCs w:val="22"/>
          <w:b w:val="1"/>
          <w:bCs w:val="1"/>
          <w:color w:val="auto"/>
        </w:rPr>
      </w:pPr>
    </w:p>
    <w:p>
      <w:pPr>
        <w:ind w:left="1300" w:right="860" w:hanging="644"/>
        <w:spacing w:after="0" w:line="286"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w:t>
      </w:r>
      <w:r>
        <w:rPr>
          <w:rFonts w:ascii="Times New Roman" w:cs="Times New Roman" w:eastAsia="Times New Roman" w:hAnsi="Times New Roman"/>
          <w:sz w:val="18"/>
          <w:szCs w:val="18"/>
          <w:color w:val="auto"/>
        </w:rPr>
        <w:t>. All Flow employees, agents, and contractors (collectively “</w:t>
      </w:r>
      <w:r>
        <w:rPr>
          <w:rFonts w:ascii="Times New Roman" w:cs="Times New Roman" w:eastAsia="Times New Roman" w:hAnsi="Times New Roman"/>
          <w:sz w:val="18"/>
          <w:szCs w:val="18"/>
          <w:b w:val="1"/>
          <w:bCs w:val="1"/>
          <w:color w:val="auto"/>
        </w:rPr>
        <w:t>Workers</w:t>
      </w:r>
      <w:r>
        <w:rPr>
          <w:rFonts w:ascii="Times New Roman" w:cs="Times New Roman" w:eastAsia="Times New Roman" w:hAnsi="Times New Roman"/>
          <w:sz w:val="18"/>
          <w:szCs w:val="18"/>
          <w:color w:val="auto"/>
        </w:rPr>
        <w:t>”) acknowledge their Data security and privacy responsibilities under Flow’s policies.</w:t>
      </w:r>
    </w:p>
    <w:p>
      <w:pPr>
        <w:spacing w:after="0" w:line="2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 Controls</w:t>
      </w:r>
      <w:r>
        <w:rPr>
          <w:rFonts w:ascii="Times New Roman" w:cs="Times New Roman" w:eastAsia="Times New Roman" w:hAnsi="Times New Roman"/>
          <w:sz w:val="18"/>
          <w:szCs w:val="18"/>
          <w:color w:val="auto"/>
        </w:rPr>
        <w:t>. For Workers who Process Personal Data, Flow: (i) implements pre-employment background checks and screening;</w:t>
      </w:r>
    </w:p>
    <w:p>
      <w:pPr>
        <w:spacing w:after="0" w:line="27" w:lineRule="exact"/>
        <w:rPr>
          <w:rFonts w:ascii="Times New Roman" w:cs="Times New Roman" w:eastAsia="Times New Roman" w:hAnsi="Times New Roman"/>
          <w:sz w:val="18"/>
          <w:szCs w:val="18"/>
          <w:color w:val="auto"/>
        </w:rPr>
      </w:pPr>
    </w:p>
    <w:p>
      <w:pPr>
        <w:ind w:left="1300" w:right="20" w:firstLine="4"/>
        <w:spacing w:after="0" w:line="255" w:lineRule="auto"/>
        <w:tabs>
          <w:tab w:leader="none" w:pos="1565"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security and privacy training; (iii) implements disciplinary processes for violations of Data security or privacy requirements; and (iv) upon termination or applicable role change, promptly removes or updates Worker access rights and requires the return or destruction of Personal Data.</w:t>
      </w:r>
    </w:p>
    <w:p>
      <w:pPr>
        <w:spacing w:after="0" w:line="240"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Network and Operations Management</w:t>
      </w:r>
    </w:p>
    <w:p>
      <w:pPr>
        <w:spacing w:after="0" w:line="286" w:lineRule="exact"/>
        <w:rPr>
          <w:rFonts w:ascii="Times New Roman" w:cs="Times New Roman" w:eastAsia="Times New Roman" w:hAnsi="Times New Roman"/>
          <w:sz w:val="22"/>
          <w:szCs w:val="22"/>
          <w:b w:val="1"/>
          <w:bCs w:val="1"/>
          <w:color w:val="auto"/>
        </w:rPr>
      </w:pPr>
    </w:p>
    <w:p>
      <w:pPr>
        <w:ind w:left="1300" w:hanging="644"/>
        <w:spacing w:after="0" w:line="261"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Flow implements policies and procedures for network and operations management. Such policies and procedures address: hardening, change control, segregation of duties, separation of development and production environments, technical architecture management, network security, virus protection, media controls, protection of Data in transit, Data integrity, encryption, audit logs, and network segregation.</w:t>
      </w:r>
    </w:p>
    <w:p>
      <w:pPr>
        <w:spacing w:after="0" w:line="233"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Vulnerability Assessments</w:t>
      </w:r>
      <w:r>
        <w:rPr>
          <w:rFonts w:ascii="Times New Roman" w:cs="Times New Roman" w:eastAsia="Times New Roman" w:hAnsi="Times New Roman"/>
          <w:sz w:val="18"/>
          <w:szCs w:val="18"/>
          <w:color w:val="auto"/>
        </w:rPr>
        <w:t>. Flow performs periodic vulnerability assessments and network penetration testing on systems and applications that process Personal Data.</w:t>
      </w:r>
    </w:p>
    <w:p>
      <w:pPr>
        <w:spacing w:after="0" w:line="21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Access Control</w:t>
      </w:r>
    </w:p>
    <w:p>
      <w:pPr>
        <w:spacing w:after="0" w:line="28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Control</w:t>
      </w:r>
      <w:r>
        <w:rPr>
          <w:rFonts w:ascii="Times New Roman" w:cs="Times New Roman" w:eastAsia="Times New Roman" w:hAnsi="Times New Roman"/>
          <w:sz w:val="18"/>
          <w:szCs w:val="18"/>
          <w:color w:val="auto"/>
        </w:rPr>
        <w:t>. Flow implements access controls designed to maintain the confidentiality of Personal Data. Such controls include:</w:t>
      </w:r>
    </w:p>
    <w:p>
      <w:pPr>
        <w:spacing w:after="0" w:line="27" w:lineRule="exact"/>
        <w:rPr>
          <w:rFonts w:ascii="Times New Roman" w:cs="Times New Roman" w:eastAsia="Times New Roman" w:hAnsi="Times New Roman"/>
          <w:sz w:val="18"/>
          <w:szCs w:val="18"/>
          <w:color w:val="auto"/>
        </w:rPr>
      </w:pPr>
    </w:p>
    <w:p>
      <w:pPr>
        <w:jc w:val="both"/>
        <w:ind w:left="1300" w:right="520" w:firstLine="4"/>
        <w:spacing w:after="0" w:line="255" w:lineRule="auto"/>
        <w:tabs>
          <w:tab w:leader="none" w:pos="1515"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processes for physical, privileged, and logical access to facilities, systems, networks, wireless networks, operating systems, mobile devices, system utilities, and other locations containing Personal Data; and (ii) granting access only if it is logged, strictly controlled, and needed for a Worker or third party to perform their job function.</w:t>
      </w:r>
    </w:p>
    <w:p>
      <w:pPr>
        <w:spacing w:after="0" w:line="239"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Flow authenticates each Worker’s identity through appropriate authentication credentials such as strong passwords, token devices, or biometrics.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29" w:name="page230"/>
    <w:bookmarkEnd w:id="229"/>
    <w:p>
      <w:pPr>
        <w:ind w:left="712" w:hanging="712"/>
        <w:spacing w:after="0"/>
        <w:tabs>
          <w:tab w:leader="none" w:pos="712"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Security Incident Management and Notification.</w:t>
      </w:r>
    </w:p>
    <w:p>
      <w:pPr>
        <w:spacing w:after="0" w:line="286" w:lineRule="exact"/>
        <w:rPr>
          <w:rFonts w:ascii="Times New Roman" w:cs="Times New Roman" w:eastAsia="Times New Roman" w:hAnsi="Times New Roman"/>
          <w:sz w:val="22"/>
          <w:szCs w:val="22"/>
          <w:b w:val="1"/>
          <w:bCs w:val="1"/>
          <w:color w:val="auto"/>
        </w:rPr>
      </w:pPr>
    </w:p>
    <w:p>
      <w:pPr>
        <w:ind w:left="1292" w:hanging="644"/>
        <w:spacing w:after="0" w:line="266" w:lineRule="auto"/>
        <w:tabs>
          <w:tab w:leader="none" w:pos="129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Incident Management Program</w:t>
      </w:r>
      <w:r>
        <w:rPr>
          <w:rFonts w:ascii="Times New Roman" w:cs="Times New Roman" w:eastAsia="Times New Roman" w:hAnsi="Times New Roman"/>
          <w:sz w:val="18"/>
          <w:szCs w:val="18"/>
          <w:color w:val="auto"/>
        </w:rPr>
        <w:t>. Flow implements a Data security incident management program, compliant with Law, that addresses management of Data security incidents including a loss, theft, misuse, unauthorized access, disclosure, or acquisition, destruction or other compromise of Personal Data (“</w:t>
      </w:r>
      <w:r>
        <w:rPr>
          <w:rFonts w:ascii="Times New Roman" w:cs="Times New Roman" w:eastAsia="Times New Roman" w:hAnsi="Times New Roman"/>
          <w:sz w:val="18"/>
          <w:szCs w:val="18"/>
          <w:b w:val="1"/>
          <w:bCs w:val="1"/>
          <w:color w:val="auto"/>
        </w:rPr>
        <w:t>Data Security Incident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Incident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right="60" w:hanging="644"/>
        <w:spacing w:after="0" w:line="266" w:lineRule="auto"/>
        <w:tabs>
          <w:tab w:leader="none" w:pos="129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Incident Notification</w:t>
      </w:r>
      <w:r>
        <w:rPr>
          <w:rFonts w:ascii="Times New Roman" w:cs="Times New Roman" w:eastAsia="Times New Roman" w:hAnsi="Times New Roman"/>
          <w:sz w:val="18"/>
          <w:szCs w:val="18"/>
          <w:color w:val="auto"/>
        </w:rPr>
        <w:t>. Except to the extent necessary to comply with applicable legal, regulatory or law enforcement requirements, Flow must inform Shopify without unreasonable delay, but in no event more than [***], after it confirms an Incident has occurred in its systems which affects Merchant Customer Personal Data.</w:t>
      </w:r>
    </w:p>
    <w:p>
      <w:pPr>
        <w:spacing w:after="0" w:line="229" w:lineRule="exact"/>
        <w:rPr>
          <w:rFonts w:ascii="Times New Roman" w:cs="Times New Roman" w:eastAsia="Times New Roman" w:hAnsi="Times New Roman"/>
          <w:sz w:val="18"/>
          <w:szCs w:val="18"/>
          <w:color w:val="auto"/>
        </w:rPr>
      </w:pPr>
    </w:p>
    <w:p>
      <w:pPr>
        <w:ind w:left="1292" w:right="140" w:hanging="644"/>
        <w:spacing w:after="0" w:line="266" w:lineRule="auto"/>
        <w:tabs>
          <w:tab w:leader="none" w:pos="129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Flow will partner with Shopify to respond to incidents confirmed to impact Merchant Customer Personal Data. Response may include: identifying key partners, investigating the Incident, providing regular updates, and determining notice obligations. Except as may be required by Law, Flow may not notify Shopify’s affected customers about an Incident without first consulting Shopify.</w:t>
      </w:r>
    </w:p>
    <w:p>
      <w:pPr>
        <w:spacing w:after="0" w:line="230" w:lineRule="exact"/>
        <w:rPr>
          <w:sz w:val="20"/>
          <w:szCs w:val="20"/>
          <w:color w:val="auto"/>
        </w:rPr>
      </w:pPr>
    </w:p>
    <w:p>
      <w:pPr>
        <w:ind w:left="652" w:right="320" w:hanging="4"/>
        <w:spacing w:after="0" w:line="266" w:lineRule="auto"/>
        <w:tabs>
          <w:tab w:leader="none" w:pos="1354"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Security Questionnaire. </w:t>
      </w:r>
      <w:r>
        <w:rPr>
          <w:rFonts w:ascii="Times New Roman" w:cs="Times New Roman" w:eastAsia="Times New Roman" w:hAnsi="Times New Roman"/>
          <w:sz w:val="22"/>
          <w:szCs w:val="22"/>
          <w:color w:val="auto"/>
        </w:rPr>
        <w:t>Upon written request, and no more frequently than annually, Flow will complete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Data security questionnaire of reasonable scope and duration regarding Flow’s business practices and Data technology environment in relation to the processing of customer Data. Flow’s responses to the security questionnaire will be Flow Confidential Information.</w:t>
      </w:r>
    </w:p>
    <w:p>
      <w:pPr>
        <w:spacing w:after="0" w:line="228" w:lineRule="exact"/>
        <w:rPr>
          <w:rFonts w:ascii="Times New Roman" w:cs="Times New Roman" w:eastAsia="Times New Roman" w:hAnsi="Times New Roman"/>
          <w:sz w:val="22"/>
          <w:szCs w:val="22"/>
          <w:b w:val="1"/>
          <w:bCs w:val="1"/>
          <w:color w:val="auto"/>
        </w:rPr>
      </w:pPr>
    </w:p>
    <w:p>
      <w:pPr>
        <w:ind w:left="652" w:right="60" w:hanging="4"/>
        <w:spacing w:after="0" w:line="266" w:lineRule="auto"/>
        <w:tabs>
          <w:tab w:leader="none" w:pos="1354"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PCI Compliance</w:t>
      </w:r>
      <w:r>
        <w:rPr>
          <w:rFonts w:ascii="Times New Roman" w:cs="Times New Roman" w:eastAsia="Times New Roman" w:hAnsi="Times New Roman"/>
          <w:sz w:val="22"/>
          <w:szCs w:val="22"/>
          <w:color w:val="auto"/>
        </w:rPr>
        <w:t>. The Services will at all times be provided in a manner consistent with the highest certification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level (PCI Level 1) provided by PCI-DSS. Flow’s certification will be confirmed annually by a qualified security assessor (QSA). Flow will promptly provide access to documentation evidencing its compliance with PCI-DSS upon request.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92" w:right="359" w:bottom="1440" w:gutter="0" w:footer="0" w:header="0"/>
        </w:sectPr>
      </w:pPr>
    </w:p>
    <w:bookmarkStart w:id="230" w:name="page231"/>
    <w:bookmarkEnd w:id="230"/>
    <w:tbl>
      <w:tblPr>
        <w:tblLayout w:type="fixed"/>
        <w:tblInd w:w="10" w:type="dxa"/>
        <w:tblCellMar>
          <w:top w:w="0" w:type="dxa"/>
          <w:left w:w="0" w:type="dxa"/>
          <w:bottom w:w="0" w:type="dxa"/>
          <w:right w:w="0" w:type="dxa"/>
        </w:tblCellMar>
      </w:tblPr>
      <w:tr>
        <w:trPr>
          <w:trHeight w:val="286"/>
        </w:trPr>
        <w:tc>
          <w:tcPr>
            <w:tcW w:w="11260" w:type="dxa"/>
            <w:vAlign w:val="bottom"/>
            <w:gridSpan w:val="2"/>
          </w:tcPr>
          <w:p>
            <w:pPr>
              <w:ind w:left="5400"/>
              <w:spacing w:after="0"/>
              <w:rPr>
                <w:sz w:val="20"/>
                <w:szCs w:val="20"/>
                <w:color w:val="auto"/>
              </w:rPr>
            </w:pPr>
            <w:r>
              <w:rPr>
                <w:rFonts w:ascii="Times New Roman" w:cs="Times New Roman" w:eastAsia="Times New Roman" w:hAnsi="Times New Roman"/>
                <w:sz w:val="22"/>
                <w:szCs w:val="22"/>
                <w:b w:val="1"/>
                <w:bCs w:val="1"/>
                <w:color w:val="auto"/>
              </w:rPr>
              <w:t>EXHIBIT F</w:t>
            </w:r>
          </w:p>
        </w:tc>
        <w:tc>
          <w:tcPr>
            <w:tcW w:w="0" w:type="dxa"/>
            <w:vAlign w:val="bottom"/>
          </w:tcPr>
          <w:p>
            <w:pPr>
              <w:spacing w:after="0"/>
              <w:rPr>
                <w:sz w:val="1"/>
                <w:szCs w:val="1"/>
                <w:color w:val="auto"/>
              </w:rPr>
            </w:pPr>
          </w:p>
        </w:tc>
      </w:tr>
      <w:tr>
        <w:trPr>
          <w:trHeight w:val="540"/>
        </w:trPr>
        <w:tc>
          <w:tcPr>
            <w:tcW w:w="11260" w:type="dxa"/>
            <w:vAlign w:val="bottom"/>
            <w:gridSpan w:val="2"/>
          </w:tcPr>
          <w:p>
            <w:pPr>
              <w:ind w:left="5300"/>
              <w:spacing w:after="0"/>
              <w:rPr>
                <w:sz w:val="20"/>
                <w:szCs w:val="20"/>
                <w:color w:val="auto"/>
              </w:rPr>
            </w:pPr>
            <w:r>
              <w:rPr>
                <w:rFonts w:ascii="Times New Roman" w:cs="Times New Roman" w:eastAsia="Times New Roman" w:hAnsi="Times New Roman"/>
                <w:sz w:val="22"/>
                <w:szCs w:val="22"/>
                <w:b w:val="1"/>
                <w:bCs w:val="1"/>
                <w:color w:val="auto"/>
              </w:rPr>
              <w:t>INSURANCE</w:t>
            </w:r>
          </w:p>
        </w:tc>
        <w:tc>
          <w:tcPr>
            <w:tcW w:w="0" w:type="dxa"/>
            <w:vAlign w:val="bottom"/>
          </w:tcPr>
          <w:p>
            <w:pPr>
              <w:spacing w:after="0"/>
              <w:rPr>
                <w:sz w:val="1"/>
                <w:szCs w:val="1"/>
                <w:color w:val="auto"/>
              </w:rPr>
            </w:pPr>
          </w:p>
        </w:tc>
      </w:tr>
      <w:tr>
        <w:trPr>
          <w:trHeight w:val="278"/>
        </w:trPr>
        <w:tc>
          <w:tcPr>
            <w:tcW w:w="5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Insurance Coverage</w:t>
            </w:r>
          </w:p>
        </w:tc>
        <w:tc>
          <w:tcPr>
            <w:tcW w:w="560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Policy Limits</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Workers' Compensation, including the following coverage:</w:t>
            </w:r>
          </w:p>
        </w:tc>
        <w:tc>
          <w:tcPr>
            <w:tcW w:w="56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Statutory limits</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Employer’s Liability, including the following coverage:</w:t>
            </w:r>
          </w:p>
        </w:tc>
        <w:tc>
          <w:tcPr>
            <w:tcW w:w="56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 accordance with Law, but not less than USD [***] per occurrence</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Commercial General Liability including Contractual Liability</w:t>
            </w:r>
          </w:p>
        </w:tc>
        <w:tc>
          <w:tcPr>
            <w:tcW w:w="56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At least USD [***] per occurrence and an aggregate limit of USD [***]</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Professional Liability/Technology Errors and Omissions insurance,</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including coverage for professional services, network security, privacy</w:t>
            </w:r>
          </w:p>
        </w:tc>
        <w:tc>
          <w:tcPr>
            <w:tcW w:w="56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An aggregate limit of at least USD [***]</w:t>
            </w:r>
          </w:p>
        </w:tc>
        <w:tc>
          <w:tcPr>
            <w:tcW w:w="0" w:type="dxa"/>
            <w:vAlign w:val="bottom"/>
          </w:tcPr>
          <w:p>
            <w:pPr>
              <w:spacing w:after="0"/>
              <w:rPr>
                <w:sz w:val="1"/>
                <w:szCs w:val="1"/>
                <w:color w:val="auto"/>
              </w:rPr>
            </w:pPr>
          </w:p>
        </w:tc>
      </w:tr>
      <w:tr>
        <w:trPr>
          <w:trHeight w:val="126"/>
        </w:trPr>
        <w:tc>
          <w:tcPr>
            <w:tcW w:w="5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liability, Data recovery &amp; business interruption, regulatory defense &amp;</w:t>
            </w:r>
          </w:p>
        </w:tc>
        <w:tc>
          <w:tcPr>
            <w:tcW w:w="5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66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penalties</w:t>
            </w:r>
          </w:p>
        </w:tc>
        <w:tc>
          <w:tcPr>
            <w:tcW w:w="5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Commercial Crime Insurance, including Employee Dishonesty and Theft</w:t>
            </w:r>
          </w:p>
        </w:tc>
        <w:tc>
          <w:tcPr>
            <w:tcW w:w="56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 aggregate limit of at least USD [***]</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Cyber Risk Insurance</w:t>
            </w:r>
          </w:p>
        </w:tc>
        <w:tc>
          <w:tcPr>
            <w:tcW w:w="56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 aggregate limit of at least USD [***]</w:t>
            </w:r>
          </w:p>
        </w:tc>
        <w:tc>
          <w:tcPr>
            <w:tcW w:w="0" w:type="dxa"/>
            <w:vAlign w:val="bottom"/>
          </w:tcPr>
          <w:p>
            <w:pPr>
              <w:spacing w:after="0"/>
              <w:rPr>
                <w:sz w:val="1"/>
                <w:szCs w:val="1"/>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Flow Service Level Agreement</w:t>
      </w:r>
    </w:p>
    <w:p>
      <w:pPr>
        <w:spacing w:after="0" w:line="283" w:lineRule="exact"/>
        <w:rPr>
          <w:sz w:val="20"/>
          <w:szCs w:val="20"/>
          <w:color w:val="auto"/>
        </w:rPr>
      </w:pPr>
    </w:p>
    <w:p>
      <w:pPr>
        <w:ind w:left="660" w:right="100" w:hanging="328"/>
        <w:spacing w:after="0" w:line="286"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API Success Rate SLA</w:t>
      </w:r>
      <w:r>
        <w:rPr>
          <w:rFonts w:ascii="Times New Roman" w:cs="Times New Roman" w:eastAsia="Times New Roman" w:hAnsi="Times New Roman"/>
          <w:sz w:val="18"/>
          <w:szCs w:val="18"/>
          <w:color w:val="auto"/>
        </w:rPr>
        <w:t>. Flow will provide Success Rate service levels over each one-month period during the Term of the Agreement. Flow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 “Success Rates” on a monthly calendar basis using the formula below.</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((Total Requests – Failed Requests + Excluded Requests) / Total Requests) x 100</w:t>
      </w:r>
    </w:p>
    <w:p>
      <w:pPr>
        <w:spacing w:after="0" w:line="283" w:lineRule="exact"/>
        <w:rPr>
          <w:sz w:val="20"/>
          <w:szCs w:val="20"/>
          <w:color w:val="auto"/>
        </w:rPr>
      </w:pPr>
    </w:p>
    <w:p>
      <w:pPr>
        <w:ind w:left="660" w:right="14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Failed Requests</w:t>
      </w:r>
      <w:r>
        <w:rPr>
          <w:rFonts w:ascii="Times New Roman" w:cs="Times New Roman" w:eastAsia="Times New Roman" w:hAnsi="Times New Roman"/>
          <w:sz w:val="22"/>
          <w:szCs w:val="22"/>
          <w:color w:val="auto"/>
        </w:rPr>
        <w:t>” means a Transaction where the response from Flow servers does not meet the Success Rate measures in Section 3 below.</w:t>
      </w:r>
    </w:p>
    <w:p>
      <w:pPr>
        <w:spacing w:after="0" w:line="205" w:lineRule="exact"/>
        <w:rPr>
          <w:sz w:val="20"/>
          <w:szCs w:val="20"/>
          <w:color w:val="auto"/>
        </w:rPr>
      </w:pPr>
    </w:p>
    <w:p>
      <w:pPr>
        <w:ind w:left="660" w:right="8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Requests</w:t>
      </w:r>
      <w:r>
        <w:rPr>
          <w:rFonts w:ascii="Times New Roman" w:cs="Times New Roman" w:eastAsia="Times New Roman" w:hAnsi="Times New Roman"/>
          <w:sz w:val="22"/>
          <w:szCs w:val="22"/>
          <w:color w:val="auto"/>
        </w:rPr>
        <w:t>” means a Failed Request caused by (a) a Force Majeure Event; (b) Scheduled Downtime; (c) general Internet interruptions (including Denial of Service attacks and other force majeure events); (d) Shopify’s, the Merchant’s or any third party’s website, software, hardware or other equipment; (e) Shopify’s or the Merchant’s failure to comply with its obligations; or (f) incorrect, incomplete or otherwise missing information provided by Shopify or the Merchant, the consumer or any other third party.</w:t>
      </w:r>
    </w:p>
    <w:p>
      <w:pPr>
        <w:spacing w:after="0" w:line="229" w:lineRule="exact"/>
        <w:rPr>
          <w:sz w:val="20"/>
          <w:szCs w:val="20"/>
          <w:color w:val="auto"/>
        </w:rPr>
      </w:pPr>
    </w:p>
    <w:p>
      <w:pPr>
        <w:ind w:left="660" w:right="2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Requests</w:t>
      </w:r>
      <w:r>
        <w:rPr>
          <w:rFonts w:ascii="Times New Roman" w:cs="Times New Roman" w:eastAsia="Times New Roman" w:hAnsi="Times New Roman"/>
          <w:sz w:val="22"/>
          <w:szCs w:val="22"/>
          <w:color w:val="auto"/>
        </w:rPr>
        <w:t>” means the aggregate of all sales order or sales quote Transactions that are 12 lines or fewer submitted by Shopify over a given time period.</w:t>
      </w:r>
    </w:p>
    <w:p>
      <w:pPr>
        <w:spacing w:after="0" w:line="201" w:lineRule="exact"/>
        <w:rPr>
          <w:sz w:val="20"/>
          <w:szCs w:val="20"/>
          <w:color w:val="auto"/>
        </w:rPr>
      </w:pPr>
    </w:p>
    <w:p>
      <w:pPr>
        <w:ind w:left="660" w:right="20" w:hanging="328"/>
        <w:spacing w:after="0" w:line="257"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Processing Capacity</w:t>
      </w:r>
      <w:r>
        <w:rPr>
          <w:rFonts w:ascii="Times New Roman" w:cs="Times New Roman" w:eastAsia="Times New Roman" w:hAnsi="Times New Roman"/>
          <w:sz w:val="18"/>
          <w:szCs w:val="18"/>
          <w:color w:val="auto"/>
        </w:rPr>
        <w:t>. If the volume of requests transmitted by Shopify to Flow exceeds the amount outlined in the Processing Capacity (as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table below), the API Success Rate and API Response Time SLAs are suspended until the transmitted volume is brought back below the Processing Capacity SLA and Flow, using its commercially reasonable efforts, has repaired any lingering malfunctions introduced to its systems by the high amount of traffic. The Processing Capacity SLA can be modified at any time by the Parties’ mutual agreement in writing. In that event, Flow shall maintain the Technical Service Levels SLAs for any new Processing Capacity requirements. Flow reserves the right to rate limit or otherwise throttle requests if the volume of requests transmitted by Shopify to Flow exceeds the amount outlined in the Processing Capacity.</w:t>
      </w:r>
    </w:p>
    <w:p>
      <w:pPr>
        <w:spacing w:after="0" w:line="23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Flow Technical Service Level – Flow payments service Success Rate, Flow tax &amp; duties estimator Success Rate and Response Time Service Level Agreement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tc>
        <w:tc>
          <w:tcPr>
            <w:tcW w:w="28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Measure</w:t>
            </w:r>
          </w:p>
        </w:tc>
        <w:tc>
          <w:tcPr>
            <w:tcW w:w="28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How it’s observed</w:t>
            </w:r>
          </w:p>
        </w:tc>
        <w:tc>
          <w:tcPr>
            <w:tcW w:w="2760" w:type="dxa"/>
            <w:vAlign w:val="bottom"/>
            <w:tcBorders>
              <w:top w:val="single" w:sz="8" w:color="auto"/>
              <w:right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b w:val="1"/>
                <w:bCs w:val="1"/>
                <w:i w:val="1"/>
                <w:iCs w:val="1"/>
                <w:color w:val="auto"/>
              </w:rPr>
              <w:t>SLA</w:t>
            </w: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23"/>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Flow Payments service</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API Success Rate</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Flow to monitor this metric on a</w:t>
            </w:r>
          </w:p>
        </w:tc>
        <w:tc>
          <w:tcPr>
            <w:tcW w:w="2760" w:type="dxa"/>
            <w:vAlign w:val="bottom"/>
            <w:tcBorders>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monthly basis and report upon</w:t>
            </w:r>
          </w:p>
        </w:tc>
        <w:tc>
          <w:tcPr>
            <w:tcW w:w="2760" w:type="dxa"/>
            <w:vAlign w:val="bottom"/>
            <w:tcBorders>
              <w:right w:val="single" w:sz="8" w:color="auto"/>
            </w:tcBorders>
          </w:tcPr>
          <w:p>
            <w:pPr>
              <w:spacing w:after="0"/>
              <w:rPr>
                <w:sz w:val="18"/>
                <w:szCs w:val="18"/>
                <w:color w:val="auto"/>
              </w:rPr>
            </w:pPr>
          </w:p>
        </w:tc>
      </w:tr>
      <w:tr>
        <w:trPr>
          <w:trHeight w:val="236"/>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 from Shopify.</w:t>
            </w:r>
          </w:p>
        </w:tc>
        <w:tc>
          <w:tcPr>
            <w:tcW w:w="276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23"/>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Flow Payments service</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Maximum Processing Capacity</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Flow to monitor and report on</w:t>
            </w:r>
          </w:p>
        </w:tc>
        <w:tc>
          <w:tcPr>
            <w:tcW w:w="2760" w:type="dxa"/>
            <w:vAlign w:val="bottom"/>
            <w:tcBorders>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(measured as API requests Per</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actuals upon request from Shopify.</w:t>
            </w:r>
          </w:p>
        </w:tc>
        <w:tc>
          <w:tcPr>
            <w:tcW w:w="2760" w:type="dxa"/>
            <w:vAlign w:val="bottom"/>
            <w:tcBorders>
              <w:right w:val="single" w:sz="8" w:color="auto"/>
            </w:tcBorders>
          </w:tcPr>
          <w:p>
            <w:pPr>
              <w:spacing w:after="0"/>
              <w:rPr>
                <w:sz w:val="18"/>
                <w:szCs w:val="18"/>
                <w:color w:val="auto"/>
              </w:rPr>
            </w:pPr>
          </w:p>
        </w:tc>
      </w:tr>
      <w:tr>
        <w:trPr>
          <w:trHeight w:val="236"/>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Minute)**</w:t>
            </w:r>
          </w:p>
        </w:tc>
        <w:tc>
          <w:tcPr>
            <w:tcW w:w="282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23"/>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Flow tax &amp; duties estimator</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API Success Rate</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Flow to monitor this metric on a</w:t>
            </w:r>
          </w:p>
        </w:tc>
        <w:tc>
          <w:tcPr>
            <w:tcW w:w="2760" w:type="dxa"/>
            <w:vAlign w:val="bottom"/>
            <w:tcBorders>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monthly basis and report upon</w:t>
            </w:r>
          </w:p>
        </w:tc>
        <w:tc>
          <w:tcPr>
            <w:tcW w:w="2760" w:type="dxa"/>
            <w:vAlign w:val="bottom"/>
            <w:tcBorders>
              <w:right w:val="single" w:sz="8" w:color="auto"/>
            </w:tcBorders>
          </w:tcPr>
          <w:p>
            <w:pPr>
              <w:spacing w:after="0"/>
              <w:rPr>
                <w:sz w:val="18"/>
                <w:szCs w:val="18"/>
                <w:color w:val="auto"/>
              </w:rPr>
            </w:pPr>
          </w:p>
        </w:tc>
      </w:tr>
      <w:tr>
        <w:trPr>
          <w:trHeight w:val="236"/>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 from Shopify.</w:t>
            </w:r>
          </w:p>
        </w:tc>
        <w:tc>
          <w:tcPr>
            <w:tcW w:w="276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23"/>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Flow tax &amp; duties estimator</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API Response Time</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Flow to monitor this metric on a</w:t>
            </w:r>
          </w:p>
        </w:tc>
        <w:tc>
          <w:tcPr>
            <w:tcW w:w="2760" w:type="dxa"/>
            <w:vAlign w:val="bottom"/>
            <w:tcBorders>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monthly basis and report upon</w:t>
            </w:r>
          </w:p>
        </w:tc>
        <w:tc>
          <w:tcPr>
            <w:tcW w:w="2760" w:type="dxa"/>
            <w:vAlign w:val="bottom"/>
            <w:tcBorders>
              <w:right w:val="single" w:sz="8" w:color="auto"/>
            </w:tcBorders>
          </w:tcPr>
          <w:p>
            <w:pPr>
              <w:spacing w:after="0"/>
              <w:rPr>
                <w:sz w:val="18"/>
                <w:szCs w:val="18"/>
                <w:color w:val="auto"/>
              </w:rPr>
            </w:pPr>
          </w:p>
        </w:tc>
      </w:tr>
      <w:tr>
        <w:trPr>
          <w:trHeight w:val="236"/>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 from Shopify.</w:t>
            </w:r>
          </w:p>
        </w:tc>
        <w:tc>
          <w:tcPr>
            <w:tcW w:w="276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23"/>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Flow tax &amp; duties estimator</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Maximum Processing Capacity</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Flow to monitor this metric on a</w:t>
            </w:r>
          </w:p>
        </w:tc>
        <w:tc>
          <w:tcPr>
            <w:tcW w:w="2760" w:type="dxa"/>
            <w:vAlign w:val="bottom"/>
            <w:tcBorders>
              <w:right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(measured as API requests Per</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monthly basis and report upon</w:t>
            </w:r>
          </w:p>
        </w:tc>
        <w:tc>
          <w:tcPr>
            <w:tcW w:w="2760" w:type="dxa"/>
            <w:vAlign w:val="bottom"/>
            <w:tcBorders>
              <w:right w:val="single" w:sz="8" w:color="auto"/>
            </w:tcBorders>
          </w:tcPr>
          <w:p>
            <w:pPr>
              <w:spacing w:after="0"/>
              <w:rPr>
                <w:sz w:val="18"/>
                <w:szCs w:val="18"/>
                <w:color w:val="auto"/>
              </w:rPr>
            </w:pPr>
          </w:p>
        </w:tc>
      </w:tr>
      <w:tr>
        <w:trPr>
          <w:trHeight w:val="236"/>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Minute)**</w:t>
            </w:r>
          </w:p>
        </w:tc>
        <w:tc>
          <w:tcPr>
            <w:tcW w:w="2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request from Shopify.</w:t>
            </w:r>
          </w:p>
        </w:tc>
        <w:tc>
          <w:tcPr>
            <w:tcW w:w="276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2" w:name="page233"/>
    <w:bookmarkEnd w:id="232"/>
    <w:p>
      <w:pPr>
        <w:ind w:left="660" w:right="60"/>
        <w:spacing w:after="0" w:line="309" w:lineRule="auto"/>
        <w:rPr>
          <w:sz w:val="20"/>
          <w:szCs w:val="20"/>
          <w:color w:val="auto"/>
        </w:rPr>
      </w:pPr>
      <w:r>
        <w:rPr>
          <w:rFonts w:ascii="Times New Roman" w:cs="Times New Roman" w:eastAsia="Times New Roman" w:hAnsi="Times New Roman"/>
          <w:sz w:val="21"/>
          <w:szCs w:val="21"/>
          <w:color w:val="auto"/>
        </w:rPr>
        <w:t>*API response time is measured on packet transit time within Flow’s systems from the last byte into the first byte out of Flow’s access routers. SLA does not apply if Flow and Shopify mutually agree to use a third party for a particular market.</w:t>
      </w:r>
    </w:p>
    <w:p>
      <w:pPr>
        <w:spacing w:after="0" w:line="188" w:lineRule="exact"/>
        <w:rPr>
          <w:sz w:val="20"/>
          <w:szCs w:val="20"/>
          <w:color w:val="auto"/>
        </w:rPr>
      </w:pPr>
    </w:p>
    <w:p>
      <w:pPr>
        <w:ind w:left="660" w:right="100"/>
        <w:spacing w:after="0" w:line="284" w:lineRule="auto"/>
        <w:rPr>
          <w:sz w:val="20"/>
          <w:szCs w:val="20"/>
          <w:color w:val="auto"/>
        </w:rPr>
      </w:pPr>
      <w:r>
        <w:rPr>
          <w:rFonts w:ascii="Times New Roman" w:cs="Times New Roman" w:eastAsia="Times New Roman" w:hAnsi="Times New Roman"/>
          <w:sz w:val="22"/>
          <w:szCs w:val="22"/>
          <w:color w:val="auto"/>
        </w:rPr>
        <w:t>**If Shopify requires or expects to require higher processing capacity, Shopify will notify Flow and the Parties will work together in good faith to develop solutions capable of handling the increased capacity required.</w:t>
      </w:r>
    </w:p>
    <w:p>
      <w:pPr>
        <w:spacing w:after="0" w:line="203" w:lineRule="exact"/>
        <w:rPr>
          <w:sz w:val="20"/>
          <w:szCs w:val="20"/>
          <w:color w:val="auto"/>
        </w:rPr>
      </w:pPr>
    </w:p>
    <w:p>
      <w:pPr>
        <w:ind w:left="660" w:hanging="328"/>
        <w:spacing w:after="0" w:line="286"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Flow Technical Service Level – Flow payments service Success Rate, Flow tax &amp; duties estimator Success Rate and Response Time Service Level Agreement</w:t>
      </w:r>
    </w:p>
    <w:p>
      <w:pPr>
        <w:spacing w:after="0" w:line="158" w:lineRule="exact"/>
        <w:rPr>
          <w:rFonts w:ascii="Times New Roman" w:cs="Times New Roman" w:eastAsia="Times New Roman" w:hAnsi="Times New Roman"/>
          <w:sz w:val="18"/>
          <w:szCs w:val="18"/>
          <w:color w:val="auto"/>
        </w:rPr>
      </w:pPr>
    </w:p>
    <w:p>
      <w:pPr>
        <w:ind w:left="66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Flow fails to provide the service levels set out below, Flow will provide to Shopify a credit equal to the percentage of the Flow Fees set out in the table below.</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6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Flow Payments/Tax &amp; Duties service</w:t>
            </w:r>
          </w:p>
        </w:tc>
        <w:tc>
          <w:tcPr>
            <w:tcW w:w="5580" w:type="dxa"/>
            <w:vAlign w:val="bottom"/>
            <w:tcBorders>
              <w:top w:val="single" w:sz="8" w:color="auto"/>
              <w:right w:val="single" w:sz="8" w:color="auto"/>
            </w:tcBorders>
          </w:tcPr>
          <w:p>
            <w:pPr>
              <w:jc w:val="right"/>
              <w:ind w:right="4870"/>
              <w:spacing w:after="0"/>
              <w:rPr>
                <w:sz w:val="20"/>
                <w:szCs w:val="20"/>
                <w:color w:val="auto"/>
              </w:rPr>
            </w:pPr>
            <w:r>
              <w:rPr>
                <w:rFonts w:ascii="Times New Roman" w:cs="Times New Roman" w:eastAsia="Times New Roman" w:hAnsi="Times New Roman"/>
                <w:sz w:val="18"/>
                <w:szCs w:val="18"/>
                <w:color w:val="auto"/>
              </w:rPr>
              <w:t>Credit</w:t>
            </w: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Success Rate [***]% and above</w:t>
            </w:r>
          </w:p>
        </w:tc>
        <w:tc>
          <w:tcPr>
            <w:tcW w:w="5580" w:type="dxa"/>
            <w:vAlign w:val="bottom"/>
            <w:tcBorders>
              <w:right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Response Time under [***] for more than [***]% API calls</w:t>
            </w:r>
          </w:p>
        </w:tc>
        <w:tc>
          <w:tcPr>
            <w:tcW w:w="5580" w:type="dxa"/>
            <w:vAlign w:val="bottom"/>
            <w:tcBorders>
              <w:right w:val="single" w:sz="8" w:color="auto"/>
            </w:tcBorders>
          </w:tcPr>
          <w:p>
            <w:pPr>
              <w:spacing w:after="0"/>
              <w:rPr>
                <w:sz w:val="20"/>
                <w:szCs w:val="20"/>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Success Rate [***]% up to [***] OR</w:t>
            </w:r>
          </w:p>
        </w:tc>
        <w:tc>
          <w:tcPr>
            <w:tcW w:w="5580" w:type="dxa"/>
            <w:vAlign w:val="bottom"/>
            <w:tcBorders>
              <w:right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Response Time under [***] for [***]% up to [***]% API calls</w:t>
            </w:r>
          </w:p>
        </w:tc>
        <w:tc>
          <w:tcPr>
            <w:tcW w:w="5580" w:type="dxa"/>
            <w:vAlign w:val="bottom"/>
            <w:tcBorders>
              <w:right w:val="single" w:sz="8" w:color="auto"/>
            </w:tcBorders>
          </w:tcPr>
          <w:p>
            <w:pPr>
              <w:spacing w:after="0"/>
              <w:rPr>
                <w:sz w:val="20"/>
                <w:szCs w:val="20"/>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Success Rate [***]% up to [***] OR</w:t>
            </w:r>
          </w:p>
        </w:tc>
        <w:tc>
          <w:tcPr>
            <w:tcW w:w="5580" w:type="dxa"/>
            <w:vAlign w:val="bottom"/>
            <w:tcBorders>
              <w:right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Response Time under [***] for [***]% up to [***]% API calls</w:t>
            </w:r>
          </w:p>
        </w:tc>
        <w:tc>
          <w:tcPr>
            <w:tcW w:w="5580" w:type="dxa"/>
            <w:vAlign w:val="bottom"/>
            <w:tcBorders>
              <w:right w:val="single" w:sz="8" w:color="auto"/>
            </w:tcBorders>
          </w:tcPr>
          <w:p>
            <w:pPr>
              <w:spacing w:after="0"/>
              <w:rPr>
                <w:sz w:val="20"/>
                <w:szCs w:val="20"/>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Success Rate [***]% up to [***] OR</w:t>
            </w:r>
          </w:p>
        </w:tc>
        <w:tc>
          <w:tcPr>
            <w:tcW w:w="5580" w:type="dxa"/>
            <w:vAlign w:val="bottom"/>
            <w:tcBorders>
              <w:right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Response Time under [***] for [***]% up to [***]% API calls</w:t>
            </w:r>
          </w:p>
        </w:tc>
        <w:tc>
          <w:tcPr>
            <w:tcW w:w="5580" w:type="dxa"/>
            <w:vAlign w:val="bottom"/>
            <w:tcBorders>
              <w:right w:val="single" w:sz="8" w:color="auto"/>
            </w:tcBorders>
          </w:tcPr>
          <w:p>
            <w:pPr>
              <w:spacing w:after="0"/>
              <w:rPr>
                <w:sz w:val="20"/>
                <w:szCs w:val="20"/>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5"/>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Success rate less than [***]% OR</w:t>
            </w:r>
          </w:p>
        </w:tc>
        <w:tc>
          <w:tcPr>
            <w:tcW w:w="5580" w:type="dxa"/>
            <w:vAlign w:val="bottom"/>
            <w:tcBorders>
              <w:right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56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Response time under [***] for less than [***]% API calls</w:t>
            </w:r>
          </w:p>
        </w:tc>
        <w:tc>
          <w:tcPr>
            <w:tcW w:w="5580" w:type="dxa"/>
            <w:vAlign w:val="bottom"/>
            <w:tcBorders>
              <w:right w:val="single" w:sz="8" w:color="auto"/>
            </w:tcBorders>
          </w:tcPr>
          <w:p>
            <w:pPr>
              <w:spacing w:after="0"/>
              <w:rPr>
                <w:sz w:val="20"/>
                <w:szCs w:val="20"/>
                <w:color w:val="auto"/>
              </w:rPr>
            </w:pPr>
          </w:p>
        </w:tc>
      </w:tr>
      <w:tr>
        <w:trPr>
          <w:trHeight w:val="3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3" w:name="page234"/>
    <w:bookmarkEnd w:id="233"/>
    <w:p>
      <w:pPr>
        <w:ind w:left="328" w:right="440" w:hanging="328"/>
        <w:spacing w:after="0" w:line="286" w:lineRule="auto"/>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 for Service Credits</w:t>
      </w:r>
      <w:r>
        <w:rPr>
          <w:rFonts w:ascii="Times New Roman" w:cs="Times New Roman" w:eastAsia="Times New Roman" w:hAnsi="Times New Roman"/>
          <w:sz w:val="18"/>
          <w:szCs w:val="18"/>
          <w:color w:val="auto"/>
        </w:rPr>
        <w:t>. Notwithstanding anything to the contrary in the Terms, upon the following occurrences, Shopify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for any Service Credits:</w:t>
      </w:r>
    </w:p>
    <w:p>
      <w:pPr>
        <w:spacing w:after="0" w:line="212" w:lineRule="exact"/>
        <w:rPr>
          <w:rFonts w:ascii="Times New Roman" w:cs="Times New Roman" w:eastAsia="Times New Roman" w:hAnsi="Times New Roman"/>
          <w:sz w:val="18"/>
          <w:szCs w:val="18"/>
          <w:color w:val="auto"/>
        </w:rPr>
      </w:pPr>
    </w:p>
    <w:p>
      <w:pPr>
        <w:ind w:left="428" w:hanging="334"/>
        <w:spacing w:after="0"/>
        <w:tabs>
          <w:tab w:leader="none" w:pos="42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inability to access any of the Services because Customer has entered its authorization credentials incorrectly;</w:t>
      </w:r>
    </w:p>
    <w:p>
      <w:pPr>
        <w:spacing w:after="0" w:line="279" w:lineRule="exact"/>
        <w:rPr>
          <w:rFonts w:ascii="Times New Roman" w:cs="Times New Roman" w:eastAsia="Times New Roman" w:hAnsi="Times New Roman"/>
          <w:sz w:val="18"/>
          <w:szCs w:val="18"/>
          <w:color w:val="auto"/>
        </w:rPr>
      </w:pPr>
    </w:p>
    <w:p>
      <w:pPr>
        <w:ind w:left="428" w:right="620" w:hanging="334"/>
        <w:spacing w:after="0" w:line="282" w:lineRule="auto"/>
        <w:tabs>
          <w:tab w:leader="none" w:pos="42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failure to use or access the Service in accordance with the then-current and applicable manual, guide or other documentation, including suspensions as set forth in the Terms (Service Suspension and Disputes); or</w:t>
      </w:r>
    </w:p>
    <w:p>
      <w:pPr>
        <w:spacing w:after="0" w:line="215" w:lineRule="exact"/>
        <w:rPr>
          <w:rFonts w:ascii="Times New Roman" w:cs="Times New Roman" w:eastAsia="Times New Roman" w:hAnsi="Times New Roman"/>
          <w:sz w:val="18"/>
          <w:szCs w:val="18"/>
          <w:color w:val="auto"/>
        </w:rPr>
      </w:pPr>
    </w:p>
    <w:p>
      <w:pPr>
        <w:ind w:left="428" w:hanging="334"/>
        <w:spacing w:after="0"/>
        <w:tabs>
          <w:tab w:leader="none" w:pos="42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Availability Percentage caused by any of the following:</w:t>
      </w:r>
    </w:p>
    <w:p>
      <w:pPr>
        <w:spacing w:after="0" w:line="279" w:lineRule="exact"/>
        <w:rPr>
          <w:rFonts w:ascii="Times New Roman" w:cs="Times New Roman" w:eastAsia="Times New Roman" w:hAnsi="Times New Roman"/>
          <w:sz w:val="18"/>
          <w:szCs w:val="18"/>
          <w:color w:val="auto"/>
        </w:rPr>
      </w:pPr>
    </w:p>
    <w:p>
      <w:pPr>
        <w:ind w:left="3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Customer’s failure to update any applicable connector, Extractor, or Customer or third-party software;</w:t>
      </w:r>
    </w:p>
    <w:p>
      <w:pPr>
        <w:spacing w:after="0" w:line="279" w:lineRule="exact"/>
        <w:rPr>
          <w:sz w:val="20"/>
          <w:szCs w:val="20"/>
          <w:color w:val="auto"/>
        </w:rPr>
      </w:pPr>
    </w:p>
    <w:p>
      <w:pPr>
        <w:ind w:left="748" w:right="240" w:hanging="424"/>
        <w:spacing w:after="0" w:line="282" w:lineRule="auto"/>
        <w:tabs>
          <w:tab w:leader="none" w:pos="7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outside of Flow’s control, including, for example, power outages, utility failures, or scheduled downtime by a Flow data center hosting subcontractor; or</w:t>
      </w:r>
    </w:p>
    <w:p>
      <w:pPr>
        <w:spacing w:after="0" w:line="215" w:lineRule="exact"/>
        <w:rPr>
          <w:rFonts w:ascii="Times New Roman" w:cs="Times New Roman" w:eastAsia="Times New Roman" w:hAnsi="Times New Roman"/>
          <w:sz w:val="18"/>
          <w:szCs w:val="18"/>
          <w:color w:val="auto"/>
        </w:rPr>
      </w:pPr>
    </w:p>
    <w:p>
      <w:pPr>
        <w:ind w:left="748" w:hanging="424"/>
        <w:spacing w:after="0" w:line="282" w:lineRule="auto"/>
        <w:tabs>
          <w:tab w:leader="none" w:pos="7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Customer’s software (other than Flow Technology), hardware, or Internet service provider, telecommunications carrier or other service provider that provides Customer services necessary to establish Customer’s access to the Service.*</w:t>
      </w:r>
    </w:p>
    <w:p>
      <w:pPr>
        <w:spacing w:after="0" w:line="220" w:lineRule="exact"/>
        <w:rPr>
          <w:sz w:val="20"/>
          <w:szCs w:val="20"/>
          <w:color w:val="auto"/>
        </w:rPr>
      </w:pPr>
    </w:p>
    <w:p>
      <w:pPr>
        <w:ind w:left="328" w:right="440"/>
        <w:spacing w:after="0" w:line="270" w:lineRule="auto"/>
        <w:rPr>
          <w:sz w:val="20"/>
          <w:szCs w:val="20"/>
          <w:color w:val="auto"/>
        </w:rPr>
      </w:pPr>
      <w:r>
        <w:rPr>
          <w:rFonts w:ascii="Times New Roman" w:cs="Times New Roman" w:eastAsia="Times New Roman" w:hAnsi="Times New Roman"/>
          <w:sz w:val="22"/>
          <w:szCs w:val="22"/>
          <w:color w:val="auto"/>
        </w:rPr>
        <w:t>Flow will provide Shopify with at least [***] days’ advance notice prior to introducing any Breaking Change to any applicable API. A “</w:t>
      </w:r>
      <w:r>
        <w:rPr>
          <w:rFonts w:ascii="Times New Roman" w:cs="Times New Roman" w:eastAsia="Times New Roman" w:hAnsi="Times New Roman"/>
          <w:sz w:val="22"/>
          <w:szCs w:val="22"/>
          <w:b w:val="1"/>
          <w:bCs w:val="1"/>
          <w:color w:val="auto"/>
        </w:rPr>
        <w:t>Breaking Change</w:t>
      </w:r>
      <w:r>
        <w:rPr>
          <w:rFonts w:ascii="Times New Roman" w:cs="Times New Roman" w:eastAsia="Times New Roman" w:hAnsi="Times New Roman"/>
          <w:sz w:val="22"/>
          <w:szCs w:val="22"/>
          <w:color w:val="auto"/>
        </w:rPr>
        <w:t>” is a change to an API that causes loss of existing functionality unless Shopify updates its implementation of the applicable API.</w:t>
      </w:r>
    </w:p>
    <w:p>
      <w:pPr>
        <w:spacing w:after="0" w:line="38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45085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87" w:right="339" w:bottom="1440" w:gutter="0" w:footer="0" w:header="0"/>
        </w:sectPr>
      </w:pPr>
    </w:p>
    <w:bookmarkStart w:id="234" w:name="page235"/>
    <w:bookmarkEnd w:id="234"/>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&amp; Duties Service Accuracy SLA</w:t>
      </w:r>
    </w:p>
    <w:p>
      <w:pPr>
        <w:spacing w:after="0" w:line="287" w:lineRule="exact"/>
        <w:rPr>
          <w:sz w:val="20"/>
          <w:szCs w:val="20"/>
          <w:color w:val="auto"/>
        </w:rPr>
      </w:pPr>
    </w:p>
    <w:p>
      <w:pPr>
        <w:ind w:left="660" w:right="280"/>
        <w:spacing w:after="0" w:line="270" w:lineRule="auto"/>
        <w:rPr>
          <w:sz w:val="20"/>
          <w:szCs w:val="20"/>
          <w:color w:val="auto"/>
        </w:rPr>
      </w:pPr>
      <w:r>
        <w:rPr>
          <w:rFonts w:ascii="Times New Roman" w:cs="Times New Roman" w:eastAsia="Times New Roman" w:hAnsi="Times New Roman"/>
          <w:sz w:val="22"/>
          <w:szCs w:val="22"/>
          <w:color w:val="auto"/>
        </w:rPr>
        <w:t>Flow service is expected to use accurate and up-to-date taxes and customs duties rates, de minimis thresholds and logic for all the supported jurisdictions in accordance with the terms of the Master Services Agreement between Flow and Shopify. When new (applicable) tax, duty rates and de minimis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42005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32320" cy="420052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Jurisdictions</w:t>
            </w:r>
          </w:p>
        </w:tc>
        <w:tc>
          <w:tcPr>
            <w:tcW w:w="4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Maximum delay from the later of new taxes,</w:t>
            </w:r>
          </w:p>
        </w:tc>
      </w:tr>
      <w:tr>
        <w:trPr>
          <w:trHeight w:val="216"/>
        </w:trPr>
        <w:tc>
          <w:tcPr>
            <w:tcW w:w="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duties or rates coming into force or the date</w:t>
            </w:r>
          </w:p>
        </w:tc>
      </w:tr>
      <w:tr>
        <w:trPr>
          <w:trHeight w:val="238"/>
        </w:trPr>
        <w:tc>
          <w:tcPr>
            <w:tcW w:w="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the taxing authority publishes the change</w:t>
            </w:r>
          </w:p>
        </w:tc>
      </w:tr>
      <w:tr>
        <w:trPr>
          <w:trHeight w:val="34"/>
        </w:trPr>
        <w:tc>
          <w:tcPr>
            <w:tcW w:w="7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Tier 1</w:t>
            </w:r>
          </w:p>
        </w:tc>
        <w:tc>
          <w:tcPr>
            <w:tcW w:w="2160" w:type="dxa"/>
            <w:vAlign w:val="bottom"/>
          </w:tcPr>
          <w:p>
            <w:pPr>
              <w:spacing w:after="0"/>
              <w:rPr>
                <w:sz w:val="19"/>
                <w:szCs w:val="19"/>
                <w:color w:val="auto"/>
              </w:rPr>
            </w:pP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Time elapsed between for standard tax or</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duty rate, de minimis or calculation logic is</w:t>
            </w: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published and when Flow updates its tax &amp;</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UK</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duties product service appropriately.</w:t>
            </w: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w:t>
            </w:r>
          </w:p>
        </w:tc>
        <w:tc>
          <w:tcPr>
            <w:tcW w:w="45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45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Norway</w:t>
            </w:r>
          </w:p>
        </w:tc>
        <w:tc>
          <w:tcPr>
            <w:tcW w:w="45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45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Zealand</w:t>
            </w:r>
          </w:p>
        </w:tc>
        <w:tc>
          <w:tcPr>
            <w:tcW w:w="45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34"/>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58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34"/>
        </w:trPr>
        <w:tc>
          <w:tcPr>
            <w:tcW w:w="7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Tier 2</w:t>
            </w:r>
          </w:p>
        </w:tc>
        <w:tc>
          <w:tcPr>
            <w:tcW w:w="2160" w:type="dxa"/>
            <w:vAlign w:val="bottom"/>
          </w:tcPr>
          <w:p>
            <w:pPr>
              <w:spacing w:after="0"/>
              <w:rPr>
                <w:sz w:val="19"/>
                <w:szCs w:val="19"/>
                <w:color w:val="auto"/>
              </w:rPr>
            </w:pPr>
          </w:p>
        </w:tc>
        <w:tc>
          <w:tcPr>
            <w:tcW w:w="4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Time elapsed between for standard tax or</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4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duty rate, de minimis or calculation logic is</w:t>
            </w:r>
          </w:p>
        </w:tc>
        <w:tc>
          <w:tcPr>
            <w:tcW w:w="3780" w:type="dxa"/>
            <w:vAlign w:val="bottom"/>
          </w:tcPr>
          <w:p>
            <w:pPr>
              <w:spacing w:after="0"/>
              <w:rPr>
                <w:sz w:val="18"/>
                <w:szCs w:val="18"/>
                <w:color w:val="auto"/>
              </w:rPr>
            </w:pPr>
          </w:p>
        </w:tc>
      </w:tr>
      <w:tr>
        <w:trPr>
          <w:trHeight w:val="216"/>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4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published and when Flow updates its tax &amp;</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duties product service appropriately.</w:t>
            </w:r>
          </w:p>
        </w:tc>
        <w:tc>
          <w:tcPr>
            <w:tcW w:w="3780" w:type="dxa"/>
            <w:vAlign w:val="bottom"/>
          </w:tcPr>
          <w:p>
            <w:pPr>
              <w:spacing w:after="0"/>
              <w:rPr>
                <w:sz w:val="20"/>
                <w:szCs w:val="20"/>
                <w:color w:val="auto"/>
              </w:rPr>
            </w:pPr>
          </w:p>
        </w:tc>
      </w:tr>
    </w:tbl>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Chile</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Malaysia</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w:t>
      </w:r>
    </w:p>
    <w:p>
      <w:pPr>
        <w:spacing w:after="0" w:line="9" w:lineRule="exact"/>
        <w:rPr>
          <w:rFonts w:ascii="Times New Roman" w:cs="Times New Roman" w:eastAsia="Times New Roman" w:hAnsi="Times New Roman"/>
          <w:sz w:val="18"/>
          <w:szCs w:val="18"/>
          <w:color w:val="auto"/>
        </w:rPr>
      </w:pPr>
    </w:p>
    <w:p>
      <w:pPr>
        <w:ind w:left="900" w:hanging="514"/>
        <w:spacing w:after="0"/>
        <w:tabs>
          <w:tab w:leader="none" w:pos="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Tier 3</w:t>
            </w:r>
          </w:p>
        </w:tc>
        <w:tc>
          <w:tcPr>
            <w:tcW w:w="43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Time elapsed between for standard tax or</w:t>
            </w:r>
          </w:p>
        </w:tc>
        <w:tc>
          <w:tcPr>
            <w:tcW w:w="3720" w:type="dxa"/>
            <w:vAlign w:val="bottom"/>
            <w:tcBorders>
              <w:top w:val="single" w:sz="8" w:color="auto"/>
              <w:right w:val="single" w:sz="8" w:color="auto"/>
            </w:tcBorders>
          </w:tcPr>
          <w:p>
            <w:pPr>
              <w:jc w:val="right"/>
              <w:ind w:right="3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supported jurisdictions</w:t>
            </w:r>
          </w:p>
        </w:tc>
        <w:tc>
          <w:tcPr>
            <w:tcW w:w="43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duty rate, de minimis or calculation logic is</w:t>
            </w:r>
          </w:p>
        </w:tc>
        <w:tc>
          <w:tcPr>
            <w:tcW w:w="3720" w:type="dxa"/>
            <w:vAlign w:val="bottom"/>
            <w:tcBorders>
              <w:right w:val="single" w:sz="8" w:color="auto"/>
            </w:tcBorders>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3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published and then Flow updates its tax &amp;</w:t>
            </w:r>
          </w:p>
        </w:tc>
        <w:tc>
          <w:tcPr>
            <w:tcW w:w="3720" w:type="dxa"/>
            <w:vAlign w:val="bottom"/>
            <w:tcBorders>
              <w:right w:val="single" w:sz="8" w:color="auto"/>
            </w:tcBorders>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43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duties product service appropriately.</w:t>
            </w:r>
          </w:p>
        </w:tc>
        <w:tc>
          <w:tcPr>
            <w:tcW w:w="3720" w:type="dxa"/>
            <w:vAlign w:val="bottom"/>
            <w:tcBorders>
              <w:right w:val="single" w:sz="8" w:color="auto"/>
            </w:tcBorders>
          </w:tcPr>
          <w:p>
            <w:pPr>
              <w:spacing w:after="0"/>
              <w:rPr>
                <w:sz w:val="20"/>
                <w:szCs w:val="20"/>
                <w:color w:val="auto"/>
              </w:rPr>
            </w:pPr>
          </w:p>
        </w:tc>
      </w:tr>
      <w:tr>
        <w:trPr>
          <w:trHeight w:val="30"/>
        </w:trPr>
        <w:tc>
          <w:tcPr>
            <w:tcW w:w="3140" w:type="dxa"/>
            <w:vAlign w:val="bottom"/>
          </w:tcPr>
          <w:p>
            <w:pPr>
              <w:spacing w:after="0"/>
              <w:rPr>
                <w:sz w:val="2"/>
                <w:szCs w:val="2"/>
                <w:color w:val="auto"/>
              </w:rPr>
            </w:pPr>
          </w:p>
        </w:tc>
        <w:tc>
          <w:tcPr>
            <w:tcW w:w="4380" w:type="dxa"/>
            <w:vAlign w:val="bottom"/>
            <w:tcBorders>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35" w:name="page236"/>
    <w:bookmarkEnd w:id="235"/>
    <w:p>
      <w:pPr>
        <w:ind w:left="660" w:right="600"/>
        <w:spacing w:after="0" w:line="284" w:lineRule="auto"/>
        <w:rPr>
          <w:sz w:val="20"/>
          <w:szCs w:val="20"/>
          <w:color w:val="auto"/>
        </w:rPr>
      </w:pPr>
      <w:r>
        <w:rPr>
          <w:rFonts w:ascii="Times New Roman" w:cs="Times New Roman" w:eastAsia="Times New Roman" w:hAnsi="Times New Roman"/>
          <w:sz w:val="22"/>
          <w:szCs w:val="22"/>
          <w:color w:val="auto"/>
        </w:rPr>
        <w:t>thresholds or calculation logic is published by a tax/customs authority, Flow is expected to reflect the changes in its service within the following timeline:</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USA taxes may be provided by Flow, if mutually agreed by the parties, via a third-party provider.</w:t>
      </w:r>
    </w:p>
    <w:p>
      <w:pPr>
        <w:spacing w:after="0" w:line="287" w:lineRule="exact"/>
        <w:rPr>
          <w:sz w:val="20"/>
          <w:szCs w:val="20"/>
          <w:color w:val="auto"/>
        </w:rPr>
      </w:pPr>
    </w:p>
    <w:p>
      <w:pPr>
        <w:jc w:val="both"/>
        <w:ind w:left="1300"/>
        <w:spacing w:after="0" w:line="260" w:lineRule="auto"/>
        <w:rPr>
          <w:sz w:val="20"/>
          <w:szCs w:val="20"/>
          <w:color w:val="auto"/>
        </w:rPr>
      </w:pPr>
      <w:r>
        <w:rPr>
          <w:rFonts w:ascii="Times New Roman" w:cs="Times New Roman" w:eastAsia="Times New Roman" w:hAnsi="Times New Roman"/>
          <w:sz w:val="22"/>
          <w:szCs w:val="22"/>
          <w:color w:val="auto"/>
        </w:rPr>
        <w:t>If Customer Shopify reasonably believes Flow Duties Estimator is not accurate within the time frames promised herein, Customer Shopify shall notify Flow promptly and provide full and timely assistance to Flow in confirming the nature and occurrence of the alleged error, including, to the extent necessary to verify the alleged error, providing Flow with access to its relevant financial reporting records, transaction logs, reports, and all other relevant information reasonably related to the alleged error. Flow will not be responsible for incorrect rates to the extent that it was caused by the failure of the applicable taxing authority to timely and accurately provide or update correct and current tax rates, boundaries, rules, and classifications.</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Flow fails to update the rates within the above time frame for [***], that is an unmet Service Accuracy SLA.</w:t>
      </w:r>
    </w:p>
    <w:p>
      <w:pPr>
        <w:spacing w:after="0" w:line="279"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Incident Response</w:t>
      </w:r>
    </w:p>
    <w:p>
      <w:pPr>
        <w:spacing w:after="0" w:line="287" w:lineRule="exact"/>
        <w:rPr>
          <w:sz w:val="20"/>
          <w:szCs w:val="20"/>
          <w:color w:val="auto"/>
        </w:rPr>
      </w:pPr>
    </w:p>
    <w:p>
      <w:pPr>
        <w:ind w:left="660" w:right="200"/>
        <w:spacing w:after="0" w:line="260" w:lineRule="auto"/>
        <w:rPr>
          <w:sz w:val="20"/>
          <w:szCs w:val="20"/>
          <w:color w:val="auto"/>
        </w:rPr>
      </w:pPr>
      <w:r>
        <w:rPr>
          <w:rFonts w:ascii="Times New Roman" w:cs="Times New Roman" w:eastAsia="Times New Roman" w:hAnsi="Times New Roman"/>
          <w:sz w:val="22"/>
          <w:szCs w:val="22"/>
          <w:color w:val="auto"/>
        </w:rPr>
        <w:t>Flow and Shopify agree to provide a post mortem report within [***] Business Days of the resolution of any material outage outlining a summary of the incident, impact, and key learnings to prevent recurrence (“</w:t>
      </w:r>
      <w:r>
        <w:rPr>
          <w:rFonts w:ascii="Times New Roman" w:cs="Times New Roman" w:eastAsia="Times New Roman" w:hAnsi="Times New Roman"/>
          <w:sz w:val="22"/>
          <w:szCs w:val="22"/>
          <w:b w:val="1"/>
          <w:bCs w:val="1"/>
          <w:i w:val="1"/>
          <w:iCs w:val="1"/>
          <w:color w:val="auto"/>
        </w:rPr>
        <w:t>Post Mortem Report</w:t>
      </w:r>
      <w:r>
        <w:rPr>
          <w:rFonts w:ascii="Times New Roman" w:cs="Times New Roman" w:eastAsia="Times New Roman" w:hAnsi="Times New Roman"/>
          <w:sz w:val="22"/>
          <w:szCs w:val="22"/>
          <w:color w:val="auto"/>
        </w:rPr>
        <w:t>” or Root Cause Analysis). Because Post Mortem Reports are considered highly confidential and may include material non-public information Flow may require a Post Mortem Reports non-disclosure Agreement (“</w:t>
      </w:r>
      <w:r>
        <w:rPr>
          <w:rFonts w:ascii="Times New Roman" w:cs="Times New Roman" w:eastAsia="Times New Roman" w:hAnsi="Times New Roman"/>
          <w:sz w:val="22"/>
          <w:szCs w:val="22"/>
          <w:b w:val="1"/>
          <w:bCs w:val="1"/>
          <w:i w:val="1"/>
          <w:iCs w:val="1"/>
          <w:color w:val="auto"/>
        </w:rPr>
        <w:t>Post Mortem NDA</w:t>
      </w:r>
      <w:r>
        <w:rPr>
          <w:rFonts w:ascii="Times New Roman" w:cs="Times New Roman" w:eastAsia="Times New Roman" w:hAnsi="Times New Roman"/>
          <w:sz w:val="22"/>
          <w:szCs w:val="22"/>
          <w:color w:val="auto"/>
        </w:rPr>
        <w:t>”) prior to providing Post Mortem Reports. Neither party is obligated to provide a Post Mortem Report without a signed Post Mortem NDA nor include in a Post Mortem Report details that could compromise the integrity or security of the service or include confidential information of third parties such as other Flow customers.</w:t>
      </w:r>
    </w:p>
    <w:p>
      <w:pPr>
        <w:spacing w:after="0" w:line="233" w:lineRule="exact"/>
        <w:rPr>
          <w:sz w:val="20"/>
          <w:szCs w:val="20"/>
          <w:color w:val="auto"/>
        </w:rPr>
      </w:pPr>
    </w:p>
    <w:p>
      <w:pPr>
        <w:ind w:left="660" w:hanging="328"/>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Mutual Technical Support Obligations for Shopify and Flow</w:t>
      </w:r>
    </w:p>
    <w:p>
      <w:pPr>
        <w:spacing w:after="0" w:line="287" w:lineRule="exact"/>
        <w:rPr>
          <w:sz w:val="20"/>
          <w:szCs w:val="20"/>
          <w:color w:val="auto"/>
        </w:rPr>
      </w:pPr>
    </w:p>
    <w:p>
      <w:pPr>
        <w:ind w:left="660" w:right="60"/>
        <w:spacing w:after="0" w:line="265" w:lineRule="auto"/>
        <w:rPr>
          <w:sz w:val="20"/>
          <w:szCs w:val="20"/>
          <w:color w:val="auto"/>
        </w:rPr>
      </w:pPr>
      <w:r>
        <w:rPr>
          <w:rFonts w:ascii="Times New Roman" w:cs="Times New Roman" w:eastAsia="Times New Roman" w:hAnsi="Times New Roman"/>
          <w:sz w:val="22"/>
          <w:szCs w:val="22"/>
          <w:color w:val="auto"/>
        </w:rPr>
        <w:t>Flow will provide support to Shopify, and Shopify will provide support to Flow to answer questions about the service and the integration, report errors, or otherwise request support or assistance with respect to the service or integration. Flow and Shopify will maintain a sufficient number of company support contacts to ensure timely responses to inbound requests from each other per the following issue types: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Severity Level</w:t>
            </w:r>
          </w:p>
        </w:tc>
        <w:tc>
          <w:tcPr>
            <w:tcW w:w="28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Description</w:t>
            </w:r>
          </w:p>
        </w:tc>
        <w:tc>
          <w:tcPr>
            <w:tcW w:w="28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Acknowledgement</w:t>
            </w:r>
          </w:p>
        </w:tc>
        <w:tc>
          <w:tcPr>
            <w:tcW w:w="28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Channel</w:t>
            </w: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5"/>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P0</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Critical Error Report – the Service</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24/7 ‘Emergency’ email</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 inoperable and is severely</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address and real- time chat</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impacting normal business</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channel</w:t>
            </w: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5"/>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P1</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Major Error Report - the Service is</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24/7 ‘Emergency’ email address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impaired and is severely impacting</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real- time chat channel</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normal business or development</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5"/>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P2</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Minor Error Report - the Service is</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Partner Support email address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immaterially adversely affected by</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Error</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5"/>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Question</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Questions about the service or the</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Real-time chat channel and Partner</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integration that are not errors.</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Support email address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Question and explanation /</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verification of landed cost</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calculation?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ind w:left="660" w:right="180"/>
        <w:spacing w:after="0" w:line="284" w:lineRule="auto"/>
        <w:rPr>
          <w:sz w:val="20"/>
          <w:szCs w:val="20"/>
          <w:color w:val="auto"/>
        </w:rPr>
      </w:pPr>
      <w:r>
        <w:rPr>
          <w:rFonts w:ascii="Times New Roman" w:cs="Times New Roman" w:eastAsia="Times New Roman" w:hAnsi="Times New Roman"/>
          <w:sz w:val="22"/>
          <w:szCs w:val="22"/>
          <w:color w:val="auto"/>
        </w:rPr>
        <w:t>All inquiries must be submitted via Flow's ticketing system where they will be triaged and routed in accordance with the aforementioned entitlement to meet the stated SLA.</w:t>
      </w:r>
    </w:p>
    <w:p>
      <w:pPr>
        <w:sectPr>
          <w:pgSz w:w="11900" w:h="16838" w:orient="portrait"/>
          <w:cols w:equalWidth="0" w:num="1">
            <w:col w:w="11240"/>
          </w:cols>
          <w:pgMar w:left="320" w:top="39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36" w:name="page237"/>
    <w:bookmarkEnd w:id="236"/>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Chronic Outage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660" w:right="140"/>
        <w:spacing w:after="0" w:line="270" w:lineRule="auto"/>
        <w:rPr>
          <w:sz w:val="20"/>
          <w:szCs w:val="20"/>
          <w:color w:val="auto"/>
        </w:rPr>
      </w:pPr>
      <w:r>
        <w:rPr>
          <w:rFonts w:ascii="Times New Roman" w:cs="Times New Roman" w:eastAsia="Times New Roman" w:hAnsi="Times New Roman"/>
          <w:sz w:val="22"/>
          <w:szCs w:val="22"/>
          <w:color w:val="auto"/>
        </w:rPr>
        <w:t>If Shopify experiences a Chronic Service Failure, Shopify may terminate its subscription for the affected Service in writing no later than [***] days after the Chronic Service Failure. Shopify will receive a prorated refund for any prepaid, unused fees, provided that Flow verifies the Chronic Service Failure.</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Chronic Service Failure</w:t>
      </w:r>
      <w:r>
        <w:rPr>
          <w:rFonts w:ascii="Times New Roman" w:cs="Times New Roman" w:eastAsia="Times New Roman" w:hAnsi="Times New Roman"/>
          <w:sz w:val="22"/>
          <w:szCs w:val="22"/>
          <w:color w:val="auto"/>
        </w:rPr>
        <w:t>” means:</w:t>
      </w:r>
    </w:p>
    <w:p>
      <w:pPr>
        <w:spacing w:after="0" w:line="289" w:lineRule="exact"/>
        <w:rPr>
          <w:sz w:val="20"/>
          <w:szCs w:val="20"/>
          <w:color w:val="auto"/>
        </w:rPr>
      </w:pPr>
    </w:p>
    <w:p>
      <w:pPr>
        <w:ind w:left="1080" w:hanging="397"/>
        <w:spacing w:after="0"/>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 API Success Rate over [***] consecutive months;</w:t>
      </w:r>
    </w:p>
    <w:p>
      <w:pPr>
        <w:spacing w:after="0" w:line="27" w:lineRule="exact"/>
        <w:rPr>
          <w:rFonts w:ascii="Times New Roman" w:cs="Times New Roman" w:eastAsia="Times New Roman" w:hAnsi="Times New Roman"/>
          <w:sz w:val="18"/>
          <w:szCs w:val="18"/>
          <w:color w:val="auto"/>
        </w:rPr>
      </w:pPr>
    </w:p>
    <w:p>
      <w:pPr>
        <w:ind w:left="1080" w:hanging="397"/>
        <w:spacing w:after="0"/>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 API Response Time across [***] or more consecutive months; or</w:t>
      </w:r>
    </w:p>
    <w:p>
      <w:pPr>
        <w:spacing w:after="0" w:line="9" w:lineRule="exact"/>
        <w:rPr>
          <w:rFonts w:ascii="Times New Roman" w:cs="Times New Roman" w:eastAsia="Times New Roman" w:hAnsi="Times New Roman"/>
          <w:sz w:val="18"/>
          <w:szCs w:val="18"/>
          <w:color w:val="auto"/>
        </w:rPr>
      </w:pPr>
    </w:p>
    <w:p>
      <w:pPr>
        <w:ind w:left="1080" w:hanging="397"/>
        <w:spacing w:after="0"/>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more instances of unmet Service Accuracy SLA (as set out in Section 6 above) is missed in any [***] month period.</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Support SLAs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Mutual Support Obligations for Shopify and Flow</w:t>
      </w:r>
    </w:p>
    <w:p>
      <w:pPr>
        <w:spacing w:after="0" w:line="29" w:lineRule="exact"/>
        <w:rPr>
          <w:sz w:val="20"/>
          <w:szCs w:val="20"/>
          <w:color w:val="auto"/>
        </w:rPr>
      </w:pPr>
    </w:p>
    <w:p>
      <w:pPr>
        <w:jc w:val="both"/>
        <w:ind w:right="700"/>
        <w:spacing w:after="0" w:line="261" w:lineRule="auto"/>
        <w:rPr>
          <w:sz w:val="20"/>
          <w:szCs w:val="20"/>
          <w:color w:val="auto"/>
        </w:rPr>
      </w:pPr>
      <w:r>
        <w:rPr>
          <w:rFonts w:ascii="Times New Roman" w:cs="Times New Roman" w:eastAsia="Times New Roman" w:hAnsi="Times New Roman"/>
          <w:sz w:val="22"/>
          <w:szCs w:val="22"/>
          <w:color w:val="auto"/>
        </w:rPr>
        <w:t>Flow will provide support to Shopify, to answer customers enquiries on Flow’s services, for cases where customer service support is received via Shopify channels and Shopify will provide support to Flow to answer questions about the specific integration in Shopify’ admin. Flow and Shopify will maintain a sufficient number of company support contacts to ensure timely responses to inbound requests from each other per the following issue types: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Severity Level</w:t>
            </w:r>
          </w:p>
        </w:tc>
        <w:tc>
          <w:tcPr>
            <w:tcW w:w="22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Acknowledgement</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Response</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Channel</w:t>
            </w: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25"/>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P0</w:t>
            </w: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Critical Error report: the</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be provided by Shopify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service is inoperable and is</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severely impacting normal</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operations</w:t>
            </w: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25"/>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P1</w:t>
            </w: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Major Error report: the</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be provided by Shopify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service is impaired and is</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severely impacting normal</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or development</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25"/>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P2</w:t>
            </w: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Minor Error Report: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be provided by Shopify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service is immaterially</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adversely affected by the</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Error.</w:t>
            </w: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25"/>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Questions</w:t>
            </w: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Questions about the service</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be provided by Shopify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 the integration that are not</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errors</w:t>
            </w: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34"/>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u w:val="single" w:color="auto"/>
          <w:color w:val="auto"/>
        </w:rPr>
        <w:t>Means of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Both Flow and Shopify will mutually provide to each other:</w:t>
      </w:r>
    </w:p>
    <w:p>
      <w:pPr>
        <w:spacing w:after="0" w:line="17" w:lineRule="exact"/>
        <w:rPr>
          <w:sz w:val="20"/>
          <w:szCs w:val="20"/>
          <w:color w:val="auto"/>
        </w:rPr>
      </w:pPr>
    </w:p>
    <w:p>
      <w:pPr>
        <w:ind w:left="200" w:hanging="192"/>
        <w:spacing w:after="0"/>
        <w:tabs>
          <w:tab w:leader="none" w:pos="2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24/7 ‘911’ channel (e.g., Slack) and email address</w:t>
      </w:r>
    </w:p>
    <w:p>
      <w:pPr>
        <w:spacing w:after="0" w:line="17" w:lineRule="exact"/>
        <w:rPr>
          <w:rFonts w:ascii="Times New Roman" w:cs="Times New Roman" w:eastAsia="Times New Roman" w:hAnsi="Times New Roman"/>
          <w:sz w:val="22"/>
          <w:szCs w:val="22"/>
          <w:color w:val="auto"/>
        </w:rPr>
      </w:pPr>
    </w:p>
    <w:p>
      <w:pPr>
        <w:ind w:right="1460" w:firstLine="8"/>
        <w:spacing w:after="0" w:line="272" w:lineRule="auto"/>
        <w:tabs>
          <w:tab w:leader="none" w:pos="18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partner support via email address, which should be used for P2 issues and questions. It will be staffed during business hours.</w:t>
      </w:r>
    </w:p>
    <w:p>
      <w:pPr>
        <w:spacing w:after="0" w:line="224" w:lineRule="exact"/>
        <w:rPr>
          <w:sz w:val="20"/>
          <w:szCs w:val="20"/>
          <w:color w:val="auto"/>
        </w:rPr>
      </w:pPr>
    </w:p>
    <w:p>
      <w:pPr>
        <w:ind w:right="1040"/>
        <w:spacing w:after="0" w:line="270" w:lineRule="auto"/>
        <w:rPr>
          <w:sz w:val="20"/>
          <w:szCs w:val="20"/>
          <w:color w:val="auto"/>
        </w:rPr>
      </w:pPr>
      <w:r>
        <w:rPr>
          <w:rFonts w:ascii="Times New Roman" w:cs="Times New Roman" w:eastAsia="Times New Roman" w:hAnsi="Times New Roman"/>
          <w:sz w:val="22"/>
          <w:szCs w:val="22"/>
          <w:color w:val="auto"/>
        </w:rPr>
        <w:t>Although a real-time chat channel (e.g., Slack) will be the preferred method of communication and mutual troubleshooting for ‘911’ calls, notifications of issues must be sent to the ‘911’ e-mail address and any time period for acknowledgement or resolution shall begin upon receipt of such notifications at such email address.</w:t>
      </w:r>
    </w:p>
    <w:p>
      <w:pPr>
        <w:spacing w:after="0" w:line="226" w:lineRule="exact"/>
        <w:rPr>
          <w:sz w:val="20"/>
          <w:szCs w:val="20"/>
          <w:color w:val="auto"/>
        </w:rPr>
      </w:pPr>
    </w:p>
    <w:p>
      <w:pPr>
        <w:ind w:right="900"/>
        <w:spacing w:after="0" w:line="265" w:lineRule="auto"/>
        <w:rPr>
          <w:sz w:val="20"/>
          <w:szCs w:val="20"/>
          <w:color w:val="auto"/>
        </w:rPr>
      </w:pPr>
      <w:r>
        <w:rPr>
          <w:rFonts w:ascii="Times New Roman" w:cs="Times New Roman" w:eastAsia="Times New Roman" w:hAnsi="Times New Roman"/>
          <w:sz w:val="22"/>
          <w:szCs w:val="22"/>
          <w:color w:val="auto"/>
        </w:rPr>
        <w:t>***Initially Slack and email [***] shall be the channels per the above descriptions; provided that the support SLAs channels to be determined by the Parties at such time as there are approximately [***] Merchants utilizing Flow’s MoR services, and the Parties shall review the appropriate channels from time to time thereafter as the number of Merchants increase.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Flow Customer Support Service Levels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7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3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Measure Level Email Service Level for</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Customer email contacts responded to</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Customer emails received directly by Flow</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within [***] / # of all Customer email</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from a Customer</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contacts received by Flow)</w:t>
            </w: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Phone Service Level for customer phone calls</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phone contacts answered</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received directly by Flow from a customer</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within [***] / # of all Eligible</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Phone Contacts received)</w:t>
            </w: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Answer rate</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Eligible Phone Contacts</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answered / # of Eligible Phone</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Contacts received)</w:t>
            </w:r>
          </w:p>
        </w:tc>
        <w:tc>
          <w:tcPr>
            <w:tcW w:w="3700" w:type="dxa"/>
            <w:vAlign w:val="bottom"/>
            <w:tcBorders>
              <w:right w:val="single" w:sz="8" w:color="auto"/>
            </w:tcBorders>
          </w:tcPr>
          <w:p>
            <w:pPr>
              <w:spacing w:after="0"/>
              <w:rPr>
                <w:sz w:val="20"/>
                <w:szCs w:val="20"/>
                <w:color w:val="auto"/>
              </w:rPr>
            </w:pPr>
          </w:p>
        </w:tc>
      </w:tr>
      <w:tr>
        <w:trPr>
          <w:trHeight w:val="250"/>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8" w:name="page239"/>
    <w:bookmarkEnd w:id="238"/>
    <w:p>
      <w:pPr>
        <w:ind w:left="180"/>
        <w:spacing w:after="0"/>
        <w:rPr>
          <w:sz w:val="20"/>
          <w:szCs w:val="20"/>
          <w:color w:val="auto"/>
        </w:rPr>
      </w:pPr>
      <w:r>
        <w:rPr>
          <w:rFonts w:ascii="Times New Roman" w:cs="Times New Roman" w:eastAsia="Times New Roman" w:hAnsi="Times New Roman"/>
          <w:sz w:val="22"/>
          <w:szCs w:val="22"/>
          <w:u w:val="single" w:color="auto"/>
          <w:color w:val="auto"/>
        </w:rPr>
        <w:t>Flow Merchant Support Service Levels: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Flow will promptly redirect all Merchant contacts requiring Shopify attention to Shopify per agreed policies and procedures.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7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3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Measure Level</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Merchant email contacts responded to</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Email Service Level for Merchant emails</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within [***] / # of all Merchant email</w:t>
            </w:r>
          </w:p>
        </w:tc>
        <w:tc>
          <w:tcPr>
            <w:tcW w:w="370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received directly by Flow from a Merchant</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contacts received by Flow)</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(Merchant is redirected to Shopify)</w:t>
            </w:r>
          </w:p>
        </w:tc>
        <w:tc>
          <w:tcPr>
            <w:tcW w:w="37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When Shopify Support escalates a merchant</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Shopify Support contacts responded to</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issue to Flow for resolution</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within [***] following notification by</w:t>
            </w:r>
          </w:p>
        </w:tc>
        <w:tc>
          <w:tcPr>
            <w:tcW w:w="370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Shopify to Flow / # of all Shopify Support</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contacts received by Flow</w:t>
            </w: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Shopify Customer Support Service Levels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Shopify will promptly redirect all Customer contacts requiring Flow attention to Flow per agreed policies and procedures.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76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3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Redirection of Critical Contacts received</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Critical Contacts received by Shopify</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directly by Shopify</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redirected within [***] per policies and</w:t>
            </w:r>
          </w:p>
        </w:tc>
        <w:tc>
          <w:tcPr>
            <w:tcW w:w="370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 (# of Critical Contacts received</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by Shopify)</w:t>
            </w: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Redirection of Super Critical Contacts</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Critical Contacts received by Shopify</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received directly by Shopify</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redirected within [***] per policies and</w:t>
            </w:r>
          </w:p>
        </w:tc>
        <w:tc>
          <w:tcPr>
            <w:tcW w:w="370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 (# of Super Critical Contacts</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received by Shopify)</w:t>
            </w:r>
          </w:p>
        </w:tc>
        <w:tc>
          <w:tcPr>
            <w:tcW w:w="3700" w:type="dxa"/>
            <w:vAlign w:val="bottom"/>
            <w:tcBorders>
              <w:right w:val="single" w:sz="8" w:color="auto"/>
            </w:tcBorders>
          </w:tcPr>
          <w:p>
            <w:pPr>
              <w:spacing w:after="0"/>
              <w:rPr>
                <w:sz w:val="20"/>
                <w:szCs w:val="20"/>
                <w:color w:val="auto"/>
              </w:rPr>
            </w:pPr>
          </w:p>
        </w:tc>
      </w:tr>
      <w:tr>
        <w:trPr>
          <w:trHeight w:val="466"/>
        </w:trPr>
        <w:tc>
          <w:tcPr>
            <w:tcW w:w="378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r>
        <w:trPr>
          <w:trHeight w:val="225"/>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Shopify response to any customer escalated</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of Customer Escalation Requests to</w:t>
            </w:r>
          </w:p>
        </w:tc>
        <w:tc>
          <w:tcPr>
            <w:tcW w:w="37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issues or complaints on Flow related to failed</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Shopify responded to within [***]) / (# of</w:t>
            </w:r>
          </w:p>
        </w:tc>
        <w:tc>
          <w:tcPr>
            <w:tcW w:w="370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actions, transactions, payments, on Shopify.</w:t>
            </w:r>
          </w:p>
        </w:tc>
        <w:tc>
          <w:tcPr>
            <w:tcW w:w="37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Customer Escalation Requests to Shopify)</w:t>
            </w:r>
          </w:p>
        </w:tc>
        <w:tc>
          <w:tcPr>
            <w:tcW w:w="3700" w:type="dxa"/>
            <w:vAlign w:val="bottom"/>
            <w:tcBorders>
              <w:right w:val="single" w:sz="8" w:color="auto"/>
            </w:tcBorders>
          </w:tcPr>
          <w:p>
            <w:pPr>
              <w:spacing w:after="0"/>
              <w:rPr>
                <w:sz w:val="20"/>
                <w:szCs w:val="20"/>
                <w:color w:val="auto"/>
              </w:rPr>
            </w:pP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u w:val="single" w:color="auto"/>
          <w:color w:val="auto"/>
        </w:rPr>
        <w:t>Customer Support Forecasting</w:t>
      </w:r>
    </w:p>
    <w:p>
      <w:pPr>
        <w:spacing w:after="0" w:line="287" w:lineRule="exact"/>
        <w:rPr>
          <w:sz w:val="20"/>
          <w:szCs w:val="20"/>
          <w:color w:val="auto"/>
        </w:rPr>
      </w:pPr>
    </w:p>
    <w:p>
      <w:pPr>
        <w:jc w:val="both"/>
        <w:ind w:right="440"/>
        <w:spacing w:after="0" w:line="276" w:lineRule="auto"/>
        <w:rPr>
          <w:sz w:val="20"/>
          <w:szCs w:val="20"/>
          <w:color w:val="auto"/>
        </w:rPr>
      </w:pPr>
      <w:r>
        <w:rPr>
          <w:rFonts w:ascii="Times New Roman" w:cs="Times New Roman" w:eastAsia="Times New Roman" w:hAnsi="Times New Roman"/>
          <w:sz w:val="21"/>
          <w:szCs w:val="21"/>
          <w:color w:val="auto"/>
        </w:rPr>
        <w:t>Notwithstanding anything to the contrary in the Agreement or Program Outline, and for a period of no less than [***] from GA, the Parties agree to meet on a [***] basis to discuss Flow’s Customer Support hiring plans and any adjustments Flow chooses to make based on Program forecasts. In the event that Shopify forecasting directly results in Flow materially over-hiring to fulfill its Customer Support obligations during the Term of the Agreement, the Parties shall in good faith discuss in the Strategic Operating Committee options regarding over-hiring including and whether to apportion the cost of such over-hiring as between Shopify and Flow or resolve the issue in other ways as agreed by the Parties.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Shopify Merchant Support Service Levels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Shopify will comply with the following SLAs with respect to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000"/>
          </w:cols>
          <w:pgMar w:left="320" w:top="396" w:right="579" w:bottom="1440" w:gutter="0" w:footer="0" w:header="0"/>
        </w:sectPr>
      </w:pP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Measure</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5"/>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Notification of termination or suspension of</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Notification to Merchant of a termination or</w:t>
            </w:r>
          </w:p>
        </w:tc>
      </w:tr>
      <w:tr>
        <w:trPr>
          <w:trHeight w:val="21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Merchant eligibility to offer the MoR Product</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suspension of such Merchant’s ability to use</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MoR Product; removal of the MoR</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 as a checkout option for such</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Merchant</w:t>
            </w:r>
          </w:p>
        </w:tc>
      </w:tr>
      <w:tr>
        <w:trPr>
          <w:trHeight w:val="34"/>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36830</wp:posOffset>
            </wp:positionV>
            <wp:extent cx="2381250" cy="7499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2381250" cy="749935"/>
                    </a:xfrm>
                    <a:prstGeom prst="rect">
                      <a:avLst/>
                    </a:prstGeom>
                    <a:noFill/>
                  </pic:spPr>
                </pic:pic>
              </a:graphicData>
            </a:graphic>
          </wp:anchor>
        </w:drawing>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Within [***] following notification by Flow to Shopify</w:t>
      </w:r>
    </w:p>
    <w:p>
      <w:pPr>
        <w:spacing w:after="0" w:line="865" w:lineRule="exact"/>
        <w:rPr>
          <w:sz w:val="20"/>
          <w:szCs w:val="20"/>
          <w:color w:val="auto"/>
        </w:rPr>
      </w:pPr>
    </w:p>
    <w:p>
      <w:pPr>
        <w:sectPr>
          <w:pgSz w:w="11900" w:h="16838" w:orient="portrait"/>
          <w:cols w:equalWidth="0" w:num="2">
            <w:col w:w="7520" w:space="100"/>
            <w:col w:w="3380"/>
          </w:cols>
          <w:pgMar w:left="320" w:top="396" w:right="579" w:bottom="1440" w:gutter="0" w:footer="0" w:header="0"/>
          <w:type w:val="continuous"/>
        </w:sectPr>
      </w:pPr>
    </w:p>
    <w:p>
      <w:pPr>
        <w:spacing w:after="0" w:line="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For purposes of clarification, in the event of a discrepancy between this SLA schedule and the Master Services Agreement between Flow and Shopify, the Master Services Agreement shall govern and nothing herein is intended to increase the scope of the Flow Offerings.</w:t>
      </w: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00"/>
          </w:cols>
          <w:pgMar w:left="320" w:top="396" w:right="579" w:bottom="1440" w:gutter="0" w:footer="0" w:header="0"/>
          <w:type w:val="continuous"/>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8.1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Global-E Online Ltd.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220" w:type="dxa"/>
            <w:vAlign w:val="bottom"/>
          </w:tcPr>
          <w:p>
            <w:pPr>
              <w:spacing w:after="0"/>
              <w:rPr>
                <w:sz w:val="21"/>
                <w:szCs w:val="21"/>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Online Pte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UK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England</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Crossborder Global apparel and equipment trading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Middle East FZCO Dubai Branch</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Arab Emirates, Jebel Ali Free Zone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Middle East FZCO (DAFZA)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Arab Emirates, Dubai Airport Free Zone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 Commerce Globale Middle East FZCO</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Arab Emirates, Dubai Commercity Free Zone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Canada e-commerce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CH AG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Switzerland</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NL B.V.</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Japan KK</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France SAS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Olami E-commerce Solutions Ireland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Ireland</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Australia Pty.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Spain S.L.</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Spain</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HK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(Beijing) Technology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US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Panama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Panama, Colon Free Zone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Solutions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Israel</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Global-e South Africa (PTY)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Africa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Commerce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Commerce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Ireland</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Commerce Australia Pty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Commerce Canada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Trading Shanghai Company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Flow Commerce UK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England</w:t>
            </w:r>
          </w:p>
        </w:tc>
      </w:tr>
      <w:tr>
        <w:trPr>
          <w:trHeight w:val="378"/>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163"/>
        </w:trPr>
        <w:tc>
          <w:tcPr>
            <w:tcW w:w="5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32"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Amir Schlachet, Chief Executive Officer, certify that:</w:t>
      </w:r>
    </w:p>
    <w:p>
      <w:pPr>
        <w:spacing w:after="0" w:line="283" w:lineRule="exact"/>
        <w:rPr>
          <w:sz w:val="20"/>
          <w:szCs w:val="20"/>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Global-E Online Ltd.;</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28, 2022</w:t>
      </w:r>
    </w:p>
    <w:p>
      <w:pPr>
        <w:spacing w:after="0" w:line="2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Schlachet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Ofer Koren, Chief Financial Officer, certify that:</w:t>
      </w:r>
    </w:p>
    <w:p>
      <w:pPr>
        <w:spacing w:after="0" w:line="283" w:lineRule="exact"/>
        <w:rPr>
          <w:sz w:val="20"/>
          <w:szCs w:val="20"/>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Global-E Online Ltd.;</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28, 2022</w:t>
      </w:r>
    </w:p>
    <w:p>
      <w:pPr>
        <w:spacing w:after="0" w:line="2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Ofer Koren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Ofer Koren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connection with the Annual Report on Form 20-F of Global-E Online Ltd.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222" w:lineRule="exact"/>
        <w:rPr>
          <w:sz w:val="20"/>
          <w:szCs w:val="20"/>
          <w:color w:val="auto"/>
        </w:rPr>
      </w:pP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28, 2022</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Amir Schlachet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 connection with the Annual Report on Form 20-F of Global-E Online Ltd.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222" w:lineRule="exact"/>
        <w:rPr>
          <w:sz w:val="20"/>
          <w:szCs w:val="20"/>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28, 2022</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Ofer Koren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Ofer Koren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 S-8. Nos. 333-256403), pertaining to the Global-E Online Ltd. 2013 Share Option Plan and Global-E Online Ltd. 2021 Share Incentive Plan of our report dated March 28, 2022, with respect to the consolidated financial statement of Global-e Online Ltd., included in this Annual Report (Form 20-F) for the year ended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2022</w:t>
            </w:r>
          </w:p>
        </w:tc>
        <w:tc>
          <w:tcPr>
            <w:tcW w:w="78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Kost Forer Gabbay &amp; Kasierer</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78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 Member of Ernst &amp; Young Global</w:t>
            </w:r>
          </w:p>
        </w:tc>
      </w:tr>
      <w:tr>
        <w:trPr>
          <w:trHeight w:val="378"/>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78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1."/>
      <w:numFmt w:val="upperLetter"/>
      <w:start w:val="1"/>
    </w:lvl>
  </w:abstractNum>
  <w:abstractNum w:abstractNumId="6">
    <w:nsid w:val="555C55B5"/>
    <w:multiLevelType w:val="hybridMultilevel"/>
    <w:lvl w:ilvl="0">
      <w:lvlJc w:val="left"/>
      <w:lvlText w:val="%1."/>
      <w:numFmt w:val="upperLetter"/>
      <w:start w:val="2"/>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1)"/>
      <w:numFmt w:val="decimal"/>
      <w:start w:val="2"/>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1)"/>
      <w:numFmt w:val="lowerRoman"/>
      <w:start w:val="2"/>
    </w:lvl>
  </w:abstractNum>
  <w:abstractNum w:abstractNumId="20">
    <w:nsid w:val="97E1B4E"/>
    <w:multiLevelType w:val="hybridMultilevel"/>
    <w:lvl w:ilvl="0">
      <w:lvlJc w:val="left"/>
      <w:lvlText w:val="%1."/>
      <w:numFmt w:val="upperLetter"/>
      <w:start w:val="2"/>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1."/>
      <w:numFmt w:val="upperLetter"/>
      <w:start w:val="3"/>
    </w:lvl>
    <w:lvl w:ilvl="1">
      <w:lvlJc w:val="left"/>
      <w:lvlText w:val="•"/>
      <w:numFmt w:val="bullet"/>
      <w:start w:val="1"/>
    </w:lvl>
  </w:abstractNum>
  <w:abstractNum w:abstractNumId="44">
    <w:nsid w:val="3DB012B3"/>
    <w:multiLevelType w:val="hybridMultilevel"/>
    <w:lvl w:ilvl="0">
      <w:lvlJc w:val="left"/>
      <w:lvlText w:val="%1"/>
      <w:numFmt w:val="upperLetter"/>
      <w:start w:val="1"/>
    </w:lvl>
    <w:lvl w:ilvl="1">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1."/>
      <w:numFmt w:val="upperLetter"/>
      <w:start w:val="2"/>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1."/>
      <w:numFmt w:val="decimal"/>
      <w:start w:val="1"/>
    </w:lvl>
  </w:abstractNum>
  <w:abstractNum w:abstractNumId="50">
    <w:nsid w:val="34FD6B4F"/>
    <w:multiLevelType w:val="hybridMultilevel"/>
    <w:lvl w:ilvl="0">
      <w:lvlJc w:val="left"/>
      <w:lvlText w:val="•"/>
      <w:numFmt w:val="bullet"/>
      <w:start w:val="1"/>
    </w:lvl>
  </w:abstractNum>
  <w:abstractNum w:abstractNumId="51">
    <w:nsid w:val="5915FF32"/>
    <w:multiLevelType w:val="hybridMultilevel"/>
    <w:lvl w:ilvl="0">
      <w:lvlJc w:val="left"/>
      <w:lvlText w:val="(%1)"/>
      <w:numFmt w:val="decimal"/>
      <w:start w:val="1"/>
    </w:lvl>
  </w:abstractNum>
  <w:abstractNum w:abstractNumId="52">
    <w:nsid w:val="56438D15"/>
    <w:multiLevelType w:val="hybridMultilevel"/>
    <w:lvl w:ilvl="0">
      <w:lvlJc w:val="left"/>
      <w:lvlText w:val="•"/>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lvl w:ilvl="1">
      <w:lvlJc w:val="left"/>
      <w:lvlText w:val="o"/>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
      <w:numFmt w:val="bullet"/>
      <w:start w:val="1"/>
    </w:lvl>
  </w:abstractNum>
  <w:abstractNum w:abstractNumId="65">
    <w:nsid w:val="20EE1348"/>
    <w:multiLevelType w:val="hybridMultilevel"/>
    <w:lvl w:ilvl="0">
      <w:lvlJc w:val="left"/>
      <w:lvlText w:val="•"/>
      <w:numFmt w:val="bullet"/>
      <w:start w:val="1"/>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
      <w:numFmt w:val="bullet"/>
      <w:start w:val="1"/>
    </w:lvl>
  </w:abstractNum>
  <w:abstractNum w:abstractNumId="68">
    <w:nsid w:val="2157F6BC"/>
    <w:multiLevelType w:val="hybridMultilevel"/>
    <w:lvl w:ilvl="0">
      <w:lvlJc w:val="left"/>
      <w:lvlText w:val="•"/>
      <w:numFmt w:val="bullet"/>
      <w:start w:val="1"/>
    </w:lvl>
  </w:abstractNum>
  <w:abstractNum w:abstractNumId="69">
    <w:nsid w:val="704E1DD5"/>
    <w:multiLevelType w:val="hybridMultilevel"/>
    <w:lvl w:ilvl="0">
      <w:lvlJc w:val="left"/>
      <w:lvlText w:val="•"/>
      <w:numFmt w:val="bullet"/>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1)"/>
      <w:numFmt w:val="decimal"/>
      <w:start w:val="1"/>
    </w:lvl>
  </w:abstractNum>
  <w:abstractNum w:abstractNumId="72">
    <w:nsid w:val="E3E47A8"/>
    <w:multiLevelType w:val="hybridMultilevel"/>
    <w:lvl w:ilvl="0">
      <w:lvlJc w:val="left"/>
      <w:lvlText w:val="(%1)"/>
      <w:numFmt w:val="decimal"/>
      <w:start w:val="4"/>
    </w:lvl>
  </w:abstractNum>
  <w:abstractNum w:abstractNumId="73">
    <w:nsid w:val="2E48F044"/>
    <w:multiLevelType w:val="hybridMultilevel"/>
    <w:lvl w:ilvl="0">
      <w:lvlJc w:val="left"/>
      <w:lvlText w:val="(%1)"/>
      <w:numFmt w:val="lowerRoman"/>
      <w:start w:val="1"/>
    </w:lvl>
  </w:abstractNum>
  <w:abstractNum w:abstractNumId="74">
    <w:nsid w:val="49D0FEAC"/>
    <w:multiLevelType w:val="hybridMultilevel"/>
    <w:lvl w:ilvl="0">
      <w:lvlJc w:val="left"/>
      <w:lvlText w:val="%1."/>
      <w:numFmt w:val="upperLetter"/>
      <w:start w:val="6"/>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1."/>
      <w:numFmt w:val="upperLetter"/>
      <w:start w:val="6"/>
    </w:lvl>
  </w:abstractNum>
  <w:abstractNum w:abstractNumId="78">
    <w:nsid w:val="634C574C"/>
    <w:multiLevelType w:val="hybridMultilevel"/>
    <w:lvl w:ilvl="0">
      <w:lvlJc w:val="left"/>
      <w:lvlText w:val="%1."/>
      <w:numFmt w:val="upperLetter"/>
      <w:start w:val="9"/>
    </w:lvl>
  </w:abstractNum>
  <w:abstractNum w:abstractNumId="79">
    <w:nsid w:val="24E99DD7"/>
    <w:multiLevelType w:val="hybridMultilevel"/>
    <w:lvl w:ilvl="0">
      <w:lvlJc w:val="left"/>
      <w:lvlText w:val="*"/>
      <w:numFmt w:val="bullet"/>
      <w:start w:val="1"/>
    </w:lvl>
    <w:lvl w:ilvl="1">
      <w:lvlJc w:val="left"/>
      <w:lvlText w:val="%2"/>
      <w:numFmt w:val="decimal"/>
      <w:start w:val="104"/>
    </w:lvl>
  </w:abstractNum>
  <w:abstractNum w:abstractNumId="80">
    <w:nsid w:val="2A31B62D"/>
    <w:multiLevelType w:val="hybridMultilevel"/>
    <w:lvl w:ilvl="0">
      <w:lvlJc w:val="left"/>
      <w:lvlText w:val="**"/>
      <w:numFmt w:val="bullet"/>
      <w:start w:val="1"/>
    </w:lvl>
    <w:lvl w:ilvl="1">
      <w:lvlJc w:val="left"/>
      <w:lvlText w:val="%2"/>
      <w:numFmt w:val="decimal"/>
      <w:start w:val="1"/>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1."/>
      <w:numFmt w:val="decimal"/>
      <w:start w:val="1"/>
    </w:lvl>
  </w:abstractNum>
  <w:abstractNum w:abstractNumId="84">
    <w:nsid w:val="69E7F3E5"/>
    <w:multiLevelType w:val="hybridMultilevel"/>
    <w:lvl w:ilvl="0">
      <w:lvlJc w:val="left"/>
      <w:lvlText w:val="%1."/>
      <w:numFmt w:val="decimal"/>
      <w:start w:val="2"/>
    </w:lvl>
  </w:abstractNum>
  <w:abstractNum w:abstractNumId="85">
    <w:nsid w:val="2A6DE806"/>
    <w:multiLevelType w:val="hybridMultilevel"/>
    <w:lvl w:ilvl="0">
      <w:lvlJc w:val="left"/>
      <w:lvlText w:val="%1."/>
      <w:numFmt w:val="decimal"/>
      <w:start w:val="1"/>
    </w:lvl>
  </w:abstractNum>
  <w:abstractNum w:abstractNumId="86">
    <w:nsid w:val="1816F8C4"/>
    <w:multiLevelType w:val="hybridMultilevel"/>
    <w:lvl w:ilvl="0">
      <w:lvlJc w:val="left"/>
      <w:lvlText w:val="%1."/>
      <w:numFmt w:val="decimal"/>
      <w:start w:val="1"/>
    </w:lvl>
  </w:abstractNum>
  <w:abstractNum w:abstractNumId="87">
    <w:nsid w:val="37DF2233"/>
    <w:multiLevelType w:val="hybridMultilevel"/>
    <w:lvl w:ilvl="0">
      <w:lvlJc w:val="left"/>
      <w:lvlText w:val="%1."/>
      <w:numFmt w:val="decimal"/>
      <w:start w:val="2"/>
    </w:lvl>
  </w:abstractNum>
  <w:abstractNum w:abstractNumId="88">
    <w:nsid w:val="7AB49DAF"/>
    <w:multiLevelType w:val="hybridMultilevel"/>
    <w:lvl w:ilvl="0">
      <w:lvlJc w:val="left"/>
      <w:lvlText w:val="%1."/>
      <w:numFmt w:val="decimal"/>
      <w:start w:val="3"/>
    </w:lvl>
  </w:abstractNum>
  <w:abstractNum w:abstractNumId="89">
    <w:nsid w:val="759F82CD"/>
    <w:multiLevelType w:val="hybridMultilevel"/>
    <w:lvl w:ilvl="0">
      <w:lvlJc w:val="left"/>
      <w:lvlText w:val="%1."/>
      <w:numFmt w:val="decimal"/>
      <w:start w:val="4"/>
    </w:lvl>
  </w:abstractNum>
  <w:abstractNum w:abstractNumId="90">
    <w:nsid w:val="61E74EA3"/>
    <w:multiLevelType w:val="hybridMultilevel"/>
    <w:lvl w:ilvl="0">
      <w:lvlJc w:val="left"/>
      <w:lvlText w:val="%1."/>
      <w:numFmt w:val="decimal"/>
      <w:start w:val="5"/>
    </w:lvl>
  </w:abstractNum>
  <w:abstractNum w:abstractNumId="91">
    <w:nsid w:val="597B4D84"/>
    <w:multiLevelType w:val="hybridMultilevel"/>
    <w:lvl w:ilvl="0">
      <w:lvlJc w:val="left"/>
      <w:lvlText w:val="%1."/>
      <w:numFmt w:val="lowerLetter"/>
      <w:start w:val="1"/>
    </w:lvl>
  </w:abstractNum>
  <w:abstractNum w:abstractNumId="92">
    <w:nsid w:val="F819E7F"/>
    <w:multiLevelType w:val="hybridMultilevel"/>
    <w:lvl w:ilvl="0">
      <w:lvlJc w:val="left"/>
      <w:lvlText w:val="%1."/>
      <w:numFmt w:val="decimal"/>
      <w:start w:val="3"/>
    </w:lvl>
  </w:abstractNum>
  <w:abstractNum w:abstractNumId="93">
    <w:nsid w:val="57C7D42D"/>
    <w:multiLevelType w:val="hybridMultilevel"/>
    <w:lvl w:ilvl="0">
      <w:lvlJc w:val="left"/>
      <w:lvlText w:val="%1."/>
      <w:numFmt w:val="decimal"/>
      <w:start w:val="5"/>
    </w:lvl>
  </w:abstractNum>
  <w:abstractNum w:abstractNumId="94">
    <w:nsid w:val="312167AD"/>
    <w:multiLevelType w:val="hybridMultilevel"/>
    <w:lvl w:ilvl="0">
      <w:lvlJc w:val="left"/>
      <w:lvlText w:val="%1."/>
      <w:numFmt w:val="decimal"/>
      <w:start w:val="7"/>
    </w:lvl>
    <w:lvl w:ilvl="1">
      <w:lvlJc w:val="left"/>
      <w:lvlText w:val="%2."/>
      <w:numFmt w:val="lowerLetter"/>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97">
    <w:nsid w:val="75486E47"/>
    <w:multiLevelType w:val="hybridMultilevel"/>
    <w:lvl w:ilvl="0">
      <w:lvlJc w:val="left"/>
      <w:lvlText w:val="%1."/>
      <w:numFmt w:val="lowerLetter"/>
      <w:start w:val="2"/>
    </w:lvl>
  </w:abstractNum>
  <w:abstractNum w:abstractNumId="98">
    <w:nsid w:val="6E534CDE"/>
    <w:multiLevelType w:val="hybridMultilevel"/>
    <w:lvl w:ilvl="0">
      <w:lvlJc w:val="left"/>
      <w:lvlText w:val="%1."/>
      <w:numFmt w:val="lowerLetter"/>
      <w:start w:val="3"/>
    </w:lvl>
  </w:abstractNum>
  <w:abstractNum w:abstractNumId="99">
    <w:nsid w:val="1A0DDE32"/>
    <w:multiLevelType w:val="hybridMultilevel"/>
    <w:lvl w:ilvl="0">
      <w:lvlJc w:val="left"/>
      <w:lvlText w:val="%1."/>
      <w:numFmt w:val="lowerLetter"/>
      <w:start w:val="4"/>
    </w:lvl>
  </w:abstractNum>
  <w:abstractNum w:abstractNumId="100">
    <w:nsid w:val="65968C1C"/>
    <w:multiLevelType w:val="hybridMultilevel"/>
    <w:lvl w:ilvl="0">
      <w:lvlJc w:val="left"/>
      <w:lvlText w:val="%1."/>
      <w:numFmt w:val="lowerLetter"/>
      <w:start w:val="5"/>
    </w:lvl>
  </w:abstractNum>
  <w:abstractNum w:abstractNumId="101">
    <w:nsid w:val="46263DEC"/>
    <w:multiLevelType w:val="hybridMultilevel"/>
    <w:lvl w:ilvl="0">
      <w:lvlJc w:val="left"/>
      <w:lvlText w:val="%1."/>
      <w:numFmt w:val="lowerLetter"/>
      <w:start w:val="7"/>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1."/>
      <w:numFmt w:val="decimal"/>
      <w:start w:val="1"/>
    </w:lvl>
    <w:lvl w:ilvl="1">
      <w:lvlJc w:val="left"/>
      <w:lvlText w:val="%2."/>
      <w:numFmt w:val="lowerLetter"/>
      <w:start w:val="1"/>
    </w:lvl>
  </w:abstractNum>
  <w:abstractNum w:abstractNumId="104">
    <w:nsid w:val="746F2E30"/>
    <w:multiLevelType w:val="hybridMultilevel"/>
    <w:lvl w:ilvl="0">
      <w:lvlJc w:val="left"/>
      <w:lvlText w:val="%1."/>
      <w:numFmt w:val="lowerLetter"/>
      <w:start w:val="4"/>
    </w:lvl>
    <w:lvl w:ilvl="1">
      <w:lvlJc w:val="left"/>
      <w:lvlText w:val="(%2)"/>
      <w:numFmt w:val="lowerRoman"/>
      <w:start w:val="1"/>
    </w:lvl>
  </w:abstractNum>
  <w:abstractNum w:abstractNumId="105">
    <w:nsid w:val="6FDE8AF6"/>
    <w:multiLevelType w:val="hybridMultilevel"/>
    <w:lvl w:ilvl="0">
      <w:lvlJc w:val="left"/>
      <w:lvlText w:val="%1"/>
      <w:numFmt w:val="lowerLetter"/>
      <w:start w:val="1"/>
    </w:lvl>
    <w:lvl w:ilvl="1">
      <w:lvlJc w:val="left"/>
      <w:lvlText w:val="(%2)"/>
      <w:numFmt w:val="lowerLetter"/>
      <w:start w:val="1"/>
    </w:lvl>
  </w:abstractNum>
  <w:abstractNum w:abstractNumId="106">
    <w:nsid w:val="3FC32E20"/>
    <w:multiLevelType w:val="hybridMultilevel"/>
    <w:lvl w:ilvl="0">
      <w:lvlJc w:val="left"/>
      <w:lvlText w:val="%1."/>
      <w:numFmt w:val="lowerLetter"/>
      <w:start w:val="5"/>
    </w:lvl>
    <w:lvl w:ilvl="1">
      <w:lvlJc w:val="left"/>
      <w:lvlText w:val="%2"/>
      <w:numFmt w:val="lowerLetter"/>
      <w:start w:val="1"/>
    </w:lvl>
  </w:abstractNum>
  <w:abstractNum w:abstractNumId="107">
    <w:nsid w:val="49C0E823"/>
    <w:multiLevelType w:val="hybridMultilevel"/>
    <w:lvl w:ilvl="0">
      <w:lvlJc w:val="left"/>
      <w:lvlText w:val="%1."/>
      <w:numFmt w:val="lowerLetter"/>
      <w:start w:val="6"/>
    </w:lvl>
  </w:abstractNum>
  <w:abstractNum w:abstractNumId="108">
    <w:nsid w:val="14D53685"/>
    <w:multiLevelType w:val="hybridMultilevel"/>
    <w:lvl w:ilvl="0">
      <w:lvlJc w:val="left"/>
      <w:lvlText w:val="%1."/>
      <w:numFmt w:val="lowerLetter"/>
      <w:start w:val="7"/>
    </w:lvl>
  </w:abstractNum>
  <w:abstractNum w:abstractNumId="109">
    <w:nsid w:val="230F856C"/>
    <w:multiLevelType w:val="hybridMultilevel"/>
    <w:lvl w:ilvl="0">
      <w:lvlJc w:val="left"/>
      <w:lvlText w:val="%1."/>
      <w:numFmt w:val="decimal"/>
      <w:start w:val="3"/>
    </w:lvl>
    <w:lvl w:ilvl="1">
      <w:lvlJc w:val="left"/>
      <w:lvlText w:val="%2."/>
      <w:numFmt w:val="lowerLetter"/>
      <w:start w:val="1"/>
    </w:lvl>
  </w:abstractNum>
  <w:abstractNum w:abstractNumId="110">
    <w:nsid w:val="6EAA85FB"/>
    <w:multiLevelType w:val="hybridMultilevel"/>
    <w:lvl w:ilvl="0">
      <w:lvlJc w:val="left"/>
      <w:lvlText w:val="%1."/>
      <w:numFmt w:val="decimal"/>
      <w:start w:val="4"/>
    </w:lvl>
    <w:lvl w:ilvl="1">
      <w:lvlJc w:val="left"/>
      <w:lvlText w:val="%2."/>
      <w:numFmt w:val="lowerLetter"/>
      <w:start w:val="1"/>
    </w:lvl>
  </w:abstractNum>
  <w:abstractNum w:abstractNumId="111">
    <w:nsid w:val="3F06ECB2"/>
    <w:multiLevelType w:val="hybridMultilevel"/>
    <w:lvl w:ilvl="0">
      <w:lvlJc w:val="left"/>
      <w:lvlText w:val="%1"/>
      <w:numFmt w:val="decimal"/>
      <w:start w:val="1"/>
    </w:lvl>
    <w:lvl w:ilvl="1">
      <w:lvlJc w:val="left"/>
      <w:lvlText w:val="%2."/>
      <w:numFmt w:val="lowerLetter"/>
      <w:start w:val="4"/>
    </w:lvl>
  </w:abstractNum>
  <w:abstractNum w:abstractNumId="112">
    <w:nsid w:val="3B594807"/>
    <w:multiLevelType w:val="hybridMultilevel"/>
    <w:lvl w:ilvl="0">
      <w:lvlJc w:val="left"/>
      <w:lvlText w:val="%1."/>
      <w:numFmt w:val="decimal"/>
      <w:start w:val="6"/>
    </w:lvl>
    <w:lvl w:ilvl="1">
      <w:lvlJc w:val="left"/>
      <w:lvlText w:val="%2."/>
      <w:numFmt w:val="lowerLetter"/>
      <w:start w:val="1"/>
    </w:lvl>
  </w:abstractNum>
  <w:abstractNum w:abstractNumId="113">
    <w:nsid w:val="6CAA2304"/>
    <w:multiLevelType w:val="hybridMultilevel"/>
    <w:lvl w:ilvl="0">
      <w:lvlJc w:val="left"/>
      <w:lvlText w:val="%1"/>
      <w:numFmt w:val="decimal"/>
      <w:start w:val="1"/>
    </w:lvl>
    <w:lvl w:ilvl="1">
      <w:lvlJc w:val="left"/>
      <w:lvlText w:val="%2."/>
      <w:numFmt w:val="lowerLetter"/>
      <w:start w:val="7"/>
    </w:lvl>
  </w:abstractNum>
  <w:abstractNum w:abstractNumId="114">
    <w:nsid w:val="3F7C2FF4"/>
    <w:multiLevelType w:val="hybridMultilevel"/>
    <w:lvl w:ilvl="0">
      <w:lvlJc w:val="left"/>
      <w:lvlText w:val="%1."/>
      <w:numFmt w:val="decimal"/>
      <w:start w:val="7"/>
    </w:lvl>
    <w:lvl w:ilvl="1">
      <w:lvlJc w:val="left"/>
      <w:lvlText w:val="%2"/>
      <w:numFmt w:val="lowerLetter"/>
      <w:start w:val="1"/>
    </w:lvl>
  </w:abstractNum>
  <w:abstractNum w:abstractNumId="115">
    <w:nsid w:val="25413BEC"/>
    <w:multiLevelType w:val="hybridMultilevel"/>
    <w:lvl w:ilvl="0">
      <w:lvlJc w:val="left"/>
      <w:lvlText w:val="%1."/>
      <w:numFmt w:val="decimal"/>
      <w:start w:val="8"/>
    </w:lvl>
    <w:lvl w:ilvl="1">
      <w:lvlJc w:val="left"/>
      <w:lvlText w:val="%2."/>
      <w:numFmt w:val="lowerLetter"/>
      <w:start w:val="1"/>
    </w:lvl>
  </w:abstractNum>
  <w:abstractNum w:abstractNumId="116">
    <w:nsid w:val="17180B0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7">
    <w:nsid w:val="579328B9"/>
    <w:multiLevelType w:val="hybridMultilevel"/>
    <w:lvl w:ilvl="0">
      <w:lvlJc w:val="left"/>
      <w:lvlText w:val="%1."/>
      <w:numFmt w:val="decimal"/>
      <w:start w:val="10"/>
    </w:lvl>
    <w:lvl w:ilvl="1">
      <w:lvlJc w:val="left"/>
      <w:lvlText w:val="%2."/>
      <w:numFmt w:val="lowerLetter"/>
      <w:start w:val="1"/>
    </w:lvl>
  </w:abstractNum>
  <w:abstractNum w:abstractNumId="118">
    <w:nsid w:val="5D205E20"/>
    <w:multiLevelType w:val="hybridMultilevel"/>
    <w:lvl w:ilvl="0">
      <w:lvlJc w:val="left"/>
      <w:lvlText w:val="%1."/>
      <w:numFmt w:val="lowerLetter"/>
      <w:start w:val="7"/>
    </w:lvl>
  </w:abstractNum>
  <w:abstractNum w:abstractNumId="119">
    <w:nsid w:val="11CCA8BA"/>
    <w:multiLevelType w:val="hybridMultilevel"/>
    <w:lvl w:ilvl="0">
      <w:lvlJc w:val="left"/>
      <w:lvlText w:val="%1."/>
      <w:numFmt w:val="decimal"/>
      <w:start w:val="1"/>
    </w:lvl>
  </w:abstractNum>
  <w:abstractNum w:abstractNumId="120">
    <w:nsid w:val="4D32AB86"/>
    <w:multiLevelType w:val="hybridMultilevel"/>
    <w:lvl w:ilvl="0">
      <w:lvlJc w:val="left"/>
      <w:lvlText w:val="[***]"/>
      <w:numFmt w:val="bullet"/>
      <w:start w:val="1"/>
    </w:lvl>
  </w:abstractNum>
  <w:abstractNum w:abstractNumId="121">
    <w:nsid w:val="3F07ACC3"/>
    <w:multiLevelType w:val="hybridMultilevel"/>
    <w:lvl w:ilvl="0">
      <w:lvlJc w:val="left"/>
      <w:lvlText w:val="%1."/>
      <w:numFmt w:val="decimal"/>
      <w:start w:val="1"/>
    </w:lvl>
    <w:lvl w:ilvl="1">
      <w:lvlJc w:val="left"/>
      <w:lvlText w:val="%2."/>
      <w:numFmt w:val="lowerLetter"/>
      <w:start w:val="1"/>
    </w:lvl>
  </w:abstractNum>
  <w:abstractNum w:abstractNumId="122">
    <w:nsid w:val="6B47F63E"/>
    <w:multiLevelType w:val="hybridMultilevel"/>
    <w:lvl w:ilvl="0">
      <w:lvlJc w:val="left"/>
      <w:lvlText w:val="%1."/>
      <w:numFmt w:val="lowerLetter"/>
      <w:start w:val="4"/>
    </w:lvl>
    <w:lvl w:ilvl="1">
      <w:lvlJc w:val="left"/>
      <w:lvlText w:val="(%2)"/>
      <w:numFmt w:val="lowerRoman"/>
      <w:start w:val="1"/>
    </w:lvl>
  </w:abstractNum>
  <w:abstractNum w:abstractNumId="123">
    <w:nsid w:val="5CB44A05"/>
    <w:multiLevelType w:val="hybridMultilevel"/>
    <w:lvl w:ilvl="0">
      <w:lvlJc w:val="left"/>
      <w:lvlText w:val="%1"/>
      <w:numFmt w:val="lowerLetter"/>
      <w:start w:val="1"/>
    </w:lvl>
    <w:lvl w:ilvl="1">
      <w:lvlJc w:val="left"/>
      <w:lvlText w:val="(%2)"/>
      <w:numFmt w:val="lowerLetter"/>
      <w:start w:val="1"/>
    </w:lvl>
  </w:abstractNum>
  <w:abstractNum w:abstractNumId="124">
    <w:nsid w:val="16CF80F1"/>
    <w:multiLevelType w:val="hybridMultilevel"/>
    <w:lvl w:ilvl="0">
      <w:lvlJc w:val="left"/>
      <w:lvlText w:val="%1."/>
      <w:numFmt w:val="lowerLetter"/>
      <w:start w:val="5"/>
    </w:lvl>
    <w:lvl w:ilvl="1">
      <w:lvlJc w:val="left"/>
      <w:lvlText w:val="%2"/>
      <w:numFmt w:val="lowerLetter"/>
      <w:start w:val="1"/>
    </w:lvl>
  </w:abstractNum>
  <w:abstractNum w:abstractNumId="125">
    <w:nsid w:val="1C695DEC"/>
    <w:multiLevelType w:val="hybridMultilevel"/>
    <w:lvl w:ilvl="0">
      <w:lvlJc w:val="left"/>
      <w:lvlText w:val="%1."/>
      <w:numFmt w:val="lowerLetter"/>
      <w:start w:val="6"/>
    </w:lvl>
  </w:abstractNum>
  <w:abstractNum w:abstractNumId="126">
    <w:nsid w:val="3FCFAED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7">
    <w:nsid w:val="F85686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8">
    <w:nsid w:val="11B1CC33"/>
    <w:multiLevelType w:val="hybridMultilevel"/>
    <w:lvl w:ilvl="0">
      <w:lvlJc w:val="left"/>
      <w:lvlText w:val="%1."/>
      <w:numFmt w:val="decimal"/>
      <w:start w:val="4"/>
    </w:lvl>
    <w:lvl w:ilvl="1">
      <w:lvlJc w:val="left"/>
      <w:lvlText w:val="%2."/>
      <w:numFmt w:val="lowerLetter"/>
      <w:start w:val="1"/>
    </w:lvl>
  </w:abstractNum>
  <w:abstractNum w:abstractNumId="129">
    <w:nsid w:val="2E22FBB7"/>
    <w:multiLevelType w:val="hybridMultilevel"/>
    <w:lvl w:ilvl="0">
      <w:lvlJc w:val="left"/>
      <w:lvlText w:val="%1"/>
      <w:numFmt w:val="decimal"/>
      <w:start w:val="1"/>
    </w:lvl>
    <w:lvl w:ilvl="1">
      <w:lvlJc w:val="left"/>
      <w:lvlText w:val="%2."/>
      <w:numFmt w:val="lowerLetter"/>
      <w:start w:val="4"/>
    </w:lvl>
  </w:abstractNum>
  <w:abstractNum w:abstractNumId="130">
    <w:nsid w:val="29934699"/>
    <w:multiLevelType w:val="hybridMultilevel"/>
    <w:lvl w:ilvl="0">
      <w:lvlJc w:val="left"/>
      <w:lvlText w:val="%1."/>
      <w:numFmt w:val="decimal"/>
      <w:start w:val="6"/>
    </w:lvl>
    <w:lvl w:ilvl="1">
      <w:lvlJc w:val="left"/>
      <w:lvlText w:val="%2."/>
      <w:numFmt w:val="lowerLetter"/>
      <w:start w:val="1"/>
    </w:lvl>
  </w:abstractNum>
  <w:abstractNum w:abstractNumId="131">
    <w:nsid w:val="77485850"/>
    <w:multiLevelType w:val="hybridMultilevel"/>
    <w:lvl w:ilvl="0">
      <w:lvlJc w:val="left"/>
      <w:lvlText w:val="%1"/>
      <w:numFmt w:val="decimal"/>
      <w:start w:val="1"/>
    </w:lvl>
    <w:lvl w:ilvl="1">
      <w:lvlJc w:val="left"/>
      <w:lvlText w:val="%2."/>
      <w:numFmt w:val="lowerLetter"/>
      <w:start w:val="7"/>
    </w:lvl>
  </w:abstractNum>
  <w:abstractNum w:abstractNumId="132">
    <w:nsid w:val="744939A3"/>
    <w:multiLevelType w:val="hybridMultilevel"/>
    <w:lvl w:ilvl="0">
      <w:lvlJc w:val="left"/>
      <w:lvlText w:val="%1."/>
      <w:numFmt w:val="decimal"/>
      <w:start w:val="7"/>
    </w:lvl>
    <w:lvl w:ilvl="1">
      <w:lvlJc w:val="left"/>
      <w:lvlText w:val="%2"/>
      <w:numFmt w:val="lowerLetter"/>
      <w:start w:val="1"/>
    </w:lvl>
  </w:abstractNum>
  <w:abstractNum w:abstractNumId="133">
    <w:nsid w:val="4FA0D2E3"/>
    <w:multiLevelType w:val="hybridMultilevel"/>
    <w:lvl w:ilvl="0">
      <w:lvlJc w:val="left"/>
      <w:lvlText w:val="%1."/>
      <w:numFmt w:val="decimal"/>
      <w:start w:val="8"/>
    </w:lvl>
    <w:lvl w:ilvl="1">
      <w:lvlJc w:val="left"/>
      <w:lvlText w:val="%2."/>
      <w:numFmt w:val="lowerLetter"/>
      <w:start w:val="1"/>
    </w:lvl>
  </w:abstractNum>
  <w:abstractNum w:abstractNumId="134">
    <w:nsid w:val="6B1D2C1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35">
    <w:nsid w:val="68B867D3"/>
    <w:multiLevelType w:val="hybridMultilevel"/>
    <w:lvl w:ilvl="0">
      <w:lvlJc w:val="left"/>
      <w:lvlText w:val="%1."/>
      <w:numFmt w:val="decimal"/>
      <w:start w:val="10"/>
    </w:lvl>
    <w:lvl w:ilvl="1">
      <w:lvlJc w:val="left"/>
      <w:lvlText w:val="%2."/>
      <w:numFmt w:val="lowerLetter"/>
      <w:start w:val="1"/>
    </w:lvl>
  </w:abstractNum>
  <w:abstractNum w:abstractNumId="136">
    <w:nsid w:val="3F7F5DD9"/>
    <w:multiLevelType w:val="hybridMultilevel"/>
    <w:lvl w:ilvl="0">
      <w:lvlJc w:val="left"/>
      <w:lvlText w:val="%1."/>
      <w:numFmt w:val="lowerLetter"/>
      <w:start w:val="7"/>
    </w:lvl>
  </w:abstractNum>
  <w:abstractNum w:abstractNumId="137">
    <w:nsid w:val="2AE05A34"/>
    <w:multiLevelType w:val="hybridMultilevel"/>
    <w:lvl w:ilvl="0">
      <w:lvlJc w:val="left"/>
      <w:lvlText w:val="%1."/>
      <w:numFmt w:val="decimal"/>
      <w:start w:val="1"/>
    </w:lvl>
  </w:abstractNum>
  <w:abstractNum w:abstractNumId="138">
    <w:nsid w:val="32794FF7"/>
    <w:multiLevelType w:val="hybridMultilevel"/>
    <w:lvl w:ilvl="0">
      <w:lvlJc w:val="left"/>
      <w:lvlText w:val="%1."/>
      <w:numFmt w:val="decimal"/>
      <w:start w:val="1"/>
    </w:lvl>
  </w:abstractNum>
  <w:abstractNum w:abstractNumId="139">
    <w:nsid w:val="5454945E"/>
    <w:multiLevelType w:val="hybridMultilevel"/>
    <w:lvl w:ilvl="0">
      <w:lvlJc w:val="left"/>
      <w:lvlText w:val="[***]"/>
      <w:numFmt w:val="bullet"/>
      <w:start w:val="1"/>
    </w:lvl>
  </w:abstractNum>
  <w:abstractNum w:abstractNumId="140">
    <w:nsid w:val="4DEFDFA0"/>
    <w:multiLevelType w:val="hybridMultilevel"/>
    <w:lvl w:ilvl="0">
      <w:lvlJc w:val="left"/>
      <w:lvlText w:val="%1."/>
      <w:numFmt w:val="decimal"/>
      <w:start w:val="1"/>
    </w:lvl>
  </w:abstractNum>
  <w:abstractNum w:abstractNumId="141">
    <w:nsid w:val="2123D5F2"/>
    <w:multiLevelType w:val="hybridMultilevel"/>
    <w:lvl w:ilvl="0">
      <w:lvlJc w:val="left"/>
      <w:lvlText w:val="%1."/>
      <w:numFmt w:val="decimal"/>
      <w:start w:val="2"/>
    </w:lvl>
  </w:abstractNum>
  <w:abstractNum w:abstractNumId="142">
    <w:nsid w:val="135B8110"/>
    <w:multiLevelType w:val="hybridMultilevel"/>
    <w:lvl w:ilvl="0">
      <w:lvlJc w:val="left"/>
      <w:lvlText w:val="(%1)"/>
      <w:numFmt w:val="lowerLetter"/>
      <w:start w:val="1"/>
    </w:lvl>
  </w:abstractNum>
  <w:abstractNum w:abstractNumId="143">
    <w:nsid w:val="94927A8"/>
    <w:multiLevelType w:val="hybridMultilevel"/>
    <w:lvl w:ilvl="0">
      <w:lvlJc w:val="left"/>
      <w:lvlText w:val="(%1)"/>
      <w:numFmt w:val="lowerLetter"/>
      <w:start w:val="1"/>
    </w:lvl>
  </w:abstractNum>
  <w:abstractNum w:abstractNumId="144">
    <w:nsid w:val="DCDF8F6"/>
    <w:multiLevelType w:val="hybridMultilevel"/>
    <w:lvl w:ilvl="0">
      <w:lvlJc w:val="left"/>
      <w:lvlText w:val="%1."/>
      <w:numFmt w:val="decimal"/>
      <w:start w:val="3"/>
    </w:lvl>
  </w:abstractNum>
  <w:abstractNum w:abstractNumId="145">
    <w:nsid w:val="52D7B105"/>
    <w:multiLevelType w:val="hybridMultilevel"/>
    <w:lvl w:ilvl="0">
      <w:lvlJc w:val="left"/>
      <w:lvlText w:val="%1."/>
      <w:numFmt w:val="decimal"/>
      <w:start w:val="4"/>
    </w:lvl>
  </w:abstractNum>
  <w:abstractNum w:abstractNumId="146">
    <w:nsid w:val="2E8A6394"/>
    <w:multiLevelType w:val="hybridMultilevel"/>
    <w:lvl w:ilvl="0">
      <w:lvlJc w:val="left"/>
      <w:lvlText w:val="%1."/>
      <w:numFmt w:val="decimal"/>
      <w:start w:val="5"/>
    </w:lvl>
  </w:abstractNum>
  <w:abstractNum w:abstractNumId="147">
    <w:nsid w:val="24E60401"/>
    <w:multiLevelType w:val="hybridMultilevel"/>
    <w:lvl w:ilvl="0">
      <w:lvlJc w:val="left"/>
      <w:lvlText w:val="%1."/>
      <w:numFmt w:val="decimal"/>
      <w:start w:val="6"/>
    </w:lvl>
  </w:abstractNum>
  <w:abstractNum w:abstractNumId="148">
    <w:nsid w:val="2A6AD9BE"/>
    <w:multiLevelType w:val="hybridMultilevel"/>
    <w:lvl w:ilvl="0">
      <w:lvlJc w:val="left"/>
      <w:lvlText w:val="[***]"/>
      <w:numFmt w:val="bullet"/>
      <w:start w:val="1"/>
    </w:lvl>
  </w:abstractNum>
  <w:abstractNum w:abstractNumId="149">
    <w:nsid w:val="BAAC1B4"/>
    <w:multiLevelType w:val="hybridMultilevel"/>
    <w:lvl w:ilvl="0">
      <w:lvlJc w:val="left"/>
      <w:lvlText w:val="%1."/>
      <w:numFmt w:val="decimal"/>
      <w:start w:val="7"/>
    </w:lvl>
  </w:abstractNum>
  <w:abstractNum w:abstractNumId="150">
    <w:nsid w:val="36B2ACBC"/>
    <w:multiLevelType w:val="hybridMultilevel"/>
    <w:lvl w:ilvl="0">
      <w:lvlJc w:val="left"/>
      <w:lvlText w:val="%1."/>
      <w:numFmt w:val="decimal"/>
      <w:start w:val="8"/>
    </w:lvl>
  </w:abstractNum>
  <w:abstractNum w:abstractNumId="151">
    <w:nsid w:val="779D8544"/>
    <w:multiLevelType w:val="hybridMultilevel"/>
    <w:lvl w:ilvl="0">
      <w:lvlJc w:val="left"/>
      <w:lvlText w:val="(%1)"/>
      <w:numFmt w:val="lowerRoman"/>
      <w:start w:val="4"/>
    </w:lvl>
  </w:abstractNum>
  <w:abstractNum w:abstractNumId="152">
    <w:nsid w:val="4AB26E78"/>
    <w:multiLevelType w:val="hybridMultilevel"/>
    <w:lvl w:ilvl="0">
      <w:lvlJc w:val="left"/>
      <w:lvlText w:val="(%1)"/>
      <w:numFmt w:val="lowerLetter"/>
      <w:start w:val="1"/>
    </w:lvl>
  </w:abstractNum>
  <w:abstractNum w:abstractNumId="153">
    <w:nsid w:val="21FAA2FA"/>
    <w:multiLevelType w:val="hybridMultilevel"/>
    <w:lvl w:ilvl="0">
      <w:lvlJc w:val="left"/>
      <w:lvlText w:val="(%1)"/>
      <w:numFmt w:val="lowerLetter"/>
      <w:start w:val="4"/>
    </w:lvl>
  </w:abstractNum>
  <w:abstractNum w:abstractNumId="154">
    <w:nsid w:val="5451CF49"/>
    <w:multiLevelType w:val="hybridMultilevel"/>
    <w:lvl w:ilvl="0">
      <w:lvlJc w:val="left"/>
      <w:lvlText w:val="%1."/>
      <w:numFmt w:val="decimal"/>
      <w:start w:val="9"/>
    </w:lvl>
  </w:abstractNum>
  <w:abstractNum w:abstractNumId="155">
    <w:nsid w:val="6181EF69"/>
    <w:multiLevelType w:val="hybridMultilevel"/>
    <w:lvl w:ilvl="0">
      <w:lvlJc w:val="left"/>
      <w:lvlText w:val="%1."/>
      <w:numFmt w:val="decimal"/>
      <w:start w:val="10"/>
    </w:lvl>
  </w:abstractNum>
  <w:abstractNum w:abstractNumId="156">
    <w:nsid w:val="3E6400E6"/>
    <w:multiLevelType w:val="hybridMultilevel"/>
    <w:lvl w:ilvl="0">
      <w:lvlJc w:val="left"/>
      <w:lvlText w:val="%1."/>
      <w:numFmt w:val="lowerLetter"/>
      <w:start w:val="1"/>
    </w:lvl>
  </w:abstractNum>
  <w:abstractNum w:abstractNumId="157">
    <w:nsid w:val="14217E23"/>
    <w:multiLevelType w:val="hybridMultilevel"/>
    <w:lvl w:ilvl="0">
      <w:lvlJc w:val="left"/>
      <w:lvlText w:val="%1."/>
      <w:numFmt w:val="decimal"/>
      <w:start w:val="11"/>
    </w:lvl>
  </w:abstractNum>
  <w:abstractNum w:abstractNumId="158">
    <w:nsid w:val="710757D0"/>
    <w:multiLevelType w:val="hybridMultilevel"/>
    <w:lvl w:ilvl="0">
      <w:lvlJc w:val="left"/>
      <w:lvlText w:val="(%1)"/>
      <w:numFmt w:val="lowerRoman"/>
      <w:start w:val="5"/>
    </w:lvl>
  </w:abstractNum>
  <w:abstractNum w:abstractNumId="159">
    <w:nsid w:val="5015CD1A"/>
    <w:multiLevelType w:val="hybridMultilevel"/>
    <w:lvl w:ilvl="0">
      <w:lvlJc w:val="left"/>
      <w:lvlText w:val="%1."/>
      <w:numFmt w:val="decimal"/>
      <w:start w:val="12"/>
    </w:lvl>
  </w:abstractNum>
  <w:abstractNum w:abstractNumId="160">
    <w:nsid w:val="424479DA"/>
    <w:multiLevelType w:val="hybridMultilevel"/>
    <w:lvl w:ilvl="0">
      <w:lvlJc w:val="left"/>
      <w:lvlText w:val="[***]"/>
      <w:numFmt w:val="bullet"/>
      <w:start w:val="1"/>
    </w:lvl>
  </w:abstractNum>
  <w:abstractNum w:abstractNumId="161">
    <w:nsid w:val="1A9A9E69"/>
    <w:multiLevelType w:val="hybridMultilevel"/>
    <w:lvl w:ilvl="0">
      <w:lvlJc w:val="left"/>
      <w:lvlText w:val="(%1)"/>
      <w:numFmt w:val="lowerLetter"/>
      <w:start w:val="1"/>
    </w:lvl>
  </w:abstractNum>
  <w:abstractNum w:abstractNumId="162">
    <w:nsid w:val="475E256A"/>
    <w:multiLevelType w:val="hybridMultilevel"/>
    <w:lvl w:ilvl="0">
      <w:lvlJc w:val="left"/>
      <w:lvlText w:val="%1."/>
      <w:numFmt w:val="decimal"/>
      <w:start w:val="13"/>
    </w:lvl>
  </w:abstractNum>
  <w:abstractNum w:abstractNumId="163">
    <w:nsid w:val="368DB37E"/>
    <w:multiLevelType w:val="hybridMultilevel"/>
    <w:lvl w:ilvl="0">
      <w:lvlJc w:val="left"/>
      <w:lvlText w:val="(%1)"/>
      <w:numFmt w:val="lowerLetter"/>
      <w:start w:val="7"/>
    </w:lvl>
  </w:abstractNum>
  <w:abstractNum w:abstractNumId="164">
    <w:nsid w:val="6A3B714C"/>
    <w:multiLevelType w:val="hybridMultilevel"/>
    <w:lvl w:ilvl="0">
      <w:lvlJc w:val="left"/>
      <w:lvlText w:val="%1."/>
      <w:numFmt w:val="decimal"/>
      <w:start w:val="15"/>
    </w:lvl>
  </w:abstractNum>
  <w:abstractNum w:abstractNumId="165">
    <w:nsid w:val="327B517E"/>
    <w:multiLevelType w:val="hybridMultilevel"/>
    <w:lvl w:ilvl="0">
      <w:lvlJc w:val="left"/>
      <w:lvlText w:val="%1."/>
      <w:numFmt w:val="decimal"/>
      <w:start w:val="16"/>
    </w:lvl>
  </w:abstractNum>
  <w:abstractNum w:abstractNumId="166">
    <w:nsid w:val="1F461B51"/>
    <w:multiLevelType w:val="hybridMultilevel"/>
    <w:lvl w:ilvl="0">
      <w:lvlJc w:val="left"/>
      <w:lvlText w:val="(%1)"/>
      <w:numFmt w:val="decimal"/>
      <w:start w:val="3"/>
    </w:lvl>
  </w:abstractNum>
  <w:abstractNum w:abstractNumId="167">
    <w:nsid w:val="29BACF25"/>
    <w:multiLevelType w:val="hybridMultilevel"/>
    <w:lvl w:ilvl="0">
      <w:lvlJc w:val="left"/>
      <w:lvlText w:val="(%1)"/>
      <w:numFmt w:val="lowerLetter"/>
      <w:start w:val="1"/>
    </w:lvl>
  </w:abstractNum>
  <w:abstractNum w:abstractNumId="168">
    <w:nsid w:val="5D5BABB3"/>
    <w:multiLevelType w:val="hybridMultilevel"/>
    <w:lvl w:ilvl="0">
      <w:lvlJc w:val="left"/>
      <w:lvlText w:val="(%1)"/>
      <w:numFmt w:val="lowerLetter"/>
      <w:start w:val="1"/>
    </w:lvl>
  </w:abstractNum>
  <w:abstractNum w:abstractNumId="169">
    <w:nsid w:val="51BF6B48"/>
    <w:multiLevelType w:val="hybridMultilevel"/>
    <w:lvl w:ilvl="0">
      <w:lvlJc w:val="left"/>
      <w:lvlText w:val="%1."/>
      <w:numFmt w:val="decimal"/>
      <w:start w:val="17"/>
    </w:lvl>
  </w:abstractNum>
  <w:abstractNum w:abstractNumId="170">
    <w:nsid w:val="7E0F6384"/>
    <w:multiLevelType w:val="hybridMultilevel"/>
    <w:lvl w:ilvl="0">
      <w:lvlJc w:val="left"/>
      <w:lvlText w:val="%1."/>
      <w:numFmt w:val="decimal"/>
      <w:start w:val="18"/>
    </w:lvl>
  </w:abstractNum>
  <w:abstractNum w:abstractNumId="171">
    <w:nsid w:val="2B4B8B53"/>
    <w:multiLevelType w:val="hybridMultilevel"/>
    <w:lvl w:ilvl="0">
      <w:lvlJc w:val="left"/>
      <w:lvlText w:val="%1."/>
      <w:numFmt w:val="decimal"/>
      <w:start w:val="21"/>
    </w:lvl>
  </w:abstractNum>
  <w:abstractNum w:abstractNumId="172">
    <w:nsid w:val="72E3413A"/>
    <w:multiLevelType w:val="hybridMultilevel"/>
    <w:lvl w:ilvl="0">
      <w:lvlJc w:val="left"/>
      <w:lvlText w:val="%1."/>
      <w:numFmt w:val="decimal"/>
      <w:start w:val="22"/>
    </w:lvl>
  </w:abstractNum>
  <w:abstractNum w:abstractNumId="173">
    <w:nsid w:val="116AE494"/>
    <w:multiLevelType w:val="hybridMultilevel"/>
    <w:lvl w:ilvl="0">
      <w:lvlJc w:val="left"/>
      <w:lvlText w:val="%1."/>
      <w:numFmt w:val="decimal"/>
      <w:start w:val="26"/>
    </w:lvl>
  </w:abstractNum>
  <w:abstractNum w:abstractNumId="174">
    <w:nsid w:val="3494B2FB"/>
    <w:multiLevelType w:val="hybridMultilevel"/>
    <w:lvl w:ilvl="0">
      <w:lvlJc w:val="left"/>
      <w:lvlText w:val="●"/>
      <w:numFmt w:val="bullet"/>
      <w:start w:val="1"/>
    </w:lvl>
  </w:abstractNum>
  <w:abstractNum w:abstractNumId="175">
    <w:nsid w:val="B13A31"/>
    <w:multiLevelType w:val="hybridMultilevel"/>
    <w:lvl w:ilvl="0">
      <w:lvlJc w:val="left"/>
      <w:lvlText w:val="●"/>
      <w:numFmt w:val="bullet"/>
      <w:start w:val="1"/>
    </w:lvl>
  </w:abstractNum>
  <w:abstractNum w:abstractNumId="176">
    <w:nsid w:val="644295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7">
    <w:nsid w:val="631F169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8">
    <w:nsid w:val="25973E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9">
    <w:nsid w:val="EAD6F57"/>
    <w:multiLevelType w:val="hybridMultilevel"/>
    <w:lvl w:ilvl="0">
      <w:lvlJc w:val="left"/>
      <w:lvlText w:val="%1."/>
      <w:numFmt w:val="decimal"/>
      <w:start w:val="6"/>
    </w:lvl>
    <w:lvl w:ilvl="1">
      <w:lvlJc w:val="left"/>
      <w:lvlText w:val="%2."/>
      <w:numFmt w:val="lowerLetter"/>
      <w:start w:val="1"/>
    </w:lvl>
  </w:abstractNum>
  <w:abstractNum w:abstractNumId="180">
    <w:nsid w:val="6EC9D844"/>
    <w:multiLevelType w:val="hybridMultilevel"/>
    <w:lvl w:ilvl="0">
      <w:lvlJc w:val="left"/>
      <w:lvlText w:val="%1."/>
      <w:numFmt w:val="decimal"/>
      <w:start w:val="7"/>
    </w:lvl>
  </w:abstractNum>
  <w:abstractNum w:abstractNumId="181">
    <w:nsid w:val="5C49EAEE"/>
    <w:multiLevelType w:val="hybridMultilevel"/>
    <w:lvl w:ilvl="0">
      <w:lvlJc w:val="left"/>
      <w:lvlText w:val="%1."/>
      <w:numFmt w:val="decimal"/>
      <w:start w:val="1"/>
    </w:lvl>
  </w:abstractNum>
  <w:abstractNum w:abstractNumId="182">
    <w:nsid w:val="64AF49B"/>
    <w:multiLevelType w:val="hybridMultilevel"/>
    <w:lvl w:ilvl="0">
      <w:lvlJc w:val="left"/>
      <w:lvlText w:val="%1."/>
      <w:numFmt w:val="decimal"/>
      <w:start w:val="2"/>
    </w:lvl>
  </w:abstractNum>
  <w:abstractNum w:abstractNumId="183">
    <w:nsid w:val="397C46BC"/>
    <w:multiLevelType w:val="hybridMultilevel"/>
    <w:lvl w:ilvl="0">
      <w:lvlJc w:val="left"/>
      <w:lvlText w:val="%1."/>
      <w:numFmt w:val="decimal"/>
      <w:start w:val="4"/>
    </w:lvl>
  </w:abstractNum>
  <w:abstractNum w:abstractNumId="184">
    <w:nsid w:val="7E448D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85">
    <w:nsid w:val="5A9CC3E5"/>
    <w:multiLevelType w:val="hybridMultilevel"/>
    <w:lvl w:ilvl="0">
      <w:lvlJc w:val="left"/>
      <w:lvlText w:val="%1."/>
      <w:numFmt w:val="lowerRoman"/>
      <w:start w:val="2"/>
    </w:lvl>
  </w:abstractNum>
  <w:abstractNum w:abstractNumId="186">
    <w:nsid w:val="1AFE3625"/>
    <w:multiLevelType w:val="hybridMultilevel"/>
    <w:lvl w:ilvl="0">
      <w:lvlJc w:val="left"/>
      <w:lvlText w:val="%1."/>
      <w:numFmt w:val="decimal"/>
      <w:start w:val="6"/>
    </w:lvl>
  </w:abstractNum>
  <w:abstractNum w:abstractNumId="187">
    <w:nsid w:val="3CA88ECF"/>
    <w:multiLevelType w:val="hybridMultilevel"/>
    <w:lvl w:ilvl="0">
      <w:lvlJc w:val="left"/>
      <w:lvlText w:val="-"/>
      <w:numFmt w:val="bullet"/>
      <w:start w:val="1"/>
    </w:lvl>
  </w:abstractNum>
  <w:abstractNum w:abstractNumId="188">
    <w:nsid w:val="6EBE4208"/>
    <w:multiLevelType w:val="hybridMultilevel"/>
    <w:lvl w:ilvl="0">
      <w:lvlJc w:val="left"/>
      <w:lvlText w:val="%1."/>
      <w:numFmt w:val="decimal"/>
      <w:start w:val="7"/>
    </w:lvl>
  </w:abstractNum>
  <w:abstractNum w:abstractNumId="189">
    <w:nsid w:val="C058DF5"/>
    <w:multiLevelType w:val="hybridMultilevel"/>
    <w:lvl w:ilvl="0">
      <w:lvlJc w:val="left"/>
      <w:lvlText w:val="%1."/>
      <w:numFmt w:val="decimal"/>
      <w:start w:val="8"/>
    </w:lvl>
  </w:abstractNum>
  <w:abstractNum w:abstractNumId="190">
    <w:nsid w:val="CBE5BE9"/>
    <w:multiLevelType w:val="hybridMultilevel"/>
    <w:lvl w:ilvl="0">
      <w:lvlJc w:val="left"/>
      <w:lvlText w:val="%1."/>
      <w:numFmt w:val="decimal"/>
      <w:start w:val="9"/>
    </w:lvl>
  </w:abstractNum>
  <w:abstractNum w:abstractNumId="191">
    <w:nsid w:val="3102BBE2"/>
    <w:multiLevelType w:val="hybridMultilevel"/>
    <w:lvl w:ilvl="0">
      <w:lvlJc w:val="left"/>
      <w:lvlText w:val="%1"/>
      <w:numFmt w:val="decimal"/>
      <w:start w:val="1"/>
    </w:lvl>
    <w:lvl w:ilvl="1">
      <w:lvlJc w:val="left"/>
      <w:lvlText w:val="%2."/>
      <w:numFmt w:val="lowerRoman"/>
      <w:start w:val="1"/>
    </w:lvl>
  </w:abstractNum>
  <w:abstractNum w:abstractNumId="192">
    <w:nsid w:val="26A02C5E"/>
    <w:multiLevelType w:val="hybridMultilevel"/>
    <w:lvl w:ilvl="0">
      <w:lvlJc w:val="left"/>
      <w:lvlText w:val="%1."/>
      <w:numFmt w:val="decimal"/>
      <w:start w:val="10"/>
    </w:lvl>
    <w:lvl w:ilvl="1">
      <w:lvlJc w:val="left"/>
      <w:lvlText w:val="%2"/>
      <w:numFmt w:val="lowerRoman"/>
      <w:start w:val="1"/>
    </w:lvl>
  </w:abstractNum>
  <w:abstractNum w:abstractNumId="193">
    <w:nsid w:val="541C8153"/>
    <w:multiLevelType w:val="hybridMultilevel"/>
    <w:lvl w:ilvl="0">
      <w:lvlJc w:val="left"/>
      <w:lvlText w:val="●"/>
      <w:numFmt w:val="bullet"/>
      <w:start w:val="1"/>
    </w:lvl>
  </w:abstractNum>
  <w:abstractNum w:abstractNumId="194">
    <w:nsid w:val="67906F60"/>
    <w:multiLevelType w:val="hybridMultilevel"/>
    <w:lvl w:ilvl="0">
      <w:lvlJc w:val="left"/>
      <w:lvlText w:val="%1."/>
      <w:numFmt w:val="decimal"/>
      <w:start w:val="1"/>
    </w:lvl>
    <w:lvl w:ilvl="1">
      <w:lvlJc w:val="left"/>
      <w:lvlText w:val="(%2)"/>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jpe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140" Type="http://schemas.openxmlformats.org/officeDocument/2006/relationships/hyperlink" Target="https://www.sec.gov/Archives/edgar/data/0001835963/000119312521266649/d211311dex31.htm" TargetMode="External"/><Relationship Id="rId141" Type="http://schemas.openxmlformats.org/officeDocument/2006/relationships/hyperlink" Target="https://www.sec.gov/Archives/edgar/data/0001835963/000119312521266649/d211311dex41.htm" TargetMode="External"/><Relationship Id="rId142" Type="http://schemas.openxmlformats.org/officeDocument/2006/relationships/hyperlink" Target="https://www.sec.gov/Archives/edgar/data/0001835963/000119312521266649/d211311dex101.htm" TargetMode="External"/><Relationship Id="rId143" Type="http://schemas.openxmlformats.org/officeDocument/2006/relationships/hyperlink" Target="https://www.sec.gov/Archives/edgar/data/0001835963/000119312521266649/d211311dex102.htm" TargetMode="External"/><Relationship Id="rId144" Type="http://schemas.openxmlformats.org/officeDocument/2006/relationships/hyperlink" Target="https://www.sec.gov/Archives/edgar/data/1837430/000119312521096719/d107630dex106.htm" TargetMode="External"/><Relationship Id="rId145" Type="http://schemas.openxmlformats.org/officeDocument/2006/relationships/hyperlink" Target="https://www.sec.gov/Archives/edgar/data/0001835963/000119312521266649/d211311dex103.htm" TargetMode="External"/><Relationship Id="rId146" Type="http://schemas.openxmlformats.org/officeDocument/2006/relationships/hyperlink" Target="https://www.sec.gov/Archives/edgar/data/0001835963/000119312521266649/d211311dex107.htm" TargetMode="External"/><Relationship Id="rId147" Type="http://schemas.openxmlformats.org/officeDocument/2006/relationships/hyperlink" Target="https://www.sec.gov/Archives/edgar/data/0001835963/000119312521266649/d211311dex106.htm" TargetMode="External"/><Relationship Id="rId148" Type="http://schemas.openxmlformats.org/officeDocument/2006/relationships/hyperlink" Target="https://www.sec.gov/Archives/edgar/data/1762301/000104746919003413/a2238869zex-10_8.htm" TargetMode="External"/><Relationship Id="rId149" Type="http://schemas.openxmlformats.org/officeDocument/2006/relationships/hyperlink" Target="https://www.sec.gov/Archives/edgar/data/0001835963/000119312521266649/d211311dex104.htm" TargetMode="External"/><Relationship Id="rId150" Type="http://schemas.openxmlformats.org/officeDocument/2006/relationships/hyperlink" Target="https://www.sec.gov/Archives/edgar/data/1762301/000117891320002551/exhibit_99-1.htm" TargetMode="External"/><Relationship Id="rId151" Type="http://schemas.openxmlformats.org/officeDocument/2006/relationships/hyperlink" Target="https://www.sec.gov/Archives/edgar/data/0001835963/000119312521266649/d211311dex105.htm" TargetMode="External"/><Relationship Id="rId152" Type="http://schemas.openxmlformats.org/officeDocument/2006/relationships/hyperlink" Target="https://www.sec.gov/Archives/edgar/data/0001835963/000119312521266649/d211311dex108.htm" TargetMode="External"/><Relationship Id="rId153" Type="http://schemas.openxmlformats.org/officeDocument/2006/relationships/hyperlink" Target="https://www.sec.gov/Archives/edgar/data/0001835963/000119312521266649/d211311dex109.htm" TargetMode="External"/><Relationship Id="rId154" Type="http://schemas.openxmlformats.org/officeDocument/2006/relationships/hyperlink" Target="https://www.sec.gov/Archives/edgar/data/1835963/000119312521266649/d21131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2022-03-28T15:52:34Z</dcterms:created>
  <dcterms:modified xsi:type="dcterms:W3CDTF">2022-03-28T15:52:34Z</dcterms:modified>
</cp:coreProperties>
</file>