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Bakst Anna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VARICK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NY 10013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 (Instr.</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6,271</w:t>
            </w:r>
            <w:r>
              <w:rPr>
                <w:rFonts w:ascii="Times New Roman" w:cs="Times New Roman" w:eastAsia="Times New Roman" w:hAnsi="Times New Roman"/>
                <w:sz w:val="22"/>
                <w:szCs w:val="22"/>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31.896</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20"/>
              <w:spacing w:after="0" w:line="320" w:lineRule="exact"/>
              <w:rPr>
                <w:sz w:val="20"/>
                <w:szCs w:val="20"/>
                <w:color w:val="auto"/>
              </w:rPr>
            </w:pPr>
            <w:r>
              <w:rPr>
                <w:rFonts w:ascii="Times New Roman" w:cs="Times New Roman" w:eastAsia="Times New Roman" w:hAnsi="Times New Roman"/>
                <w:sz w:val="34"/>
                <w:szCs w:val="34"/>
                <w:color w:val="0000FF"/>
                <w:w w:val="97"/>
                <w:vertAlign w:val="subscript"/>
              </w:rPr>
              <w:t>31,220</w:t>
            </w:r>
            <w:r>
              <w:rPr>
                <w:rFonts w:ascii="Times New Roman" w:cs="Times New Roman" w:eastAsia="Times New Roman" w:hAnsi="Times New Roman"/>
                <w:sz w:val="11"/>
                <w:szCs w:val="11"/>
                <w:color w:val="008000"/>
                <w:w w:val="97"/>
              </w:rPr>
              <w:t>(2)(3)(4)(5)(6)(7)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to the Reporting Person, with a vesting commencement date of April 1, 2026. The RSUs vest in full on the first anniversary of the vesting commencement date, subject to the Reporting Person's continued service through the applicable vesting date. Each RSU represents a contingent right to receive one ordinary share of the Issuer upon vesting and settlement.</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2,577 ordinary shares issued upon the vesting and settlement of an equivalent number of RSUs previously granted to the Reporting Person by the Issuer on June 22, 2021. As of the date hereof, all such RSUs have fully vested.</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4,295 ordinary shares issued upon the vesting and settlement of an equivalent number of RSUs previously granted to the Reporting Person by the Issuer on June 22, 2021. As of the date hereof, all such RSUs have fully vested.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4,474 ordinary shares issued upon the vesting and settlement of an equivalent number of RSUs previously granted to the Reporting Person by the Issuer on April 14, 2022. As of the date hereof, all such RSUs have fully vested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5,008 ordinary shares issued upon the vesting and settlement of an equivalent number of RSUs previously granted to the Reporting Person by the Issuer on April 20, 2023. As of the date hereof, all such RSUs have fully vested.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4,351 ordinary shares issued upon the vesting and settlement of an equivalent number of RSUs previously granted to the Reporting Person by the Issuer on April 26, 2024. As of the date hereof, all such RSUs have fully vested.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4,244 ordinary shares issued upon the vesting and settlement of an equivalent number of RSUs previously granted to the Reporting Person by the Issuer on April 14, 2025. As of the date hereof, all such RSUs have fully vested.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05/14/2026</w:t>
            </w: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5488"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2026-05-14T11:20:34Z</dcterms:created>
  <dcterms:modified xsi:type="dcterms:W3CDTF">2026-05-14T11:20:34Z</dcterms:modified>
</cp:coreProperties>
</file>