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44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441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Debbi Nir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22A MORDECHAI ELKACHI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Global-E Online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GLBE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277"/>
        <w:spacing w:after="0"/>
        <w:rPr>
          <w:sz w:val="20"/>
          <w:szCs w:val="20"/>
          <w:color w:val="auto"/>
        </w:rPr>
      </w:pPr>
      <w:r>
        <w:rPr>
          <w:rFonts w:ascii="Times New Roman" w:cs="Times New Roman" w:eastAsia="Times New Roman" w:hAnsi="Times New Roman"/>
          <w:sz w:val="17"/>
          <w:szCs w:val="17"/>
          <w:color w:val="0000FF"/>
        </w:rPr>
        <w:t>President</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98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10"/>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80" w:type="dxa"/>
            <w:vAlign w:val="bottom"/>
          </w:tcPr>
          <w:p>
            <w:pPr>
              <w:spacing w:after="0"/>
              <w:rPr>
                <w:sz w:val="2"/>
                <w:szCs w:val="2"/>
                <w:color w:val="auto"/>
              </w:rPr>
            </w:pPr>
          </w:p>
        </w:tc>
        <w:tc>
          <w:tcPr>
            <w:tcW w:w="3460" w:type="dxa"/>
            <w:vAlign w:val="bottom"/>
            <w:gridSpan w:val="8"/>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280" w:type="dxa"/>
            <w:vAlign w:val="bottom"/>
          </w:tcPr>
          <w:p>
            <w:pPr>
              <w:spacing w:after="0"/>
              <w:rPr>
                <w:sz w:val="10"/>
                <w:szCs w:val="10"/>
                <w:color w:val="auto"/>
              </w:rPr>
            </w:pPr>
          </w:p>
        </w:tc>
        <w:tc>
          <w:tcPr>
            <w:tcW w:w="34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w w:val="96"/>
              </w:rPr>
              <w:t>Line)</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TEL AVIV</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L3</w:t>
            </w: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Person</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3100" w:type="dxa"/>
            <w:vAlign w:val="bottom"/>
            <w:tcBorders>
              <w:bottom w:val="single" w:sz="8" w:color="2C2C2C"/>
            </w:tcBorders>
            <w:gridSpan w:val="10"/>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5"/>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6"/>
              </w:rPr>
              <w:t>2A. Deemed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88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7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 (Instr. 3 and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vMerge w:val="restart"/>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w w:val="93"/>
              </w:rPr>
              <w:t>(A) or</w:t>
            </w: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06/24/2026</w:t>
            </w: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right"/>
              <w:ind w:right="99"/>
              <w:spacing w:after="0"/>
              <w:rPr>
                <w:sz w:val="20"/>
                <w:szCs w:val="20"/>
                <w:color w:val="auto"/>
              </w:rPr>
            </w:pPr>
            <w:r>
              <w:rPr>
                <w:rFonts w:ascii="Times New Roman" w:cs="Times New Roman" w:eastAsia="Times New Roman" w:hAnsi="Times New Roman"/>
                <w:sz w:val="17"/>
                <w:szCs w:val="17"/>
                <w:color w:val="0000FF"/>
              </w:rPr>
              <w:t>6,890</w:t>
            </w:r>
          </w:p>
        </w:tc>
        <w:tc>
          <w:tcPr>
            <w:tcW w:w="3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34.0195</w:t>
            </w:r>
          </w:p>
        </w:tc>
        <w:tc>
          <w:tcPr>
            <w:tcW w:w="1760" w:type="dxa"/>
            <w:vAlign w:val="bottom"/>
            <w:tcBorders>
              <w:bottom w:val="single" w:sz="8" w:color="2C2C2C"/>
            </w:tcBorders>
            <w:gridSpan w:val="4"/>
          </w:tcPr>
          <w:p>
            <w:pPr>
              <w:ind w:left="80"/>
              <w:spacing w:after="0" w:line="309" w:lineRule="exact"/>
              <w:rPr>
                <w:sz w:val="20"/>
                <w:szCs w:val="20"/>
                <w:color w:val="auto"/>
              </w:rPr>
            </w:pPr>
            <w:r>
              <w:rPr>
                <w:rFonts w:ascii="Times New Roman" w:cs="Times New Roman" w:eastAsia="Times New Roman" w:hAnsi="Times New Roman"/>
                <w:sz w:val="33"/>
                <w:szCs w:val="33"/>
                <w:color w:val="0000FF"/>
                <w:w w:val="93"/>
                <w:vertAlign w:val="subscript"/>
              </w:rPr>
              <w:t>4,547,961</w:t>
            </w:r>
            <w:r>
              <w:rPr>
                <w:rFonts w:ascii="Times New Roman" w:cs="Times New Roman" w:eastAsia="Times New Roman" w:hAnsi="Times New Roman"/>
                <w:sz w:val="11"/>
                <w:szCs w:val="11"/>
                <w:color w:val="008000"/>
                <w:w w:val="93"/>
              </w:rPr>
              <w:t>(1)(2)(3)(4)(5)(6)(7)</w:t>
            </w:r>
          </w:p>
        </w:tc>
        <w:tc>
          <w:tcPr>
            <w:tcW w:w="8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6"/>
          </w:tcPr>
          <w:p>
            <w:pPr>
              <w:jc w:val="center"/>
              <w:ind w:right="7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5"/>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w w:val="90"/>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Exercisable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04/17/2019</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04/14/2029</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604,200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604,200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4.1645</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04/20/2021</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04/20/2030</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882,600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882,600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-2217420</wp:posOffset>
            </wp:positionV>
            <wp:extent cx="29210" cy="2222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225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3,852,694 ordinary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51,546 RSUs granted to the Reporting Person by the Issuer on June 22, 2021.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89,499 RSUs granted to the Reporting Person by the Issuer on April 14, 2022.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100,159 RSUs granted to the Reporting Person by the Issuer on April 20, 2023.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Michal Yardeni</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06/25/2026</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4141" TargetMode="External"/><Relationship Id="rId14" Type="http://schemas.openxmlformats.org/officeDocument/2006/relationships/hyperlink" Target="http://www.sec.gov/cgi-bin/browse-edgar?action=getcompany&amp;CIK=0001835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2026-06-25T07:55:23Z</dcterms:created>
  <dcterms:modified xsi:type="dcterms:W3CDTF">2026-06-25T07:55:23Z</dcterms:modified>
</cp:coreProperties>
</file>