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57886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78866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3140" w:type="dxa"/>
            <w:vAlign w:val="bottom"/>
            <w:gridSpan w:val="3"/>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3300" w:type="dxa"/>
            <w:vAlign w:val="bottom"/>
            <w:gridSpan w:val="3"/>
          </w:tcPr>
          <w:p>
            <w:pPr>
              <w:ind w:left="680"/>
              <w:spacing w:after="0"/>
              <w:rPr>
                <w:sz w:val="20"/>
                <w:szCs w:val="20"/>
                <w:color w:val="auto"/>
              </w:rPr>
            </w:pPr>
            <w:r>
              <w:rPr>
                <w:rFonts w:ascii="Arial" w:cs="Arial" w:eastAsia="Arial" w:hAnsi="Arial"/>
                <w:sz w:val="13"/>
                <w:szCs w:val="13"/>
                <w:color w:val="auto"/>
                <w:w w:val="98"/>
              </w:rPr>
              <w:t xml:space="preserve">2. Issuer Name </w:t>
            </w:r>
            <w:r>
              <w:rPr>
                <w:rFonts w:ascii="Arial" w:cs="Arial" w:eastAsia="Arial" w:hAnsi="Arial"/>
                <w:sz w:val="13"/>
                <w:szCs w:val="13"/>
                <w:b w:val="1"/>
                <w:bCs w:val="1"/>
                <w:color w:val="auto"/>
                <w:w w:val="98"/>
              </w:rPr>
              <w:t>and</w:t>
            </w:r>
            <w:r>
              <w:rPr>
                <w:rFonts w:ascii="Arial" w:cs="Arial" w:eastAsia="Arial" w:hAnsi="Arial"/>
                <w:sz w:val="13"/>
                <w:szCs w:val="13"/>
                <w:color w:val="auto"/>
                <w:w w:val="98"/>
              </w:rPr>
              <w:t xml:space="preserve"> Ticker or Trading Symbol</w:t>
            </w:r>
          </w:p>
        </w:tc>
        <w:tc>
          <w:tcPr>
            <w:tcW w:w="0" w:type="dxa"/>
            <w:vAlign w:val="bottom"/>
          </w:tcPr>
          <w:p>
            <w:pPr>
              <w:spacing w:after="0"/>
              <w:rPr>
                <w:sz w:val="1"/>
                <w:szCs w:val="1"/>
                <w:color w:val="auto"/>
              </w:rPr>
            </w:pPr>
          </w:p>
        </w:tc>
      </w:tr>
      <w:tr>
        <w:trPr>
          <w:trHeight w:val="181"/>
        </w:trPr>
        <w:tc>
          <w:tcPr>
            <w:tcW w:w="3140" w:type="dxa"/>
            <w:vAlign w:val="bottom"/>
            <w:gridSpan w:val="3"/>
            <w:vMerge w:val="restart"/>
          </w:tcPr>
          <w:p>
            <w:pPr>
              <w:ind w:left="4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Debbi Nir</w:t>
              </w:r>
            </w:hyperlink>
          </w:p>
        </w:tc>
        <w:tc>
          <w:tcPr>
            <w:tcW w:w="680" w:type="dxa"/>
            <w:vAlign w:val="bottom"/>
          </w:tcPr>
          <w:p>
            <w:pPr>
              <w:spacing w:after="0"/>
              <w:rPr>
                <w:sz w:val="15"/>
                <w:szCs w:val="15"/>
                <w:color w:val="auto"/>
              </w:rPr>
            </w:pPr>
          </w:p>
        </w:tc>
        <w:tc>
          <w:tcPr>
            <w:tcW w:w="2620" w:type="dxa"/>
            <w:vAlign w:val="bottom"/>
            <w:gridSpan w:val="2"/>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Global-E Online Ltd.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GLBE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3140" w:type="dxa"/>
            <w:vAlign w:val="bottom"/>
            <w:gridSpan w:val="3"/>
            <w:vMerge w:val="continue"/>
          </w:tcPr>
          <w:p>
            <w:pPr>
              <w:spacing w:after="0"/>
              <w:rPr>
                <w:sz w:val="4"/>
                <w:szCs w:val="4"/>
                <w:color w:val="auto"/>
              </w:rPr>
            </w:pPr>
          </w:p>
        </w:tc>
        <w:tc>
          <w:tcPr>
            <w:tcW w:w="680" w:type="dxa"/>
            <w:vAlign w:val="bottom"/>
            <w:vMerge w:val="restart"/>
          </w:tcPr>
          <w:p>
            <w:pPr>
              <w:spacing w:after="0"/>
              <w:rPr>
                <w:sz w:val="4"/>
                <w:szCs w:val="4"/>
                <w:color w:val="auto"/>
              </w:rPr>
            </w:pPr>
          </w:p>
        </w:tc>
        <w:tc>
          <w:tcPr>
            <w:tcW w:w="1760" w:type="dxa"/>
            <w:vAlign w:val="bottom"/>
            <w:tcBorders>
              <w:top w:val="single" w:sz="8" w:color="0000EE"/>
            </w:tcBorders>
            <w:vMerge w:val="restart"/>
          </w:tcPr>
          <w:p>
            <w:pPr>
              <w:spacing w:after="0"/>
              <w:rPr>
                <w:sz w:val="20"/>
                <w:szCs w:val="20"/>
                <w:color w:val="auto"/>
              </w:rPr>
            </w:pPr>
            <w:r>
              <w:rPr>
                <w:rFonts w:ascii="Arial" w:cs="Arial" w:eastAsia="Arial" w:hAnsi="Arial"/>
                <w:sz w:val="13"/>
                <w:szCs w:val="13"/>
                <w:color w:val="auto"/>
              </w:rPr>
              <w:t>Foreign Trading Symbol</w:t>
            </w:r>
          </w:p>
        </w:tc>
        <w:tc>
          <w:tcPr>
            <w:tcW w:w="86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40" w:type="dxa"/>
            <w:vAlign w:val="bottom"/>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22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760" w:type="dxa"/>
            <w:vAlign w:val="bottom"/>
            <w:tcBorders>
              <w:top w:val="single" w:sz="8" w:color="0000EE"/>
            </w:tcBorders>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p>
      <w:pPr>
        <w:jc w:val="both"/>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2" w:lineRule="exact"/>
        <w:rPr>
          <w:sz w:val="20"/>
          <w:szCs w:val="20"/>
          <w:color w:val="auto"/>
        </w:rPr>
      </w:pPr>
    </w:p>
    <w:p>
      <w:pPr>
        <w:sectPr>
          <w:pgSz w:w="11900" w:h="16838" w:orient="portrait"/>
          <w:cols w:equalWidth="0" w:num="2">
            <w:col w:w="7003" w:space="720"/>
            <w:col w:w="3357"/>
          </w:cols>
          <w:pgMar w:left="460" w:top="217" w:right="359" w:bottom="0" w:gutter="0" w:footer="0" w:header="0"/>
          <w:type w:val="continuous"/>
        </w:sectPr>
      </w:pPr>
    </w:p>
    <w:tbl>
      <w:tblPr>
        <w:tblLayout w:type="fixed"/>
        <w:tblInd w:w="100" w:type="dxa"/>
        <w:tblCellMar>
          <w:top w:w="0" w:type="dxa"/>
          <w:left w:w="0" w:type="dxa"/>
          <w:bottom w:w="0" w:type="dxa"/>
          <w:right w:w="0" w:type="dxa"/>
        </w:tblCellMar>
      </w:tblPr>
      <w:tr>
        <w:trPr>
          <w:trHeight w:val="52"/>
        </w:trPr>
        <w:tc>
          <w:tcPr>
            <w:tcW w:w="800" w:type="dxa"/>
            <w:vAlign w:val="bottom"/>
            <w:tcBorders>
              <w:bottom w:val="single" w:sz="8" w:color="9A9A9A"/>
            </w:tcBorders>
          </w:tcPr>
          <w:p>
            <w:pPr>
              <w:spacing w:after="0"/>
              <w:rPr>
                <w:sz w:val="4"/>
                <w:szCs w:val="4"/>
                <w:color w:val="auto"/>
              </w:rPr>
            </w:pPr>
          </w:p>
        </w:tc>
        <w:tc>
          <w:tcPr>
            <w:tcW w:w="1220" w:type="dxa"/>
            <w:vAlign w:val="bottom"/>
            <w:tcBorders>
              <w:bottom w:val="single" w:sz="8" w:color="9A9A9A"/>
            </w:tcBorders>
          </w:tcPr>
          <w:p>
            <w:pPr>
              <w:spacing w:after="0"/>
              <w:rPr>
                <w:sz w:val="4"/>
                <w:szCs w:val="4"/>
                <w:color w:val="auto"/>
              </w:rPr>
            </w:pPr>
          </w:p>
        </w:tc>
        <w:tc>
          <w:tcPr>
            <w:tcW w:w="1620" w:type="dxa"/>
            <w:vAlign w:val="bottom"/>
            <w:tcBorders>
              <w:bottom w:val="single" w:sz="8" w:color="9A9A9A"/>
            </w:tcBorders>
          </w:tcPr>
          <w:p>
            <w:pPr>
              <w:spacing w:after="0"/>
              <w:rPr>
                <w:sz w:val="4"/>
                <w:szCs w:val="4"/>
                <w:color w:val="auto"/>
              </w:rPr>
            </w:pPr>
          </w:p>
        </w:tc>
        <w:tc>
          <w:tcPr>
            <w:tcW w:w="5760" w:type="dxa"/>
            <w:vAlign w:val="bottom"/>
            <w:vMerge w:val="restart"/>
          </w:tcPr>
          <w:p>
            <w:pPr>
              <w:ind w:left="4520"/>
              <w:spacing w:after="0"/>
              <w:rPr>
                <w:sz w:val="20"/>
                <w:szCs w:val="20"/>
                <w:color w:val="auto"/>
              </w:rPr>
            </w:pPr>
            <w:r>
              <w:rPr>
                <w:rFonts w:ascii="Arial" w:cs="Arial" w:eastAsia="Arial" w:hAnsi="Arial"/>
                <w:sz w:val="13"/>
                <w:szCs w:val="13"/>
                <w:color w:val="auto"/>
              </w:rPr>
              <w:t>Officer (give title</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78"/>
        </w:trPr>
        <w:tc>
          <w:tcPr>
            <w:tcW w:w="8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576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5760" w:type="dxa"/>
            <w:vAlign w:val="bottom"/>
          </w:tcPr>
          <w:p>
            <w:pPr>
              <w:ind w:left="4520"/>
              <w:spacing w:after="0"/>
              <w:rPr>
                <w:sz w:val="20"/>
                <w:szCs w:val="20"/>
                <w:color w:val="auto"/>
              </w:rPr>
            </w:pPr>
            <w:r>
              <w:rPr>
                <w:rFonts w:ascii="Arial" w:cs="Arial" w:eastAsia="Arial" w:hAnsi="Arial"/>
                <w:sz w:val="13"/>
                <w:szCs w:val="13"/>
                <w:color w:val="auto"/>
              </w:rPr>
              <w:t>below)</w:t>
            </w:r>
          </w:p>
        </w:tc>
        <w:tc>
          <w:tcPr>
            <w:tcW w:w="11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3"/>
        </w:trPr>
        <w:tc>
          <w:tcPr>
            <w:tcW w:w="80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1620" w:type="dxa"/>
            <w:vAlign w:val="bottom"/>
            <w:vMerge w:val="continue"/>
          </w:tcPr>
          <w:p>
            <w:pPr>
              <w:spacing w:after="0"/>
              <w:rPr>
                <w:sz w:val="3"/>
                <w:szCs w:val="3"/>
                <w:color w:val="auto"/>
              </w:rPr>
            </w:pPr>
          </w:p>
        </w:tc>
        <w:tc>
          <w:tcPr>
            <w:tcW w:w="5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22A MORDECHAI ELKACHI</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tcBorders>
              <w:top w:val="single" w:sz="8" w:color="2C2C2C"/>
            </w:tcBorders>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tcPr>
          <w:p>
            <w:pPr>
              <w:ind w:left="1340"/>
              <w:spacing w:after="0"/>
              <w:rPr>
                <w:sz w:val="20"/>
                <w:szCs w:val="20"/>
                <w:color w:val="auto"/>
              </w:rPr>
            </w:pPr>
            <w:r>
              <w:rPr>
                <w:rFonts w:ascii="Times New Roman" w:cs="Times New Roman" w:eastAsia="Times New Roman" w:hAnsi="Times New Roman"/>
                <w:sz w:val="17"/>
                <w:szCs w:val="17"/>
                <w:color w:val="0000FF"/>
              </w:rPr>
              <w:t>President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60" w:type="dxa"/>
            <w:vAlign w:val="bottom"/>
            <w:gridSpan w:val="3"/>
          </w:tcPr>
          <w:p>
            <w:pPr>
              <w:ind w:left="1500"/>
              <w:spacing w:after="0"/>
              <w:rPr>
                <w:sz w:val="20"/>
                <w:szCs w:val="20"/>
                <w:color w:val="auto"/>
              </w:rPr>
            </w:pPr>
            <w:r>
              <w:rPr>
                <w:rFonts w:ascii="Times New Roman" w:cs="Times New Roman" w:eastAsia="Times New Roman" w:hAnsi="Times New Roman"/>
                <w:sz w:val="17"/>
                <w:szCs w:val="17"/>
                <w:color w:val="0000FF"/>
              </w:rPr>
              <w:t>11/02/2026</w:t>
            </w: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0" w:type="dxa"/>
            <w:vAlign w:val="bottom"/>
            <w:tcBorders>
              <w:bottom w:val="single" w:sz="8" w:color="9A9A9A"/>
            </w:tcBorders>
          </w:tcPr>
          <w:p>
            <w:pPr>
              <w:spacing w:after="0"/>
              <w:rPr>
                <w:sz w:val="2"/>
                <w:szCs w:val="2"/>
                <w:color w:val="auto"/>
              </w:rPr>
            </w:pPr>
          </w:p>
        </w:tc>
        <w:tc>
          <w:tcPr>
            <w:tcW w:w="130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Borders>
              <w:bottom w:val="single" w:sz="8" w:color="808080"/>
            </w:tcBorders>
          </w:tcPr>
          <w:p>
            <w:pPr>
              <w:spacing w:after="0"/>
              <w:rPr>
                <w:sz w:val="24"/>
                <w:szCs w:val="24"/>
                <w:color w:val="auto"/>
              </w:rPr>
            </w:pPr>
          </w:p>
        </w:tc>
        <w:tc>
          <w:tcPr>
            <w:tcW w:w="33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0" w:type="dxa"/>
            <w:vAlign w:val="bottom"/>
          </w:tcPr>
          <w:p>
            <w:pPr>
              <w:ind w:left="20"/>
              <w:spacing w:after="0" w:line="174" w:lineRule="exact"/>
              <w:rPr>
                <w:sz w:val="20"/>
                <w:szCs w:val="20"/>
                <w:color w:val="auto"/>
              </w:rPr>
            </w:pPr>
            <w:r>
              <w:rPr>
                <w:rFonts w:ascii="Times New Roman" w:cs="Times New Roman" w:eastAsia="Times New Roman" w:hAnsi="Times New Roman"/>
                <w:sz w:val="17"/>
                <w:szCs w:val="17"/>
                <w:color w:val="0000FF"/>
              </w:rPr>
              <w:t>TEL AVIV</w:t>
            </w: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tcBorders>
              <w:top w:val="single" w:sz="8" w:color="2C2C2C"/>
            </w:tcBorders>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tcBorders>
              <w:top w:val="single" w:sz="8" w:color="2C2C2C"/>
            </w:tcBorders>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3300" w:type="dxa"/>
            <w:vAlign w:val="bottom"/>
          </w:tcPr>
          <w:p>
            <w:pPr>
              <w:ind w:left="6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300" w:type="dxa"/>
            <w:vAlign w:val="bottom"/>
            <w:vMerge w:val="restart"/>
          </w:tcPr>
          <w:p>
            <w:pPr>
              <w:ind w:left="240"/>
              <w:spacing w:after="0"/>
              <w:rPr>
                <w:sz w:val="20"/>
                <w:szCs w:val="20"/>
                <w:color w:val="auto"/>
              </w:rPr>
            </w:pPr>
            <w:r>
              <w:rPr>
                <w:rFonts w:ascii="Arial" w:cs="Arial" w:eastAsia="Arial" w:hAnsi="Arial"/>
                <w:sz w:val="13"/>
                <w:szCs w:val="13"/>
                <w:color w:val="auto"/>
              </w:rPr>
              <w:t>(State)</w:t>
            </w:r>
          </w:p>
        </w:tc>
        <w:tc>
          <w:tcPr>
            <w:tcW w:w="5260" w:type="dxa"/>
            <w:vAlign w:val="bottom"/>
            <w:gridSpan w:val="3"/>
            <w:vMerge w:val="restart"/>
          </w:tcPr>
          <w:p>
            <w:pPr>
              <w:ind w:left="160"/>
              <w:spacing w:after="0"/>
              <w:rPr>
                <w:sz w:val="20"/>
                <w:szCs w:val="20"/>
                <w:color w:val="auto"/>
              </w:rPr>
            </w:pPr>
            <w:r>
              <w:rPr>
                <w:rFonts w:ascii="Arial" w:cs="Arial" w:eastAsia="Arial" w:hAnsi="Arial"/>
                <w:sz w:val="13"/>
                <w:szCs w:val="13"/>
                <w:color w:val="auto"/>
              </w:rPr>
              <w:t>(Zip)</w:t>
            </w:r>
          </w:p>
        </w:tc>
        <w:tc>
          <w:tcPr>
            <w:tcW w:w="3300" w:type="dxa"/>
            <w:vAlign w:val="bottom"/>
          </w:tcPr>
          <w:p>
            <w:pPr>
              <w:ind w:left="6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5260" w:type="dxa"/>
            <w:vAlign w:val="bottom"/>
            <w:gridSpan w:val="3"/>
            <w:vMerge w:val="continue"/>
          </w:tcPr>
          <w:p>
            <w:pPr>
              <w:spacing w:after="0"/>
              <w:rPr>
                <w:sz w:val="8"/>
                <w:szCs w:val="8"/>
                <w:color w:val="auto"/>
              </w:rPr>
            </w:pPr>
          </w:p>
        </w:tc>
        <w:tc>
          <w:tcPr>
            <w:tcW w:w="3300" w:type="dxa"/>
            <w:vAlign w:val="bottom"/>
            <w:vMerge w:val="restart"/>
          </w:tcPr>
          <w:p>
            <w:pPr>
              <w:ind w:left="6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ISRAEL</w:t>
            </w:r>
          </w:p>
        </w:tc>
        <w:tc>
          <w:tcPr>
            <w:tcW w:w="13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3300" w:type="dxa"/>
            <w:vAlign w:val="bottom"/>
          </w:tcPr>
          <w:p>
            <w:pPr>
              <w:ind w:left="6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80"/>
        <w:spacing w:after="0"/>
        <w:rPr>
          <w:sz w:val="20"/>
          <w:szCs w:val="20"/>
          <w:color w:val="auto"/>
        </w:rPr>
      </w:pPr>
      <w:r>
        <w:rPr>
          <w:rFonts w:ascii="Arial" w:cs="Arial" w:eastAsia="Arial" w:hAnsi="Arial"/>
          <w:sz w:val="13"/>
          <w:szCs w:val="13"/>
          <w:color w:val="auto"/>
        </w:rPr>
        <w:t>(Country)</w:t>
      </w:r>
    </w:p>
    <w:p>
      <w:pPr>
        <w:spacing w:after="0" w:line="147"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1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40" w:type="dxa"/>
            <w:vAlign w:val="bottom"/>
          </w:tcPr>
          <w:p>
            <w:pPr>
              <w:ind w:left="4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740" w:type="dxa"/>
            <w:vAlign w:val="bottom"/>
          </w:tcPr>
          <w:p>
            <w:pPr>
              <w:ind w:left="60"/>
              <w:spacing w:after="0"/>
              <w:rPr>
                <w:sz w:val="20"/>
                <w:szCs w:val="20"/>
                <w:color w:val="auto"/>
              </w:rPr>
            </w:pPr>
            <w:r>
              <w:rPr>
                <w:rFonts w:ascii="Arial" w:cs="Arial" w:eastAsia="Arial" w:hAnsi="Arial"/>
                <w:sz w:val="12"/>
                <w:szCs w:val="12"/>
                <w:b w:val="1"/>
                <w:bCs w:val="1"/>
                <w:color w:val="auto"/>
              </w:rPr>
              <w:t>5. Amount of Securities</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440" w:type="dxa"/>
            <w:vAlign w:val="bottom"/>
          </w:tcPr>
          <w:p>
            <w:pPr>
              <w:ind w:left="42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jc w:val="center"/>
              <w:ind w:right="103"/>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 Owned</w:t>
            </w:r>
          </w:p>
        </w:tc>
        <w:tc>
          <w:tcPr>
            <w:tcW w:w="8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440" w:type="dxa"/>
            <w:vAlign w:val="bottom"/>
          </w:tcPr>
          <w:p>
            <w:pPr>
              <w:jc w:val="center"/>
              <w:ind w:left="26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 Reported</w:t>
            </w:r>
          </w:p>
        </w:tc>
        <w:tc>
          <w:tcPr>
            <w:tcW w:w="8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Transaction(s) (Instr. 3 and 4)</w:t>
            </w:r>
          </w:p>
        </w:tc>
        <w:tc>
          <w:tcPr>
            <w:tcW w:w="8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740" w:type="dxa"/>
            <w:vAlign w:val="bottom"/>
          </w:tcPr>
          <w:p>
            <w:pPr>
              <w:spacing w:after="0"/>
              <w:rPr>
                <w:sz w:val="6"/>
                <w:szCs w:val="6"/>
                <w:color w:val="auto"/>
              </w:rPr>
            </w:pP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3"/>
              </w:rPr>
              <w:t>(A) or</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7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960" w:type="dxa"/>
            <w:vAlign w:val="bottom"/>
            <w:tcBorders>
              <w:bottom w:val="single" w:sz="8" w:color="2C2C2C"/>
            </w:tcBorders>
          </w:tcPr>
          <w:p>
            <w:pPr>
              <w:spacing w:after="0"/>
              <w:rPr>
                <w:sz w:val="12"/>
                <w:szCs w:val="12"/>
                <w:color w:val="auto"/>
              </w:rPr>
            </w:pPr>
          </w:p>
        </w:tc>
        <w:tc>
          <w:tcPr>
            <w:tcW w:w="174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1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440" w:type="dxa"/>
            <w:vAlign w:val="bottom"/>
            <w:tcBorders>
              <w:bottom w:val="single" w:sz="8" w:color="2C2C2C"/>
            </w:tcBorders>
          </w:tcPr>
          <w:p>
            <w:pPr>
              <w:jc w:val="center"/>
              <w:ind w:left="289"/>
              <w:spacing w:after="0"/>
              <w:rPr>
                <w:sz w:val="20"/>
                <w:szCs w:val="20"/>
                <w:color w:val="auto"/>
              </w:rPr>
            </w:pPr>
            <w:r>
              <w:rPr>
                <w:rFonts w:ascii="Times New Roman" w:cs="Times New Roman" w:eastAsia="Times New Roman" w:hAnsi="Times New Roman"/>
                <w:sz w:val="17"/>
                <w:szCs w:val="17"/>
                <w:color w:val="0000FF"/>
                <w:w w:val="98"/>
              </w:rPr>
              <w:t>11/02/2026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473</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42.3111</w:t>
            </w:r>
            <w:r>
              <w:rPr>
                <w:rFonts w:ascii="Times New Roman" w:cs="Times New Roman" w:eastAsia="Times New Roman" w:hAnsi="Times New Roman"/>
                <w:sz w:val="21"/>
                <w:szCs w:val="21"/>
                <w:color w:val="008000"/>
                <w:w w:val="93"/>
                <w:vertAlign w:val="superscript"/>
              </w:rPr>
              <w:t>(1)</w:t>
            </w:r>
          </w:p>
        </w:tc>
        <w:tc>
          <w:tcPr>
            <w:tcW w:w="1740" w:type="dxa"/>
            <w:vAlign w:val="bottom"/>
            <w:tcBorders>
              <w:bottom w:val="single" w:sz="8" w:color="2C2C2C"/>
            </w:tcBorders>
          </w:tcPr>
          <w:p>
            <w:pPr>
              <w:jc w:val="center"/>
              <w:spacing w:after="0" w:line="309" w:lineRule="exact"/>
              <w:rPr>
                <w:sz w:val="20"/>
                <w:szCs w:val="20"/>
                <w:color w:val="auto"/>
              </w:rPr>
            </w:pPr>
            <w:r>
              <w:rPr>
                <w:rFonts w:ascii="Times New Roman" w:cs="Times New Roman" w:eastAsia="Times New Roman" w:hAnsi="Times New Roman"/>
                <w:sz w:val="33"/>
                <w:szCs w:val="33"/>
                <w:color w:val="0000FF"/>
                <w:w w:val="86"/>
                <w:vertAlign w:val="subscript"/>
              </w:rPr>
              <w:t>4,356,902</w:t>
            </w:r>
            <w:r>
              <w:rPr>
                <w:rFonts w:ascii="Times New Roman" w:cs="Times New Roman" w:eastAsia="Times New Roman" w:hAnsi="Times New Roman"/>
                <w:sz w:val="11"/>
                <w:szCs w:val="11"/>
                <w:color w:val="008000"/>
                <w:w w:val="86"/>
              </w:rPr>
              <w:t>(2)(3)(4)(5)(6)(7)(8)</w:t>
            </w:r>
          </w:p>
        </w:tc>
        <w:tc>
          <w:tcPr>
            <w:tcW w:w="8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1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440" w:type="dxa"/>
            <w:vAlign w:val="bottom"/>
            <w:tcBorders>
              <w:bottom w:val="single" w:sz="8" w:color="2C2C2C"/>
            </w:tcBorders>
          </w:tcPr>
          <w:p>
            <w:pPr>
              <w:jc w:val="center"/>
              <w:ind w:left="289"/>
              <w:spacing w:after="0"/>
              <w:rPr>
                <w:sz w:val="20"/>
                <w:szCs w:val="20"/>
                <w:color w:val="auto"/>
              </w:rPr>
            </w:pPr>
            <w:r>
              <w:rPr>
                <w:rFonts w:ascii="Times New Roman" w:cs="Times New Roman" w:eastAsia="Times New Roman" w:hAnsi="Times New Roman"/>
                <w:sz w:val="17"/>
                <w:szCs w:val="17"/>
                <w:color w:val="0000FF"/>
                <w:w w:val="98"/>
              </w:rPr>
              <w:t>11/02/2026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13,521</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43.2291</w:t>
            </w:r>
            <w:r>
              <w:rPr>
                <w:rFonts w:ascii="Times New Roman" w:cs="Times New Roman" w:eastAsia="Times New Roman" w:hAnsi="Times New Roman"/>
                <w:sz w:val="21"/>
                <w:szCs w:val="21"/>
                <w:color w:val="008000"/>
                <w:w w:val="93"/>
                <w:vertAlign w:val="superscript"/>
              </w:rPr>
              <w:t>(9)</w:t>
            </w:r>
          </w:p>
        </w:tc>
        <w:tc>
          <w:tcPr>
            <w:tcW w:w="1740" w:type="dxa"/>
            <w:vAlign w:val="bottom"/>
            <w:tcBorders>
              <w:bottom w:val="single" w:sz="8" w:color="2C2C2C"/>
            </w:tcBorders>
          </w:tcPr>
          <w:p>
            <w:pPr>
              <w:jc w:val="center"/>
              <w:spacing w:after="0" w:line="309" w:lineRule="exact"/>
              <w:rPr>
                <w:sz w:val="20"/>
                <w:szCs w:val="20"/>
                <w:color w:val="auto"/>
              </w:rPr>
            </w:pPr>
            <w:r>
              <w:rPr>
                <w:rFonts w:ascii="Times New Roman" w:cs="Times New Roman" w:eastAsia="Times New Roman" w:hAnsi="Times New Roman"/>
                <w:sz w:val="33"/>
                <w:szCs w:val="33"/>
                <w:color w:val="0000FF"/>
                <w:w w:val="87"/>
                <w:vertAlign w:val="subscript"/>
              </w:rPr>
              <w:t>4,343,381</w:t>
            </w:r>
            <w:r>
              <w:rPr>
                <w:rFonts w:ascii="Times New Roman" w:cs="Times New Roman" w:eastAsia="Times New Roman" w:hAnsi="Times New Roman"/>
                <w:sz w:val="11"/>
                <w:szCs w:val="11"/>
                <w:color w:val="008000"/>
                <w:w w:val="87"/>
              </w:rPr>
              <w:t>(3)(4)(5)(6)(7)(8)(10)</w:t>
            </w:r>
          </w:p>
        </w:tc>
        <w:tc>
          <w:tcPr>
            <w:tcW w:w="8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Borders>
              <w:bottom w:val="single" w:sz="8" w:color="2C2C2C"/>
            </w:tcBorders>
          </w:tcPr>
          <w:p>
            <w:pPr>
              <w:spacing w:after="0"/>
              <w:rPr>
                <w:sz w:val="24"/>
                <w:szCs w:val="24"/>
                <w:color w:val="auto"/>
              </w:rPr>
            </w:pPr>
          </w:p>
        </w:tc>
        <w:tc>
          <w:tcPr>
            <w:tcW w:w="21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440" w:type="dxa"/>
            <w:vAlign w:val="bottom"/>
            <w:tcBorders>
              <w:bottom w:val="single" w:sz="8" w:color="2C2C2C"/>
            </w:tcBorders>
          </w:tcPr>
          <w:p>
            <w:pPr>
              <w:jc w:val="center"/>
              <w:ind w:left="289"/>
              <w:spacing w:after="0"/>
              <w:rPr>
                <w:sz w:val="20"/>
                <w:szCs w:val="20"/>
                <w:color w:val="auto"/>
              </w:rPr>
            </w:pPr>
            <w:r>
              <w:rPr>
                <w:rFonts w:ascii="Times New Roman" w:cs="Times New Roman" w:eastAsia="Times New Roman" w:hAnsi="Times New Roman"/>
                <w:sz w:val="17"/>
                <w:szCs w:val="17"/>
                <w:color w:val="0000FF"/>
                <w:w w:val="98"/>
              </w:rPr>
              <w:t>11/02/2026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588</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43.7964</w:t>
            </w:r>
            <w:r>
              <w:rPr>
                <w:rFonts w:ascii="Times New Roman" w:cs="Times New Roman" w:eastAsia="Times New Roman" w:hAnsi="Times New Roman"/>
                <w:sz w:val="21"/>
                <w:szCs w:val="21"/>
                <w:color w:val="008000"/>
                <w:w w:val="93"/>
                <w:vertAlign w:val="superscript"/>
              </w:rPr>
              <w:t>(11)</w:t>
            </w:r>
          </w:p>
        </w:tc>
        <w:tc>
          <w:tcPr>
            <w:tcW w:w="1740" w:type="dxa"/>
            <w:vAlign w:val="bottom"/>
            <w:tcBorders>
              <w:bottom w:val="single" w:sz="8" w:color="2C2C2C"/>
            </w:tcBorders>
          </w:tcPr>
          <w:p>
            <w:pPr>
              <w:jc w:val="center"/>
              <w:spacing w:after="0" w:line="309" w:lineRule="exact"/>
              <w:rPr>
                <w:sz w:val="20"/>
                <w:szCs w:val="20"/>
                <w:color w:val="auto"/>
              </w:rPr>
            </w:pPr>
            <w:r>
              <w:rPr>
                <w:rFonts w:ascii="Times New Roman" w:cs="Times New Roman" w:eastAsia="Times New Roman" w:hAnsi="Times New Roman"/>
                <w:sz w:val="33"/>
                <w:szCs w:val="33"/>
                <w:color w:val="0000FF"/>
                <w:w w:val="87"/>
                <w:vertAlign w:val="subscript"/>
              </w:rPr>
              <w:t>4,342,793</w:t>
            </w:r>
            <w:r>
              <w:rPr>
                <w:rFonts w:ascii="Times New Roman" w:cs="Times New Roman" w:eastAsia="Times New Roman" w:hAnsi="Times New Roman"/>
                <w:sz w:val="11"/>
                <w:szCs w:val="11"/>
                <w:color w:val="008000"/>
                <w:w w:val="87"/>
              </w:rPr>
              <w:t>(3)(4)(5)(6)(7)(8)(12)</w:t>
            </w:r>
          </w:p>
        </w:tc>
        <w:tc>
          <w:tcPr>
            <w:tcW w:w="8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6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center"/>
              <w:ind w:right="1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1.201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04/17/2019</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04/14/2029</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604,200</w:t>
            </w:r>
          </w:p>
        </w:tc>
        <w:tc>
          <w:tcPr>
            <w:tcW w:w="700" w:type="dxa"/>
            <w:vAlign w:val="bottom"/>
          </w:tcPr>
          <w:p>
            <w:pPr>
              <w:spacing w:after="0"/>
              <w:rPr>
                <w:sz w:val="15"/>
                <w:szCs w:val="15"/>
                <w:color w:val="auto"/>
              </w:rPr>
            </w:pPr>
          </w:p>
        </w:tc>
        <w:tc>
          <w:tcPr>
            <w:tcW w:w="9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604,200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tcPr>
          <w:p>
            <w:pPr>
              <w:ind w:left="60"/>
              <w:spacing w:after="0" w:line="65" w:lineRule="exact"/>
              <w:rPr>
                <w:sz w:val="20"/>
                <w:szCs w:val="20"/>
                <w:color w:val="auto"/>
              </w:rPr>
            </w:pPr>
            <w:r>
              <w:rPr>
                <w:rFonts w:ascii="Times New Roman" w:cs="Times New Roman" w:eastAsia="Times New Roman" w:hAnsi="Times New Roman"/>
                <w:sz w:val="6"/>
                <w:szCs w:val="6"/>
                <w:color w:val="0000FF"/>
              </w:rPr>
              <w:t>Option</w:t>
            </w:r>
            <w:r>
              <w:rPr>
                <w:rFonts w:ascii="Times New Roman" w:cs="Times New Roman" w:eastAsia="Times New Roman" w:hAnsi="Times New Roman"/>
                <w:sz w:val="7"/>
                <w:szCs w:val="7"/>
                <w:color w:val="008000"/>
                <w:vertAlign w:val="superscript"/>
              </w:rPr>
              <w:t>(13)</w:t>
            </w:r>
          </w:p>
        </w:tc>
        <w:tc>
          <w:tcPr>
            <w:tcW w:w="7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tcPr>
          <w:p>
            <w:pPr>
              <w:ind w:left="120"/>
              <w:spacing w:after="0" w:line="65" w:lineRule="exact"/>
              <w:rPr>
                <w:sz w:val="20"/>
                <w:szCs w:val="20"/>
                <w:color w:val="auto"/>
              </w:rPr>
            </w:pPr>
            <w:r>
              <w:rPr>
                <w:rFonts w:ascii="Times New Roman" w:cs="Times New Roman" w:eastAsia="Times New Roman" w:hAnsi="Times New Roman"/>
                <w:sz w:val="6"/>
                <w:szCs w:val="6"/>
                <w:color w:val="0000FF"/>
              </w:rPr>
              <w:t>Shares</w:t>
            </w:r>
          </w:p>
        </w:tc>
        <w:tc>
          <w:tcPr>
            <w:tcW w:w="6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6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center"/>
              <w:ind w:right="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4.1645</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04/20/2021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04/20/2030</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882,600</w:t>
            </w:r>
          </w:p>
        </w:tc>
        <w:tc>
          <w:tcPr>
            <w:tcW w:w="700" w:type="dxa"/>
            <w:vAlign w:val="bottom"/>
          </w:tcPr>
          <w:p>
            <w:pPr>
              <w:spacing w:after="0"/>
              <w:rPr>
                <w:sz w:val="15"/>
                <w:szCs w:val="15"/>
                <w:color w:val="auto"/>
              </w:rPr>
            </w:pPr>
          </w:p>
        </w:tc>
        <w:tc>
          <w:tcPr>
            <w:tcW w:w="9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882,600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tcPr>
          <w:p>
            <w:pPr>
              <w:ind w:left="60"/>
              <w:spacing w:after="0" w:line="65" w:lineRule="exact"/>
              <w:rPr>
                <w:sz w:val="20"/>
                <w:szCs w:val="20"/>
                <w:color w:val="auto"/>
              </w:rPr>
            </w:pPr>
            <w:r>
              <w:rPr>
                <w:rFonts w:ascii="Times New Roman" w:cs="Times New Roman" w:eastAsia="Times New Roman" w:hAnsi="Times New Roman"/>
                <w:sz w:val="6"/>
                <w:szCs w:val="6"/>
                <w:color w:val="0000FF"/>
              </w:rPr>
              <w:t>Option</w:t>
            </w:r>
            <w:r>
              <w:rPr>
                <w:rFonts w:ascii="Times New Roman" w:cs="Times New Roman" w:eastAsia="Times New Roman" w:hAnsi="Times New Roman"/>
                <w:sz w:val="7"/>
                <w:szCs w:val="7"/>
                <w:color w:val="008000"/>
                <w:vertAlign w:val="superscript"/>
              </w:rPr>
              <w:t>(13)</w:t>
            </w:r>
          </w:p>
        </w:tc>
        <w:tc>
          <w:tcPr>
            <w:tcW w:w="7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tcPr>
          <w:p>
            <w:pPr>
              <w:ind w:left="120"/>
              <w:spacing w:after="0" w:line="65" w:lineRule="exact"/>
              <w:rPr>
                <w:sz w:val="20"/>
                <w:szCs w:val="20"/>
                <w:color w:val="auto"/>
              </w:rPr>
            </w:pPr>
            <w:r>
              <w:rPr>
                <w:rFonts w:ascii="Times New Roman" w:cs="Times New Roman" w:eastAsia="Times New Roman" w:hAnsi="Times New Roman"/>
                <w:sz w:val="6"/>
                <w:szCs w:val="6"/>
                <w:color w:val="0000FF"/>
              </w:rPr>
              <w:t>Shares</w:t>
            </w:r>
          </w:p>
        </w:tc>
        <w:tc>
          <w:tcPr>
            <w:tcW w:w="6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$41.7425 to $42.4825. The reporting person undertakes to provide full information regarding the number of shares sold at each separate price upon reques.</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3,661,635 ordinary shares.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51,546 RSUs granted to the Reporting Person by the Issuer on June 22, 2021. As of the date hereof, all of the RSUs have fully vested.</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89,499 RSUs granted to the Reporting Person by the Issuer on April 14, 2022. As of the date hereof, all of the RSUs have fully vested.</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100,159 RSUs granted to the Reporting Person by the Issuer on April 20, 2023. As of the date hereof, all of the RSUs have fully vested</w:t>
      </w:r>
    </w:p>
    <w:p>
      <w:pPr>
        <w:spacing w:after="0" w:line="44" w:lineRule="exact"/>
        <w:rPr>
          <w:rFonts w:ascii="Times New Roman" w:cs="Times New Roman" w:eastAsia="Times New Roman" w:hAnsi="Times New Roman"/>
          <w:sz w:val="13"/>
          <w:szCs w:val="13"/>
          <w:color w:val="008000"/>
        </w:rPr>
      </w:pPr>
    </w:p>
    <w:p>
      <w:pPr>
        <w:ind w:left="40" w:right="2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p>
      <w:pPr>
        <w:spacing w:after="0" w:line="25" w:lineRule="exact"/>
        <w:rPr>
          <w:rFonts w:ascii="Times New Roman" w:cs="Times New Roman" w:eastAsia="Times New Roman" w:hAnsi="Times New Roman"/>
          <w:sz w:val="13"/>
          <w:szCs w:val="13"/>
          <w:color w:val="008000"/>
        </w:rPr>
      </w:pPr>
    </w:p>
    <w:p>
      <w:pPr>
        <w:ind w:left="40" w:right="2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p>
      <w:pPr>
        <w:spacing w:after="0" w:line="25" w:lineRule="exact"/>
        <w:rPr>
          <w:rFonts w:ascii="Times New Roman" w:cs="Times New Roman" w:eastAsia="Times New Roman" w:hAnsi="Times New Roman"/>
          <w:sz w:val="13"/>
          <w:szCs w:val="13"/>
          <w:color w:val="008000"/>
        </w:rPr>
      </w:pPr>
    </w:p>
    <w:p>
      <w:pPr>
        <w:ind w:left="40" w:right="1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p>
      <w:pPr>
        <w:spacing w:after="0" w:line="25" w:lineRule="exact"/>
        <w:rPr>
          <w:rFonts w:ascii="Times New Roman" w:cs="Times New Roman" w:eastAsia="Times New Roman" w:hAnsi="Times New Roman"/>
          <w:sz w:val="13"/>
          <w:szCs w:val="13"/>
          <w:color w:val="008000"/>
        </w:rPr>
      </w:pPr>
    </w:p>
    <w:p>
      <w:pPr>
        <w:ind w:left="40" w:right="2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$42.8075 to $43.7225. The reporting person undertakes to provide full information regarding the number of shares sold at each separate price upon reques.</w:t>
      </w:r>
    </w:p>
    <w:p>
      <w:pPr>
        <w:spacing w:after="0" w:line="16" w:lineRule="exact"/>
        <w:rPr>
          <w:rFonts w:ascii="Times New Roman" w:cs="Times New Roman" w:eastAsia="Times New Roman" w:hAnsi="Times New Roman"/>
          <w:sz w:val="13"/>
          <w:szCs w:val="13"/>
          <w:color w:val="008000"/>
        </w:rPr>
      </w:pPr>
    </w:p>
    <w:p>
      <w:pPr>
        <w:ind w:left="240" w:hanging="198"/>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3,648,114 ordinary shares.</w:t>
      </w:r>
    </w:p>
    <w:p>
      <w:pPr>
        <w:spacing w:after="0" w:line="44" w:lineRule="exact"/>
        <w:rPr>
          <w:rFonts w:ascii="Times New Roman" w:cs="Times New Roman" w:eastAsia="Times New Roman" w:hAnsi="Times New Roman"/>
          <w:sz w:val="13"/>
          <w:szCs w:val="13"/>
          <w:color w:val="008000"/>
        </w:rPr>
      </w:pPr>
    </w:p>
    <w:p>
      <w:pPr>
        <w:ind w:left="40" w:right="280" w:firstLine="2"/>
        <w:spacing w:after="0" w:line="256" w:lineRule="auto"/>
        <w:tabs>
          <w:tab w:leader="none" w:pos="2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$43.745 to $43.8725. The reporting person undertakes to provide full information regarding the number of shares sold at each separate price upon reques.</w:t>
      </w:r>
    </w:p>
    <w:p>
      <w:pPr>
        <w:spacing w:after="0" w:line="16" w:lineRule="exact"/>
        <w:rPr>
          <w:rFonts w:ascii="Times New Roman" w:cs="Times New Roman" w:eastAsia="Times New Roman" w:hAnsi="Times New Roman"/>
          <w:sz w:val="13"/>
          <w:szCs w:val="13"/>
          <w:color w:val="008000"/>
        </w:rPr>
      </w:pPr>
    </w:p>
    <w:p>
      <w:pPr>
        <w:ind w:left="240" w:hanging="198"/>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3,647,526 ordinary shares.</w:t>
      </w:r>
    </w:p>
    <w:p>
      <w:pPr>
        <w:spacing w:after="0" w:line="44" w:lineRule="exact"/>
        <w:rPr>
          <w:rFonts w:ascii="Times New Roman" w:cs="Times New Roman" w:eastAsia="Times New Roman" w:hAnsi="Times New Roman"/>
          <w:sz w:val="13"/>
          <w:szCs w:val="13"/>
          <w:color w:val="008000"/>
        </w:rPr>
      </w:pPr>
    </w:p>
    <w:p>
      <w:pPr>
        <w:ind w:left="40" w:right="480" w:firstLine="2"/>
        <w:spacing w:after="0" w:line="256" w:lineRule="auto"/>
        <w:tabs>
          <w:tab w:leader="none" w:pos="23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There were no transactions effected in respect of the securities reported in this row, and the holdings in this row are being included for informational purposes only. The options are now fully vested but remain unexercised.</w:t>
      </w:r>
    </w:p>
    <w:p>
      <w:pPr>
        <w:sectPr>
          <w:pgSz w:w="11900" w:h="16838" w:orient="portrait"/>
          <w:cols w:equalWidth="0" w:num="1">
            <w:col w:w="11080"/>
          </w:cols>
          <w:pgMar w:left="460" w:top="217" w:right="359" w:bottom="0" w:gutter="0" w:footer="0" w:header="0"/>
          <w:type w:val="continuous"/>
        </w:sectPr>
      </w:pPr>
    </w:p>
    <w:p>
      <w:pPr>
        <w:spacing w:after="0" w:line="4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Michal Yardeni</w:t>
      </w:r>
      <w:r>
        <w:rPr>
          <w:sz w:val="20"/>
          <w:szCs w:val="20"/>
          <w:color w:val="auto"/>
        </w:rPr>
        <w:tab/>
      </w:r>
      <w:r>
        <w:rPr>
          <w:rFonts w:ascii="Times New Roman" w:cs="Times New Roman" w:eastAsia="Times New Roman" w:hAnsi="Times New Roman"/>
          <w:sz w:val="16"/>
          <w:szCs w:val="16"/>
          <w:color w:val="0000FF"/>
        </w:rPr>
        <w:t>11/04/2026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661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6103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-8890</wp:posOffset>
            </wp:positionV>
            <wp:extent cx="4813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ectPr>
          <w:pgSz w:w="11900" w:h="16838" w:orient="portrait"/>
          <w:cols w:equalWidth="0" w:num="1">
            <w:col w:w="11080"/>
          </w:cols>
          <w:pgMar w:left="460" w:top="217" w:right="359" w:bottom="0" w:gutter="0" w:footer="0" w:header="0"/>
          <w:type w:val="continuous"/>
        </w:sectPr>
      </w:pPr>
    </w:p>
    <w:bookmarkStart w:id="1" w:name="page2"/>
    <w:bookmarkEnd w:id="1"/>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499"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964141" TargetMode="External"/><Relationship Id="rId14" Type="http://schemas.openxmlformats.org/officeDocument/2006/relationships/hyperlink" Target="http://www.sec.gov/cgi-bin/browse-edgar?action=getcompany&amp;CIK=00018359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2026-11-04T09:10:34Z</dcterms:created>
  <dcterms:modified xsi:type="dcterms:W3CDTF">2026-11-04T09:10:34Z</dcterms:modified>
</cp:coreProperties>
</file>