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Koren Ofer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HAALIYA HASHNIA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HERZLIA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Global-E Online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GLBE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1"/>
        <w:gridCol w:w="902"/>
        <w:gridCol w:w="771"/>
        <w:gridCol w:w="599"/>
        <w:gridCol w:w="352"/>
        <w:gridCol w:w="818"/>
        <w:gridCol w:w="465"/>
        <w:gridCol w:w="678"/>
        <w:gridCol w:w="1211"/>
        <w:gridCol w:w="1010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3.44</w:t>
            </w:r>
          </w:p>
        </w:tc>
        <w:tc>
          <w:tcPr>
            <w:tcW w:w="12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153,489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</w:t>
            </w:r>
          </w:p>
        </w:tc>
        <w:tc>
          <w:tcPr>
            <w:tcW w:w="12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153,189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4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6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4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3.44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08/02/2021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08/18/2030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234,700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exercises and related sales reported herein were effected pursuant to a Rule 10b5-1 trading plan adopted by the Reporting Person on June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Consists of (i) 153,189 RSUs, each representing the right to receive one ordinary share upon vesting and settlement, and (ii) 300 ordinary shares acquired upon the exercise of stock options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Michal Yardeni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4100" TargetMode="External"/><Relationship Id="rId5" Type="http://schemas.openxmlformats.org/officeDocument/2006/relationships/hyperlink" Target="http://www.sec.gov/cgi-bin/browse-edgar?action=getcompany&amp;CIK=0001835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3473</Characters>
  <CharactersWithSpaces>4028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