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6001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00138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140" w:type="dxa"/>
            <w:vAlign w:val="bottom"/>
            <w:gridSpan w:val="3"/>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3300" w:type="dxa"/>
            <w:vAlign w:val="bottom"/>
            <w:gridSpan w:val="3"/>
          </w:tcPr>
          <w:p>
            <w:pPr>
              <w:ind w:left="680"/>
              <w:spacing w:after="0"/>
              <w:rPr>
                <w:sz w:val="20"/>
                <w:szCs w:val="20"/>
                <w:color w:val="auto"/>
              </w:rPr>
            </w:pPr>
            <w:r>
              <w:rPr>
                <w:rFonts w:ascii="Arial" w:cs="Arial" w:eastAsia="Arial" w:hAnsi="Arial"/>
                <w:sz w:val="13"/>
                <w:szCs w:val="13"/>
                <w:color w:val="auto"/>
                <w:w w:val="98"/>
              </w:rPr>
              <w:t xml:space="preserve">2. Issuer Name </w:t>
            </w:r>
            <w:r>
              <w:rPr>
                <w:rFonts w:ascii="Arial" w:cs="Arial" w:eastAsia="Arial" w:hAnsi="Arial"/>
                <w:sz w:val="13"/>
                <w:szCs w:val="13"/>
                <w:b w:val="1"/>
                <w:bCs w:val="1"/>
                <w:color w:val="auto"/>
                <w:w w:val="98"/>
              </w:rPr>
              <w:t>and</w:t>
            </w:r>
            <w:r>
              <w:rPr>
                <w:rFonts w:ascii="Arial" w:cs="Arial" w:eastAsia="Arial" w:hAnsi="Arial"/>
                <w:sz w:val="13"/>
                <w:szCs w:val="13"/>
                <w:color w:val="auto"/>
                <w:w w:val="98"/>
              </w:rPr>
              <w:t xml:space="preserve"> Ticker or Trading Symbol</w:t>
            </w:r>
          </w:p>
        </w:tc>
        <w:tc>
          <w:tcPr>
            <w:tcW w:w="0" w:type="dxa"/>
            <w:vAlign w:val="bottom"/>
          </w:tcPr>
          <w:p>
            <w:pPr>
              <w:spacing w:after="0"/>
              <w:rPr>
                <w:sz w:val="1"/>
                <w:szCs w:val="1"/>
                <w:color w:val="auto"/>
              </w:rPr>
            </w:pPr>
          </w:p>
        </w:tc>
      </w:tr>
      <w:tr>
        <w:trPr>
          <w:trHeight w:val="181"/>
        </w:trPr>
        <w:tc>
          <w:tcPr>
            <w:tcW w:w="3140" w:type="dxa"/>
            <w:vAlign w:val="bottom"/>
            <w:gridSpan w:val="3"/>
            <w:vMerge w:val="restart"/>
          </w:tcPr>
          <w:p>
            <w:pPr>
              <w:ind w:left="4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Tamari Shahar</w:t>
              </w:r>
            </w:hyperlink>
          </w:p>
        </w:tc>
        <w:tc>
          <w:tcPr>
            <w:tcW w:w="680" w:type="dxa"/>
            <w:vAlign w:val="bottom"/>
          </w:tcPr>
          <w:p>
            <w:pPr>
              <w:spacing w:after="0"/>
              <w:rPr>
                <w:sz w:val="15"/>
                <w:szCs w:val="15"/>
                <w:color w:val="auto"/>
              </w:rPr>
            </w:pPr>
          </w:p>
        </w:tc>
        <w:tc>
          <w:tcPr>
            <w:tcW w:w="262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Global-E Online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GLBE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3140" w:type="dxa"/>
            <w:vAlign w:val="bottom"/>
            <w:gridSpan w:val="3"/>
            <w:vMerge w:val="continue"/>
          </w:tcPr>
          <w:p>
            <w:pPr>
              <w:spacing w:after="0"/>
              <w:rPr>
                <w:sz w:val="4"/>
                <w:szCs w:val="4"/>
                <w:color w:val="auto"/>
              </w:rPr>
            </w:pPr>
          </w:p>
        </w:tc>
        <w:tc>
          <w:tcPr>
            <w:tcW w:w="680" w:type="dxa"/>
            <w:vAlign w:val="bottom"/>
            <w:vMerge w:val="restart"/>
          </w:tcPr>
          <w:p>
            <w:pPr>
              <w:spacing w:after="0"/>
              <w:rPr>
                <w:sz w:val="4"/>
                <w:szCs w:val="4"/>
                <w:color w:val="auto"/>
              </w:rPr>
            </w:pPr>
          </w:p>
        </w:tc>
        <w:tc>
          <w:tcPr>
            <w:tcW w:w="1760" w:type="dxa"/>
            <w:vAlign w:val="bottom"/>
            <w:tcBorders>
              <w:top w:val="single" w:sz="8" w:color="0000EE"/>
            </w:tcBorders>
            <w:vMerge w:val="restart"/>
          </w:tcPr>
          <w:p>
            <w:pPr>
              <w:spacing w:after="0"/>
              <w:rPr>
                <w:sz w:val="20"/>
                <w:szCs w:val="20"/>
                <w:color w:val="auto"/>
              </w:rPr>
            </w:pPr>
            <w:r>
              <w:rPr>
                <w:rFonts w:ascii="Arial" w:cs="Arial" w:eastAsia="Arial" w:hAnsi="Arial"/>
                <w:sz w:val="13"/>
                <w:szCs w:val="13"/>
                <w:color w:val="auto"/>
              </w:rPr>
              <w:t>Foreign Trading Symbol</w:t>
            </w:r>
          </w:p>
        </w:tc>
        <w:tc>
          <w:tcPr>
            <w:tcW w:w="8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1200" w:type="dxa"/>
            <w:vAlign w:val="bottom"/>
            <w:tcBorders>
              <w:top w:val="single" w:sz="8" w:color="0000EE"/>
            </w:tcBorders>
          </w:tcPr>
          <w:p>
            <w:pPr>
              <w:spacing w:after="0"/>
              <w:rPr>
                <w:sz w:val="8"/>
                <w:szCs w:val="8"/>
                <w:color w:val="auto"/>
              </w:rPr>
            </w:pPr>
          </w:p>
        </w:tc>
        <w:tc>
          <w:tcPr>
            <w:tcW w:w="19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760" w:type="dxa"/>
            <w:vAlign w:val="bottom"/>
            <w:tcBorders>
              <w:top w:val="single" w:sz="8" w:color="0000EE"/>
            </w:tcBorders>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jc w:val="both"/>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2" w:lineRule="exact"/>
        <w:rPr>
          <w:sz w:val="20"/>
          <w:szCs w:val="20"/>
          <w:color w:val="auto"/>
        </w:rPr>
      </w:pPr>
    </w:p>
    <w:p>
      <w:pPr>
        <w:sectPr>
          <w:pgSz w:w="11900" w:h="16838" w:orient="portrait"/>
          <w:cols w:equalWidth="0" w:num="2">
            <w:col w:w="7003" w:space="720"/>
            <w:col w:w="3357"/>
          </w:cols>
          <w:pgMar w:left="460" w:top="217" w:right="359" w:bottom="0" w:gutter="0" w:footer="0" w:header="0"/>
          <w:type w:val="continuous"/>
        </w:sectPr>
      </w:pPr>
    </w:p>
    <w:tbl>
      <w:tblPr>
        <w:tblLayout w:type="fixed"/>
        <w:tblInd w:w="100" w:type="dxa"/>
        <w:tblCellMar>
          <w:top w:w="0" w:type="dxa"/>
          <w:left w:w="0" w:type="dxa"/>
          <w:bottom w:w="0" w:type="dxa"/>
          <w:right w:w="0" w:type="dxa"/>
        </w:tblCellMar>
      </w:tblPr>
      <w:tr>
        <w:trPr>
          <w:trHeight w:val="52"/>
        </w:trPr>
        <w:tc>
          <w:tcPr>
            <w:tcW w:w="80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1620" w:type="dxa"/>
            <w:vAlign w:val="bottom"/>
            <w:tcBorders>
              <w:bottom w:val="single" w:sz="8" w:color="9A9A9A"/>
            </w:tcBorders>
          </w:tcPr>
          <w:p>
            <w:pPr>
              <w:spacing w:after="0"/>
              <w:rPr>
                <w:sz w:val="4"/>
                <w:szCs w:val="4"/>
                <w:color w:val="auto"/>
              </w:rPr>
            </w:pPr>
          </w:p>
        </w:tc>
        <w:tc>
          <w:tcPr>
            <w:tcW w:w="5760" w:type="dxa"/>
            <w:vAlign w:val="bottom"/>
            <w:vMerge w:val="restart"/>
          </w:tcPr>
          <w:p>
            <w:pPr>
              <w:ind w:left="4520"/>
              <w:spacing w:after="0"/>
              <w:rPr>
                <w:sz w:val="20"/>
                <w:szCs w:val="20"/>
                <w:color w:val="auto"/>
              </w:rPr>
            </w:pPr>
            <w:r>
              <w:rPr>
                <w:rFonts w:ascii="Arial" w:cs="Arial" w:eastAsia="Arial" w:hAnsi="Arial"/>
                <w:sz w:val="13"/>
                <w:szCs w:val="13"/>
                <w:color w:val="auto"/>
              </w:rPr>
              <w:t>Officer (give title</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78"/>
        </w:trPr>
        <w:tc>
          <w:tcPr>
            <w:tcW w:w="8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57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5760" w:type="dxa"/>
            <w:vAlign w:val="bottom"/>
          </w:tcPr>
          <w:p>
            <w:pPr>
              <w:ind w:left="4520"/>
              <w:spacing w:after="0"/>
              <w:rPr>
                <w:sz w:val="20"/>
                <w:szCs w:val="20"/>
                <w:color w:val="auto"/>
              </w:rPr>
            </w:pPr>
            <w:r>
              <w:rPr>
                <w:rFonts w:ascii="Arial" w:cs="Arial" w:eastAsia="Arial" w:hAnsi="Arial"/>
                <w:sz w:val="13"/>
                <w:szCs w:val="13"/>
                <w:color w:val="auto"/>
              </w:rPr>
              <w:t>below)</w:t>
            </w:r>
          </w:p>
        </w:tc>
        <w:tc>
          <w:tcPr>
            <w:tcW w:w="11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3"/>
        </w:trPr>
        <w:tc>
          <w:tcPr>
            <w:tcW w:w="8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620" w:type="dxa"/>
            <w:vAlign w:val="bottom"/>
            <w:vMerge w:val="continue"/>
          </w:tcPr>
          <w:p>
            <w:pPr>
              <w:spacing w:after="0"/>
              <w:rPr>
                <w:sz w:val="3"/>
                <w:szCs w:val="3"/>
                <w:color w:val="auto"/>
              </w:rPr>
            </w:pPr>
          </w:p>
        </w:tc>
        <w:tc>
          <w:tcPr>
            <w:tcW w:w="5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33 LESHEM STREET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Borders>
              <w:top w:val="single" w:sz="8" w:color="2C2C2C"/>
            </w:tcBorders>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tcPr>
          <w:p>
            <w:pPr>
              <w:ind w:left="1480"/>
              <w:spacing w:after="0"/>
              <w:rPr>
                <w:sz w:val="20"/>
                <w:szCs w:val="20"/>
                <w:color w:val="auto"/>
              </w:rPr>
            </w:pPr>
            <w:r>
              <w:rPr>
                <w:rFonts w:ascii="Times New Roman" w:cs="Times New Roman" w:eastAsia="Times New Roman" w:hAnsi="Times New Roman"/>
                <w:sz w:val="17"/>
                <w:szCs w:val="17"/>
                <w:color w:val="0000FF"/>
              </w:rPr>
              <w:t>COO</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11/04/2026</w:t>
            </w: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8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1600" w:type="dxa"/>
            <w:vAlign w:val="bottom"/>
            <w:tcBorders>
              <w:bottom w:val="single" w:sz="8" w:color="9A9A9A"/>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80" w:type="dxa"/>
            <w:vAlign w:val="bottom"/>
          </w:tcPr>
          <w:p>
            <w:pPr>
              <w:ind w:left="20"/>
              <w:spacing w:after="0" w:line="174" w:lineRule="exact"/>
              <w:rPr>
                <w:sz w:val="20"/>
                <w:szCs w:val="20"/>
                <w:color w:val="auto"/>
              </w:rPr>
            </w:pPr>
            <w:r>
              <w:rPr>
                <w:rFonts w:ascii="Times New Roman" w:cs="Times New Roman" w:eastAsia="Times New Roman" w:hAnsi="Times New Roman"/>
                <w:sz w:val="17"/>
                <w:szCs w:val="17"/>
                <w:color w:val="0000FF"/>
              </w:rPr>
              <w:t>SHOHAM</w:t>
            </w:r>
          </w:p>
        </w:tc>
        <w:tc>
          <w:tcPr>
            <w:tcW w:w="1060" w:type="dxa"/>
            <w:vAlign w:val="bottom"/>
          </w:tcPr>
          <w:p>
            <w:pPr>
              <w:spacing w:after="0"/>
              <w:rPr>
                <w:sz w:val="15"/>
                <w:szCs w:val="15"/>
                <w:color w:val="auto"/>
              </w:rPr>
            </w:pPr>
          </w:p>
        </w:tc>
        <w:tc>
          <w:tcPr>
            <w:tcW w:w="1600" w:type="dxa"/>
            <w:vAlign w:val="bottom"/>
          </w:tcPr>
          <w:p>
            <w:pPr>
              <w:ind w:left="420"/>
              <w:spacing w:after="0" w:line="174" w:lineRule="exact"/>
              <w:rPr>
                <w:sz w:val="20"/>
                <w:szCs w:val="20"/>
                <w:color w:val="auto"/>
              </w:rPr>
            </w:pPr>
            <w:r>
              <w:rPr>
                <w:rFonts w:ascii="Times New Roman" w:cs="Times New Roman" w:eastAsia="Times New Roman" w:hAnsi="Times New Roman"/>
                <w:sz w:val="17"/>
                <w:szCs w:val="17"/>
                <w:color w:val="0000FF"/>
              </w:rPr>
              <w:t>6080632</w:t>
            </w:r>
          </w:p>
        </w:tc>
        <w:tc>
          <w:tcPr>
            <w:tcW w:w="100" w:type="dxa"/>
            <w:vAlign w:val="bottom"/>
          </w:tcPr>
          <w:p>
            <w:pPr>
              <w:spacing w:after="0"/>
              <w:rPr>
                <w:sz w:val="15"/>
                <w:szCs w:val="15"/>
                <w:color w:val="auto"/>
              </w:rPr>
            </w:pPr>
          </w:p>
        </w:tc>
        <w:tc>
          <w:tcPr>
            <w:tcW w:w="3820" w:type="dxa"/>
            <w:vAlign w:val="bottom"/>
            <w:tcBorders>
              <w:top w:val="single" w:sz="8" w:color="2C2C2C"/>
            </w:tcBorders>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tcBorders>
              <w:top w:val="single" w:sz="8" w:color="2C2C2C"/>
            </w:tcBorders>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3300" w:type="dxa"/>
            <w:vAlign w:val="bottom"/>
          </w:tcPr>
          <w:p>
            <w:pPr>
              <w:ind w:left="6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060" w:type="dxa"/>
            <w:vAlign w:val="bottom"/>
            <w:vMerge w:val="restart"/>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vMerge w:val="restart"/>
          </w:tcPr>
          <w:p>
            <w:pPr>
              <w:ind w:left="4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300" w:type="dxa"/>
            <w:vAlign w:val="bottom"/>
          </w:tcPr>
          <w:p>
            <w:pPr>
              <w:ind w:left="6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tcPr>
          <w:p>
            <w:pPr>
              <w:spacing w:after="0"/>
              <w:rPr>
                <w:sz w:val="8"/>
                <w:szCs w:val="8"/>
                <w:color w:val="auto"/>
              </w:rPr>
            </w:pPr>
          </w:p>
        </w:tc>
        <w:tc>
          <w:tcPr>
            <w:tcW w:w="3300" w:type="dxa"/>
            <w:vAlign w:val="bottom"/>
            <w:vMerge w:val="restart"/>
          </w:tcPr>
          <w:p>
            <w:pPr>
              <w:ind w:left="6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ISRAEL</w:t>
            </w:r>
          </w:p>
        </w:tc>
        <w:tc>
          <w:tcPr>
            <w:tcW w:w="10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300" w:type="dxa"/>
            <w:vAlign w:val="bottom"/>
          </w:tcPr>
          <w:p>
            <w:pPr>
              <w:ind w:left="6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80"/>
        <w:spacing w:after="0"/>
        <w:rPr>
          <w:sz w:val="20"/>
          <w:szCs w:val="20"/>
          <w:color w:val="auto"/>
        </w:rPr>
      </w:pPr>
      <w:r>
        <w:rPr>
          <w:rFonts w:ascii="Arial" w:cs="Arial" w:eastAsia="Arial" w:hAnsi="Arial"/>
          <w:sz w:val="13"/>
          <w:szCs w:val="13"/>
          <w:color w:val="auto"/>
        </w:rPr>
        <w:t>(Country)</w:t>
      </w:r>
    </w:p>
    <w:p>
      <w:pPr>
        <w:spacing w:after="0" w:line="14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1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40" w:type="dxa"/>
            <w:vAlign w:val="bottom"/>
          </w:tcPr>
          <w:p>
            <w:pPr>
              <w:ind w:left="4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74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440" w:type="dxa"/>
            <w:vAlign w:val="bottom"/>
          </w:tcPr>
          <w:p>
            <w:pPr>
              <w:ind w:left="42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jc w:val="center"/>
              <w:ind w:right="101"/>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8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440" w:type="dxa"/>
            <w:vAlign w:val="bottom"/>
          </w:tcPr>
          <w:p>
            <w:pPr>
              <w:jc w:val="center"/>
              <w:ind w:left="26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 Reported</w:t>
            </w:r>
          </w:p>
        </w:tc>
        <w:tc>
          <w:tcPr>
            <w:tcW w:w="8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Transaction(s) (Instr. 3 and 4)</w:t>
            </w:r>
          </w:p>
        </w:tc>
        <w:tc>
          <w:tcPr>
            <w:tcW w:w="8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740" w:type="dxa"/>
            <w:vAlign w:val="bottom"/>
          </w:tcPr>
          <w:p>
            <w:pPr>
              <w:spacing w:after="0"/>
              <w:rPr>
                <w:sz w:val="6"/>
                <w:szCs w:val="6"/>
                <w:color w:val="auto"/>
              </w:rPr>
            </w:pP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(A) or</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7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960" w:type="dxa"/>
            <w:vAlign w:val="bottom"/>
            <w:tcBorders>
              <w:bottom w:val="single" w:sz="8" w:color="2C2C2C"/>
            </w:tcBorders>
          </w:tcPr>
          <w:p>
            <w:pPr>
              <w:spacing w:after="0"/>
              <w:rPr>
                <w:sz w:val="12"/>
                <w:szCs w:val="12"/>
                <w:color w:val="auto"/>
              </w:rPr>
            </w:pPr>
          </w:p>
        </w:tc>
        <w:tc>
          <w:tcPr>
            <w:tcW w:w="17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1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40" w:type="dxa"/>
            <w:vAlign w:val="bottom"/>
            <w:tcBorders>
              <w:bottom w:val="single" w:sz="8" w:color="2C2C2C"/>
            </w:tcBorders>
          </w:tcPr>
          <w:p>
            <w:pPr>
              <w:jc w:val="center"/>
              <w:ind w:left="287"/>
              <w:spacing w:after="0"/>
              <w:rPr>
                <w:sz w:val="20"/>
                <w:szCs w:val="20"/>
                <w:color w:val="auto"/>
              </w:rPr>
            </w:pPr>
            <w:r>
              <w:rPr>
                <w:rFonts w:ascii="Times New Roman" w:cs="Times New Roman" w:eastAsia="Times New Roman" w:hAnsi="Times New Roman"/>
                <w:sz w:val="17"/>
                <w:szCs w:val="17"/>
                <w:color w:val="0000FF"/>
                <w:w w:val="98"/>
              </w:rPr>
              <w:t>11/04/2026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535</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43.21</w:t>
            </w:r>
            <w:r>
              <w:rPr>
                <w:rFonts w:ascii="Times New Roman" w:cs="Times New Roman" w:eastAsia="Times New Roman" w:hAnsi="Times New Roman"/>
                <w:sz w:val="21"/>
                <w:szCs w:val="21"/>
                <w:color w:val="008000"/>
                <w:w w:val="93"/>
                <w:vertAlign w:val="superscript"/>
              </w:rPr>
              <w:t>(1)</w:t>
            </w:r>
          </w:p>
        </w:tc>
        <w:tc>
          <w:tcPr>
            <w:tcW w:w="174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w w:val="86"/>
                <w:vertAlign w:val="subscript"/>
              </w:rPr>
              <w:t>3,756,158</w:t>
            </w:r>
            <w:r>
              <w:rPr>
                <w:rFonts w:ascii="Times New Roman" w:cs="Times New Roman" w:eastAsia="Times New Roman" w:hAnsi="Times New Roman"/>
                <w:sz w:val="11"/>
                <w:szCs w:val="11"/>
                <w:color w:val="008000"/>
                <w:w w:val="86"/>
              </w:rPr>
              <w:t>(2)(3)(4)(5)(6)(7)(8)</w:t>
            </w:r>
          </w:p>
        </w:tc>
        <w:tc>
          <w:tcPr>
            <w:tcW w:w="8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1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40" w:type="dxa"/>
            <w:vAlign w:val="bottom"/>
            <w:tcBorders>
              <w:bottom w:val="single" w:sz="8" w:color="2C2C2C"/>
            </w:tcBorders>
          </w:tcPr>
          <w:p>
            <w:pPr>
              <w:jc w:val="center"/>
              <w:ind w:left="287"/>
              <w:spacing w:after="0"/>
              <w:rPr>
                <w:sz w:val="20"/>
                <w:szCs w:val="20"/>
                <w:color w:val="auto"/>
              </w:rPr>
            </w:pPr>
            <w:r>
              <w:rPr>
                <w:rFonts w:ascii="Times New Roman" w:cs="Times New Roman" w:eastAsia="Times New Roman" w:hAnsi="Times New Roman"/>
                <w:sz w:val="17"/>
                <w:szCs w:val="17"/>
                <w:color w:val="0000FF"/>
                <w:w w:val="98"/>
              </w:rPr>
              <w:t>11/04/2026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13,446</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44.1427</w:t>
            </w:r>
            <w:r>
              <w:rPr>
                <w:rFonts w:ascii="Times New Roman" w:cs="Times New Roman" w:eastAsia="Times New Roman" w:hAnsi="Times New Roman"/>
                <w:sz w:val="21"/>
                <w:szCs w:val="21"/>
                <w:color w:val="008000"/>
                <w:w w:val="93"/>
                <w:vertAlign w:val="superscript"/>
              </w:rPr>
              <w:t>(9)</w:t>
            </w:r>
          </w:p>
        </w:tc>
        <w:tc>
          <w:tcPr>
            <w:tcW w:w="174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w w:val="87"/>
                <w:vertAlign w:val="subscript"/>
              </w:rPr>
              <w:t>3,742,712</w:t>
            </w:r>
            <w:r>
              <w:rPr>
                <w:rFonts w:ascii="Times New Roman" w:cs="Times New Roman" w:eastAsia="Times New Roman" w:hAnsi="Times New Roman"/>
                <w:sz w:val="11"/>
                <w:szCs w:val="11"/>
                <w:color w:val="008000"/>
                <w:w w:val="87"/>
              </w:rPr>
              <w:t>(3)(4)(5)(6)(7)(8)(10)</w:t>
            </w:r>
          </w:p>
        </w:tc>
        <w:tc>
          <w:tcPr>
            <w:tcW w:w="8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1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40" w:type="dxa"/>
            <w:vAlign w:val="bottom"/>
            <w:tcBorders>
              <w:bottom w:val="single" w:sz="8" w:color="2C2C2C"/>
            </w:tcBorders>
          </w:tcPr>
          <w:p>
            <w:pPr>
              <w:jc w:val="center"/>
              <w:ind w:left="287"/>
              <w:spacing w:after="0"/>
              <w:rPr>
                <w:sz w:val="20"/>
                <w:szCs w:val="20"/>
                <w:color w:val="auto"/>
              </w:rPr>
            </w:pPr>
            <w:r>
              <w:rPr>
                <w:rFonts w:ascii="Times New Roman" w:cs="Times New Roman" w:eastAsia="Times New Roman" w:hAnsi="Times New Roman"/>
                <w:sz w:val="17"/>
                <w:szCs w:val="17"/>
                <w:color w:val="0000FF"/>
                <w:w w:val="98"/>
              </w:rPr>
              <w:t>11/04/2026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13,976</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44.8496</w:t>
            </w:r>
            <w:r>
              <w:rPr>
                <w:rFonts w:ascii="Times New Roman" w:cs="Times New Roman" w:eastAsia="Times New Roman" w:hAnsi="Times New Roman"/>
                <w:sz w:val="21"/>
                <w:szCs w:val="21"/>
                <w:color w:val="008000"/>
                <w:w w:val="93"/>
                <w:vertAlign w:val="superscript"/>
              </w:rPr>
              <w:t>(11)</w:t>
            </w:r>
          </w:p>
        </w:tc>
        <w:tc>
          <w:tcPr>
            <w:tcW w:w="174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w w:val="87"/>
                <w:vertAlign w:val="subscript"/>
              </w:rPr>
              <w:t>3,728,736</w:t>
            </w:r>
            <w:r>
              <w:rPr>
                <w:rFonts w:ascii="Times New Roman" w:cs="Times New Roman" w:eastAsia="Times New Roman" w:hAnsi="Times New Roman"/>
                <w:sz w:val="11"/>
                <w:szCs w:val="11"/>
                <w:color w:val="008000"/>
                <w:w w:val="87"/>
              </w:rPr>
              <w:t>(3)(4)(5)(6)(7)(8)(12)</w:t>
            </w:r>
          </w:p>
        </w:tc>
        <w:tc>
          <w:tcPr>
            <w:tcW w:w="8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40" w:type="dxa"/>
            <w:vAlign w:val="bottom"/>
            <w:tcBorders>
              <w:bottom w:val="single" w:sz="8" w:color="2C2C2C"/>
            </w:tcBorders>
          </w:tcPr>
          <w:p>
            <w:pPr>
              <w:jc w:val="center"/>
              <w:ind w:left="287"/>
              <w:spacing w:after="0"/>
              <w:rPr>
                <w:sz w:val="20"/>
                <w:szCs w:val="20"/>
                <w:color w:val="auto"/>
              </w:rPr>
            </w:pPr>
            <w:r>
              <w:rPr>
                <w:rFonts w:ascii="Times New Roman" w:cs="Times New Roman" w:eastAsia="Times New Roman" w:hAnsi="Times New Roman"/>
                <w:sz w:val="17"/>
                <w:szCs w:val="17"/>
                <w:color w:val="0000FF"/>
                <w:w w:val="98"/>
              </w:rPr>
              <w:t>11/05/2026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45.0416</w:t>
            </w:r>
            <w:r>
              <w:rPr>
                <w:rFonts w:ascii="Times New Roman" w:cs="Times New Roman" w:eastAsia="Times New Roman" w:hAnsi="Times New Roman"/>
                <w:sz w:val="21"/>
                <w:szCs w:val="21"/>
                <w:color w:val="008000"/>
                <w:w w:val="93"/>
                <w:vertAlign w:val="superscript"/>
              </w:rPr>
              <w:t>(13)</w:t>
            </w:r>
          </w:p>
        </w:tc>
        <w:tc>
          <w:tcPr>
            <w:tcW w:w="174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w w:val="87"/>
                <w:vertAlign w:val="subscript"/>
              </w:rPr>
              <w:t>3,728,465</w:t>
            </w:r>
            <w:r>
              <w:rPr>
                <w:rFonts w:ascii="Times New Roman" w:cs="Times New Roman" w:eastAsia="Times New Roman" w:hAnsi="Times New Roman"/>
                <w:sz w:val="11"/>
                <w:szCs w:val="11"/>
                <w:color w:val="008000"/>
                <w:w w:val="87"/>
              </w:rPr>
              <w:t>(3)(4)(5)(6)(7)(8)(14)</w:t>
            </w:r>
          </w:p>
        </w:tc>
        <w:tc>
          <w:tcPr>
            <w:tcW w:w="8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6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04/17/2019</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04/14/2029</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604,200</w:t>
            </w:r>
          </w:p>
        </w:tc>
        <w:tc>
          <w:tcPr>
            <w:tcW w:w="700" w:type="dxa"/>
            <w:vAlign w:val="bottom"/>
          </w:tcPr>
          <w:p>
            <w:pPr>
              <w:spacing w:after="0"/>
              <w:rPr>
                <w:sz w:val="15"/>
                <w:szCs w:val="15"/>
                <w:color w:val="auto"/>
              </w:rPr>
            </w:pP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604,200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(15)</w:t>
            </w: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tcPr>
          <w:p>
            <w:pPr>
              <w:ind w:left="1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ind w:right="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4.1645</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04/20/2021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04/20/2030</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882,600</w:t>
            </w:r>
          </w:p>
        </w:tc>
        <w:tc>
          <w:tcPr>
            <w:tcW w:w="700" w:type="dxa"/>
            <w:vAlign w:val="bottom"/>
          </w:tcPr>
          <w:p>
            <w:pPr>
              <w:spacing w:after="0"/>
              <w:rPr>
                <w:sz w:val="15"/>
                <w:szCs w:val="15"/>
                <w:color w:val="auto"/>
              </w:rPr>
            </w:pP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882,600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(15)</w:t>
            </w: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tcPr>
          <w:p>
            <w:pPr>
              <w:ind w:left="1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$42.63 to $43.625. The reporting person undertakes to provide full information regarding the number of shares sold at each separate price upon request.</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3,060,891 ordinary shares.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51,546 RSUs granted to the Reporting Person by the Issuer on June 22, 2021.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89,499 RSUs granted to the Reporting Person by the Issuer on April 14, 2022.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100,159 RSUs granted to the Reporting Person by the Issuer on April 20, 2023.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4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$43.63 to $44.625. The reporting person undertakes to provide full information regarding the number of shares sold at each separate price upon request.</w:t>
      </w:r>
    </w:p>
    <w:p>
      <w:pPr>
        <w:spacing w:after="0" w:line="16" w:lineRule="exact"/>
        <w:rPr>
          <w:rFonts w:ascii="Times New Roman" w:cs="Times New Roman" w:eastAsia="Times New Roman" w:hAnsi="Times New Roman"/>
          <w:sz w:val="13"/>
          <w:szCs w:val="13"/>
          <w:color w:val="008000"/>
        </w:rPr>
      </w:pPr>
    </w:p>
    <w:p>
      <w:pPr>
        <w:ind w:left="240" w:hanging="198"/>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3,047,445 ordinary shares.</w:t>
      </w:r>
    </w:p>
    <w:p>
      <w:pPr>
        <w:spacing w:after="0" w:line="44" w:lineRule="exact"/>
        <w:rPr>
          <w:rFonts w:ascii="Times New Roman" w:cs="Times New Roman" w:eastAsia="Times New Roman" w:hAnsi="Times New Roman"/>
          <w:sz w:val="13"/>
          <w:szCs w:val="13"/>
          <w:color w:val="008000"/>
        </w:rPr>
      </w:pPr>
    </w:p>
    <w:p>
      <w:pPr>
        <w:ind w:left="40" w:right="480" w:firstLine="2"/>
        <w:spacing w:after="0" w:line="256" w:lineRule="auto"/>
        <w:tabs>
          <w:tab w:leader="none" w:pos="2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$44.63 to $45.01. The reporting person undertakes to provide full information regarding the number of shares sold at each separate price upon request.</w:t>
      </w:r>
    </w:p>
    <w:p>
      <w:pPr>
        <w:spacing w:after="0" w:line="16" w:lineRule="exact"/>
        <w:rPr>
          <w:rFonts w:ascii="Times New Roman" w:cs="Times New Roman" w:eastAsia="Times New Roman" w:hAnsi="Times New Roman"/>
          <w:sz w:val="13"/>
          <w:szCs w:val="13"/>
          <w:color w:val="008000"/>
        </w:rPr>
      </w:pPr>
    </w:p>
    <w:p>
      <w:pPr>
        <w:ind w:left="240" w:hanging="198"/>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3,033,469 ordinary shares.</w:t>
      </w:r>
    </w:p>
    <w:p>
      <w:pPr>
        <w:spacing w:after="0" w:line="44" w:lineRule="exact"/>
        <w:rPr>
          <w:rFonts w:ascii="Times New Roman" w:cs="Times New Roman" w:eastAsia="Times New Roman" w:hAnsi="Times New Roman"/>
          <w:sz w:val="13"/>
          <w:szCs w:val="13"/>
          <w:color w:val="008000"/>
        </w:rPr>
      </w:pPr>
    </w:p>
    <w:p>
      <w:pPr>
        <w:ind w:left="40" w:right="34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$45.025 to $45.065. The reporting person undertakes to provide full information regarding the number of shares sold at each separate price upon request.</w:t>
      </w:r>
    </w:p>
    <w:p>
      <w:pPr>
        <w:sectPr>
          <w:pgSz w:w="11900" w:h="16838" w:orient="portrait"/>
          <w:cols w:equalWidth="0" w:num="1">
            <w:col w:w="11080"/>
          </w:cols>
          <w:pgMar w:left="460" w:top="217" w:right="359" w:bottom="0" w:gutter="0" w:footer="0" w:header="0"/>
          <w:type w:val="continuous"/>
        </w:sectPr>
      </w:pPr>
    </w:p>
    <w:bookmarkStart w:id="1" w:name="page2"/>
    <w:bookmarkEnd w:id="1"/>
    <w:p>
      <w:pPr>
        <w:ind w:left="200" w:hanging="198"/>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3,033,198 ordinary shares.</w:t>
      </w:r>
    </w:p>
    <w:p>
      <w:pPr>
        <w:spacing w:after="0" w:line="44" w:lineRule="exact"/>
        <w:rPr>
          <w:rFonts w:ascii="Times New Roman" w:cs="Times New Roman" w:eastAsia="Times New Roman" w:hAnsi="Times New Roman"/>
          <w:sz w:val="13"/>
          <w:szCs w:val="13"/>
          <w:color w:val="008000"/>
        </w:rPr>
      </w:pPr>
    </w:p>
    <w:p>
      <w:pPr>
        <w:ind w:firstLine="2"/>
        <w:spacing w:after="0" w:line="256" w:lineRule="auto"/>
        <w:tabs>
          <w:tab w:leader="none" w:pos="194"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were no transactions effected in respect of the securities reported in this row, and the holdings in this row are being included for informational purposes only. The options are now fully vested but remain unexercised.</w:t>
      </w:r>
    </w:p>
    <w:p>
      <w:pPr>
        <w:spacing w:after="0" w:line="2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Michal Yardeni</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11/06/2026</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100" w:firstLine="2"/>
        <w:spacing w:after="0" w:line="336"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560"/>
      </w:cols>
      <w:pgMar w:left="500" w:top="12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64142" TargetMode="External"/><Relationship Id="rId14" Type="http://schemas.openxmlformats.org/officeDocument/2006/relationships/hyperlink" Target="http://www.sec.gov/cgi-bin/browse-edgar?action=getcompany&amp;CIK=00018359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2026-11-06T11:14:00Z</dcterms:created>
  <dcterms:modified xsi:type="dcterms:W3CDTF">2026-11-06T11:14:00Z</dcterms:modified>
</cp:coreProperties>
</file>