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49441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4944110"/>
                    </a:xfrm>
                    <a:prstGeom prst="rect">
                      <a:avLst/>
                    </a:prstGeom>
                    <a:noFill/>
                  </pic:spPr>
                </pic:pic>
              </a:graphicData>
            </a:graphic>
          </wp:anchor>
        </w:drawing>
      </w:r>
    </w:p>
    <w:p>
      <w:pPr>
        <w:spacing w:after="0" w:line="1244"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Tamari Shahar</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33 LESHEM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Global-E Online Ltd.</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GLBE</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06/18/2026</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1417"/>
        <w:spacing w:after="0"/>
        <w:rPr>
          <w:sz w:val="20"/>
          <w:szCs w:val="20"/>
          <w:color w:val="auto"/>
        </w:rPr>
      </w:pPr>
      <w:r>
        <w:rPr>
          <w:rFonts w:ascii="Times New Roman" w:cs="Times New Roman" w:eastAsia="Times New Roman" w:hAnsi="Times New Roman"/>
          <w:sz w:val="17"/>
          <w:szCs w:val="17"/>
          <w:color w:val="0000FF"/>
        </w:rPr>
        <w:t>COO</w:t>
      </w:r>
    </w:p>
    <w:p>
      <w:pPr>
        <w:spacing w:after="0" w:line="277" w:lineRule="exact"/>
        <w:rPr>
          <w:sz w:val="24"/>
          <w:szCs w:val="24"/>
          <w:color w:val="auto"/>
        </w:rPr>
      </w:pPr>
    </w:p>
    <w:p>
      <w:pPr>
        <w:sectPr>
          <w:pgSz w:w="11900" w:h="16838" w:orient="portrait"/>
          <w:cols w:equalWidth="0" w:num="3">
            <w:col w:w="3180" w:space="720"/>
            <w:col w:w="3103" w:space="720"/>
            <w:col w:w="3357"/>
          </w:cols>
          <w:pgMar w:left="460" w:top="217" w:right="359" w:bottom="1440" w:gutter="0" w:footer="0" w:header="0"/>
          <w:type w:val="continuous"/>
        </w:sectPr>
      </w:pPr>
    </w:p>
    <w:p>
      <w:pPr>
        <w:spacing w:after="0" w:line="10" w:lineRule="exact"/>
        <w:rPr>
          <w:sz w:val="24"/>
          <w:szCs w:val="24"/>
          <w:color w:val="auto"/>
        </w:rPr>
      </w:pPr>
    </w:p>
    <w:tbl>
      <w:tblPr>
        <w:tblLayout w:type="fixed"/>
        <w:tblInd w:w="0" w:type="dxa"/>
        <w:tblCellMar>
          <w:top w:w="0" w:type="dxa"/>
          <w:left w:w="0" w:type="dxa"/>
          <w:bottom w:w="0" w:type="dxa"/>
          <w:right w:w="0" w:type="dxa"/>
        </w:tblCellMar>
      </w:tblP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200" w:type="dxa"/>
            <w:vAlign w:val="bottom"/>
            <w:shd w:val="clear" w:color="auto" w:fill="9A9A9A"/>
          </w:tcPr>
          <w:p>
            <w:pPr>
              <w:spacing w:after="0"/>
              <w:rPr>
                <w:sz w:val="2"/>
                <w:szCs w:val="2"/>
                <w:color w:val="auto"/>
              </w:rPr>
            </w:pPr>
          </w:p>
        </w:tc>
        <w:tc>
          <w:tcPr>
            <w:tcW w:w="980" w:type="dxa"/>
            <w:vAlign w:val="bottom"/>
            <w:shd w:val="clear" w:color="auto" w:fill="9A9A9A"/>
          </w:tcPr>
          <w:p>
            <w:pPr>
              <w:spacing w:after="0"/>
              <w:rPr>
                <w:sz w:val="2"/>
                <w:szCs w:val="2"/>
                <w:color w:val="auto"/>
              </w:rPr>
            </w:pPr>
          </w:p>
        </w:tc>
        <w:tc>
          <w:tcPr>
            <w:tcW w:w="1140" w:type="dxa"/>
            <w:vAlign w:val="bottom"/>
            <w:shd w:val="clear" w:color="auto" w:fill="9A9A9A"/>
          </w:tcPr>
          <w:p>
            <w:pPr>
              <w:spacing w:after="0"/>
              <w:rPr>
                <w:sz w:val="2"/>
                <w:szCs w:val="2"/>
                <w:color w:val="auto"/>
              </w:rPr>
            </w:pPr>
          </w:p>
        </w:tc>
        <w:tc>
          <w:tcPr>
            <w:tcW w:w="80" w:type="dxa"/>
            <w:vAlign w:val="bottom"/>
            <w:tcBorders>
              <w:right w:val="single" w:sz="8" w:color="9A9A9A"/>
            </w:tcBorders>
            <w:shd w:val="clear" w:color="auto" w:fill="9A9A9A"/>
          </w:tcPr>
          <w:p>
            <w:pPr>
              <w:spacing w:after="0"/>
              <w:rPr>
                <w:sz w:val="2"/>
                <w:szCs w:val="2"/>
                <w:color w:val="auto"/>
              </w:rPr>
            </w:pPr>
          </w:p>
        </w:tc>
        <w:tc>
          <w:tcPr>
            <w:tcW w:w="3600" w:type="dxa"/>
            <w:vAlign w:val="bottom"/>
            <w:gridSpan w:val="10"/>
            <w:vMerge w:val="restart"/>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280" w:type="dxa"/>
            <w:vAlign w:val="bottom"/>
          </w:tcPr>
          <w:p>
            <w:pPr>
              <w:spacing w:after="0"/>
              <w:rPr>
                <w:sz w:val="2"/>
                <w:szCs w:val="2"/>
                <w:color w:val="auto"/>
              </w:rPr>
            </w:pPr>
          </w:p>
        </w:tc>
        <w:tc>
          <w:tcPr>
            <w:tcW w:w="3460" w:type="dxa"/>
            <w:vAlign w:val="bottom"/>
            <w:gridSpan w:val="8"/>
            <w:vMerge w:val="restart"/>
          </w:tcPr>
          <w:p>
            <w:pPr>
              <w:ind w:left="1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0" w:type="dxa"/>
            <w:vAlign w:val="bottom"/>
            <w:gridSpan w:val="10"/>
            <w:vMerge w:val="continue"/>
          </w:tcPr>
          <w:p>
            <w:pPr>
              <w:spacing w:after="0"/>
              <w:rPr>
                <w:sz w:val="10"/>
                <w:szCs w:val="10"/>
                <w:color w:val="auto"/>
              </w:rPr>
            </w:pPr>
          </w:p>
        </w:tc>
        <w:tc>
          <w:tcPr>
            <w:tcW w:w="280" w:type="dxa"/>
            <w:vAlign w:val="bottom"/>
          </w:tcPr>
          <w:p>
            <w:pPr>
              <w:spacing w:after="0"/>
              <w:rPr>
                <w:sz w:val="10"/>
                <w:szCs w:val="10"/>
                <w:color w:val="auto"/>
              </w:rPr>
            </w:pPr>
          </w:p>
        </w:tc>
        <w:tc>
          <w:tcPr>
            <w:tcW w:w="346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gridSpan w:val="2"/>
          </w:tcPr>
          <w:p>
            <w:pPr>
              <w:ind w:left="100"/>
              <w:spacing w:after="0"/>
              <w:rPr>
                <w:sz w:val="20"/>
                <w:szCs w:val="20"/>
                <w:color w:val="auto"/>
              </w:rPr>
            </w:pPr>
            <w:r>
              <w:rPr>
                <w:rFonts w:ascii="Arial" w:cs="Arial" w:eastAsia="Arial" w:hAnsi="Arial"/>
                <w:sz w:val="13"/>
                <w:szCs w:val="13"/>
                <w:color w:val="auto"/>
                <w:w w:val="96"/>
              </w:rPr>
              <w:t>Line)</w:t>
            </w: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SHOHAM</w:t>
            </w:r>
          </w:p>
        </w:tc>
        <w:tc>
          <w:tcPr>
            <w:tcW w:w="200" w:type="dxa"/>
            <w:vAlign w:val="bottom"/>
          </w:tcPr>
          <w:p>
            <w:pPr>
              <w:spacing w:after="0"/>
              <w:rPr>
                <w:sz w:val="20"/>
                <w:szCs w:val="20"/>
                <w:color w:val="auto"/>
              </w:rPr>
            </w:pPr>
            <w:r>
              <w:rPr>
                <w:rFonts w:ascii="Times New Roman" w:cs="Times New Roman" w:eastAsia="Times New Roman" w:hAnsi="Times New Roman"/>
                <w:sz w:val="17"/>
                <w:szCs w:val="17"/>
                <w:color w:val="0000FF"/>
                <w:w w:val="95"/>
              </w:rPr>
              <w:t>L3</w:t>
            </w:r>
          </w:p>
        </w:tc>
        <w:tc>
          <w:tcPr>
            <w:tcW w:w="980" w:type="dxa"/>
            <w:vAlign w:val="bottom"/>
          </w:tcPr>
          <w:p>
            <w:pPr>
              <w:spacing w:after="0"/>
              <w:rPr>
                <w:sz w:val="19"/>
                <w:szCs w:val="19"/>
                <w:color w:val="auto"/>
              </w:rPr>
            </w:pPr>
          </w:p>
        </w:tc>
        <w:tc>
          <w:tcPr>
            <w:tcW w:w="11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6080632</w:t>
            </w: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60" w:type="dxa"/>
            <w:vAlign w:val="bottom"/>
            <w:gridSpan w:val="6"/>
          </w:tcPr>
          <w:p>
            <w:pPr>
              <w:ind w:left="2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7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60" w:type="dxa"/>
            <w:vAlign w:val="bottom"/>
            <w:gridSpan w:val="6"/>
          </w:tcPr>
          <w:p>
            <w:pPr>
              <w:ind w:left="2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Borders>
              <w:top w:val="single" w:sz="8" w:color="EEEEEE"/>
            </w:tcBorders>
          </w:tcPr>
          <w:p>
            <w:pPr>
              <w:spacing w:after="0"/>
              <w:rPr>
                <w:sz w:val="15"/>
                <w:szCs w:val="15"/>
                <w:color w:val="auto"/>
              </w:rPr>
            </w:pPr>
          </w:p>
        </w:tc>
        <w:tc>
          <w:tcPr>
            <w:tcW w:w="1180" w:type="dxa"/>
            <w:vAlign w:val="bottom"/>
            <w:tcBorders>
              <w:top w:val="single" w:sz="8" w:color="EEEEEE"/>
            </w:tcBorders>
            <w:gridSpan w:val="2"/>
            <w:vMerge w:val="restart"/>
          </w:tcPr>
          <w:p>
            <w:pPr>
              <w:spacing w:after="0"/>
              <w:rPr>
                <w:sz w:val="20"/>
                <w:szCs w:val="20"/>
                <w:color w:val="auto"/>
              </w:rPr>
            </w:pPr>
            <w:r>
              <w:rPr>
                <w:rFonts w:ascii="Arial" w:cs="Arial" w:eastAsia="Arial" w:hAnsi="Arial"/>
                <w:sz w:val="13"/>
                <w:szCs w:val="13"/>
                <w:color w:val="auto"/>
              </w:rPr>
              <w:t>(State)</w:t>
            </w:r>
          </w:p>
        </w:tc>
        <w:tc>
          <w:tcPr>
            <w:tcW w:w="1220" w:type="dxa"/>
            <w:vAlign w:val="bottom"/>
            <w:tcBorders>
              <w:top w:val="single" w:sz="8" w:color="EEEEEE"/>
            </w:tcBorders>
            <w:gridSpan w:val="2"/>
            <w:vMerge w:val="restart"/>
          </w:tcPr>
          <w:p>
            <w:pPr>
              <w:ind w:left="40"/>
              <w:spacing w:after="0"/>
              <w:rPr>
                <w:sz w:val="20"/>
                <w:szCs w:val="20"/>
                <w:color w:val="auto"/>
              </w:rPr>
            </w:pPr>
            <w:r>
              <w:rPr>
                <w:rFonts w:ascii="Arial" w:cs="Arial" w:eastAsia="Arial" w:hAnsi="Arial"/>
                <w:sz w:val="13"/>
                <w:szCs w:val="13"/>
                <w:color w:val="auto"/>
              </w:rPr>
              <w:t>(Zip)</w:t>
            </w:r>
          </w:p>
        </w:tc>
        <w:tc>
          <w:tcPr>
            <w:tcW w:w="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ind w:left="240"/>
              <w:spacing w:after="0"/>
              <w:rPr>
                <w:sz w:val="20"/>
                <w:szCs w:val="20"/>
                <w:color w:val="auto"/>
              </w:rPr>
            </w:pPr>
            <w:r>
              <w:rPr>
                <w:rFonts w:ascii="Arial" w:cs="Arial" w:eastAsia="Arial" w:hAnsi="Arial"/>
                <w:sz w:val="13"/>
                <w:szCs w:val="13"/>
                <w:color w:val="auto"/>
              </w:rPr>
              <w:t>Person</w:t>
            </w:r>
          </w:p>
        </w:tc>
        <w:tc>
          <w:tcPr>
            <w:tcW w:w="6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64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12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120" w:type="dxa"/>
            <w:vAlign w:val="bottom"/>
            <w:tcBorders>
              <w:bottom w:val="single" w:sz="8" w:color="2C2C2C"/>
            </w:tcBorders>
            <w:gridSpan w:val="2"/>
          </w:tcPr>
          <w:p>
            <w:pPr>
              <w:spacing w:after="0"/>
              <w:rPr>
                <w:sz w:val="10"/>
                <w:szCs w:val="10"/>
                <w:color w:val="auto"/>
              </w:rPr>
            </w:pPr>
          </w:p>
        </w:tc>
        <w:tc>
          <w:tcPr>
            <w:tcW w:w="3100" w:type="dxa"/>
            <w:vAlign w:val="bottom"/>
            <w:tcBorders>
              <w:bottom w:val="single" w:sz="8" w:color="2C2C2C"/>
            </w:tcBorders>
            <w:gridSpan w:val="10"/>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7160" w:type="dxa"/>
            <w:vAlign w:val="bottom"/>
            <w:tcBorders>
              <w:top w:val="single" w:sz="8" w:color="2C2C2C"/>
            </w:tcBorders>
            <w:gridSpan w:val="17"/>
          </w:tcPr>
          <w:p>
            <w:pPr>
              <w:ind w:left="76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8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1700" w:type="dxa"/>
            <w:vAlign w:val="bottom"/>
            <w:tcBorders>
              <w:bottom w:val="single" w:sz="8" w:color="2C2C2C"/>
            </w:tcBorders>
            <w:gridSpan w:val="5"/>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1420" w:type="dxa"/>
            <w:vAlign w:val="bottom"/>
            <w:tcBorders>
              <w:bottom w:val="single" w:sz="8" w:color="2C2C2C"/>
            </w:tcBorders>
            <w:gridSpan w:val="3"/>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220" w:type="dxa"/>
            <w:vAlign w:val="bottom"/>
            <w:gridSpan w:val="2"/>
          </w:tcPr>
          <w:p>
            <w:pPr>
              <w:ind w:left="240"/>
              <w:spacing w:after="0"/>
              <w:rPr>
                <w:sz w:val="20"/>
                <w:szCs w:val="20"/>
                <w:color w:val="auto"/>
              </w:rPr>
            </w:pPr>
            <w:r>
              <w:rPr>
                <w:rFonts w:ascii="Arial" w:cs="Arial" w:eastAsia="Arial" w:hAnsi="Arial"/>
                <w:sz w:val="12"/>
                <w:szCs w:val="12"/>
                <w:b w:val="1"/>
                <w:bCs w:val="1"/>
                <w:color w:val="auto"/>
              </w:rPr>
              <w:t>2. Transaction</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6"/>
              </w:rPr>
              <w:t>2A. Deemed</w:t>
            </w: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420" w:type="dxa"/>
            <w:vAlign w:val="bottom"/>
          </w:tcPr>
          <w:p>
            <w:pPr>
              <w:spacing w:after="0"/>
              <w:rPr>
                <w:sz w:val="14"/>
                <w:szCs w:val="14"/>
                <w:color w:val="auto"/>
              </w:rPr>
            </w:pPr>
          </w:p>
        </w:tc>
        <w:tc>
          <w:tcPr>
            <w:tcW w:w="17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760" w:type="dxa"/>
            <w:vAlign w:val="bottom"/>
            <w:gridSpan w:val="4"/>
          </w:tcPr>
          <w:p>
            <w:pPr>
              <w:ind w:left="60"/>
              <w:spacing w:after="0"/>
              <w:rPr>
                <w:sz w:val="20"/>
                <w:szCs w:val="20"/>
                <w:color w:val="auto"/>
              </w:rPr>
            </w:pPr>
            <w:r>
              <w:rPr>
                <w:rFonts w:ascii="Arial" w:cs="Arial" w:eastAsia="Arial" w:hAnsi="Arial"/>
                <w:sz w:val="12"/>
                <w:szCs w:val="12"/>
                <w:b w:val="1"/>
                <w:bCs w:val="1"/>
                <w:color w:val="auto"/>
              </w:rPr>
              <w:t>5. Amount of Securities</w:t>
            </w:r>
          </w:p>
        </w:tc>
        <w:tc>
          <w:tcPr>
            <w:tcW w:w="88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20" w:type="dxa"/>
            <w:vAlign w:val="bottom"/>
            <w:gridSpan w:val="2"/>
          </w:tcPr>
          <w:p>
            <w:pPr>
              <w:ind w:left="240"/>
              <w:spacing w:after="0" w:line="128"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3"/>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76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Beneficially Owned</w:t>
            </w:r>
          </w:p>
        </w:tc>
        <w:tc>
          <w:tcPr>
            <w:tcW w:w="880" w:type="dxa"/>
            <w:vAlign w:val="bottom"/>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20" w:type="dxa"/>
            <w:vAlign w:val="bottom"/>
            <w:gridSpan w:val="2"/>
          </w:tcPr>
          <w:p>
            <w:pPr>
              <w:ind w:left="24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Code (Instr.</w:t>
            </w: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7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Following Reported</w:t>
            </w:r>
          </w:p>
        </w:tc>
        <w:tc>
          <w:tcPr>
            <w:tcW w:w="880" w:type="dxa"/>
            <w:vAlign w:val="bottom"/>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gridSpan w:val="3"/>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7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Transaction(s) (Instr. 3 and</w:t>
            </w:r>
          </w:p>
        </w:tc>
        <w:tc>
          <w:tcPr>
            <w:tcW w:w="880" w:type="dxa"/>
            <w:vAlign w:val="bottom"/>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78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4)</w:t>
            </w:r>
          </w:p>
        </w:tc>
        <w:tc>
          <w:tcPr>
            <w:tcW w:w="60" w:type="dxa"/>
            <w:vAlign w:val="bottom"/>
            <w:vMerge w:val="restart"/>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8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vMerge w:val="restart"/>
          </w:tcPr>
          <w:p>
            <w:pPr>
              <w:ind w:left="40"/>
              <w:spacing w:after="0"/>
              <w:rPr>
                <w:sz w:val="20"/>
                <w:szCs w:val="20"/>
                <w:color w:val="auto"/>
              </w:rPr>
            </w:pPr>
            <w:r>
              <w:rPr>
                <w:rFonts w:ascii="Arial" w:cs="Arial" w:eastAsia="Arial" w:hAnsi="Arial"/>
                <w:sz w:val="12"/>
                <w:szCs w:val="12"/>
                <w:b w:val="1"/>
                <w:bCs w:val="1"/>
                <w:color w:val="auto"/>
                <w:w w:val="93"/>
              </w:rPr>
              <w:t>Code</w:t>
            </w:r>
          </w:p>
        </w:tc>
        <w:tc>
          <w:tcPr>
            <w:tcW w:w="4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2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w w:val="93"/>
              </w:rPr>
              <w:t>(A) or</w:t>
            </w:r>
          </w:p>
        </w:tc>
        <w:tc>
          <w:tcPr>
            <w:tcW w:w="5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6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tcPr>
          <w:p>
            <w:pPr>
              <w:spacing w:after="0"/>
              <w:rPr>
                <w:sz w:val="5"/>
                <w:szCs w:val="5"/>
                <w:color w:val="auto"/>
              </w:rPr>
            </w:pPr>
          </w:p>
        </w:tc>
        <w:tc>
          <w:tcPr>
            <w:tcW w:w="880" w:type="dxa"/>
            <w:vAlign w:val="bottom"/>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vMerge w:val="continue"/>
          </w:tcPr>
          <w:p>
            <w:pPr>
              <w:spacing w:after="0"/>
              <w:rPr>
                <w:sz w:val="8"/>
                <w:szCs w:val="8"/>
                <w:color w:val="auto"/>
              </w:rPr>
            </w:pPr>
          </w:p>
        </w:tc>
        <w:tc>
          <w:tcPr>
            <w:tcW w:w="420" w:type="dxa"/>
            <w:vAlign w:val="bottom"/>
            <w:vMerge w:val="continue"/>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56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vMerge w:val="continue"/>
          </w:tcPr>
          <w:p>
            <w:pPr>
              <w:spacing w:after="0"/>
              <w:rPr>
                <w:sz w:val="8"/>
                <w:szCs w:val="8"/>
                <w:color w:val="auto"/>
              </w:rPr>
            </w:pPr>
          </w:p>
        </w:tc>
        <w:tc>
          <w:tcPr>
            <w:tcW w:w="420" w:type="dxa"/>
            <w:vAlign w:val="bottom"/>
            <w:vMerge w:val="continue"/>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3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Pr>
          <w:p>
            <w:pPr>
              <w:spacing w:after="0"/>
              <w:rPr>
                <w:sz w:val="5"/>
                <w:szCs w:val="5"/>
                <w:color w:val="auto"/>
              </w:rPr>
            </w:pPr>
          </w:p>
        </w:tc>
        <w:tc>
          <w:tcPr>
            <w:tcW w:w="36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tcPr>
          <w:p>
            <w:pPr>
              <w:spacing w:after="0"/>
              <w:rPr>
                <w:sz w:val="5"/>
                <w:szCs w:val="5"/>
                <w:color w:val="auto"/>
              </w:rPr>
            </w:pPr>
          </w:p>
        </w:tc>
        <w:tc>
          <w:tcPr>
            <w:tcW w:w="8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20" w:type="dxa"/>
            <w:vAlign w:val="bottom"/>
            <w:tcBorders>
              <w:bottom w:val="single" w:sz="8" w:color="2C2C2C"/>
            </w:tcBorders>
            <w:gridSpan w:val="3"/>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2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06/18/2026</w:t>
            </w:r>
          </w:p>
        </w:tc>
        <w:tc>
          <w:tcPr>
            <w:tcW w:w="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S</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gridSpan w:val="2"/>
          </w:tcPr>
          <w:p>
            <w:pPr>
              <w:jc w:val="right"/>
              <w:ind w:right="99"/>
              <w:spacing w:after="0"/>
              <w:rPr>
                <w:sz w:val="20"/>
                <w:szCs w:val="20"/>
                <w:color w:val="auto"/>
              </w:rPr>
            </w:pPr>
            <w:r>
              <w:rPr>
                <w:rFonts w:ascii="Times New Roman" w:cs="Times New Roman" w:eastAsia="Times New Roman" w:hAnsi="Times New Roman"/>
                <w:sz w:val="17"/>
                <w:szCs w:val="17"/>
                <w:color w:val="0000FF"/>
              </w:rPr>
              <w:t>2,110</w:t>
            </w:r>
          </w:p>
        </w:tc>
        <w:tc>
          <w:tcPr>
            <w:tcW w:w="3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32.5124</w:t>
            </w:r>
          </w:p>
        </w:tc>
        <w:tc>
          <w:tcPr>
            <w:tcW w:w="1760" w:type="dxa"/>
            <w:vAlign w:val="bottom"/>
            <w:tcBorders>
              <w:bottom w:val="single" w:sz="8" w:color="2C2C2C"/>
            </w:tcBorders>
            <w:gridSpan w:val="4"/>
          </w:tcPr>
          <w:p>
            <w:pPr>
              <w:ind w:left="80"/>
              <w:spacing w:after="0" w:line="309" w:lineRule="exact"/>
              <w:rPr>
                <w:sz w:val="20"/>
                <w:szCs w:val="20"/>
                <w:color w:val="auto"/>
              </w:rPr>
            </w:pPr>
            <w:r>
              <w:rPr>
                <w:rFonts w:ascii="Times New Roman" w:cs="Times New Roman" w:eastAsia="Times New Roman" w:hAnsi="Times New Roman"/>
                <w:sz w:val="33"/>
                <w:szCs w:val="33"/>
                <w:color w:val="0000FF"/>
                <w:w w:val="93"/>
                <w:vertAlign w:val="subscript"/>
              </w:rPr>
              <w:t>4,000,543</w:t>
            </w:r>
            <w:r>
              <w:rPr>
                <w:rFonts w:ascii="Times New Roman" w:cs="Times New Roman" w:eastAsia="Times New Roman" w:hAnsi="Times New Roman"/>
                <w:sz w:val="11"/>
                <w:szCs w:val="11"/>
                <w:color w:val="008000"/>
                <w:w w:val="93"/>
              </w:rPr>
              <w:t>(1)(2)(3)(4)(5)(6)(7)</w:t>
            </w:r>
          </w:p>
        </w:tc>
        <w:tc>
          <w:tcPr>
            <w:tcW w:w="88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0" w:type="dxa"/>
            <w:vAlign w:val="bottom"/>
            <w:tcBorders>
              <w:top w:val="single" w:sz="8" w:color="2C2C2C"/>
            </w:tcBorders>
          </w:tcPr>
          <w:p>
            <w:pPr>
              <w:spacing w:after="0"/>
              <w:rPr>
                <w:sz w:val="18"/>
                <w:szCs w:val="18"/>
                <w:color w:val="auto"/>
              </w:rPr>
            </w:pPr>
          </w:p>
        </w:tc>
        <w:tc>
          <w:tcPr>
            <w:tcW w:w="980" w:type="dxa"/>
            <w:vAlign w:val="bottom"/>
            <w:tcBorders>
              <w:top w:val="single" w:sz="8" w:color="2C2C2C"/>
            </w:tcBorders>
          </w:tcPr>
          <w:p>
            <w:pPr>
              <w:spacing w:after="0"/>
              <w:rPr>
                <w:sz w:val="18"/>
                <w:szCs w:val="18"/>
                <w:color w:val="auto"/>
              </w:rPr>
            </w:pPr>
          </w:p>
        </w:tc>
        <w:tc>
          <w:tcPr>
            <w:tcW w:w="6180" w:type="dxa"/>
            <w:vAlign w:val="bottom"/>
            <w:tcBorders>
              <w:top w:val="single" w:sz="8" w:color="2C2C2C"/>
            </w:tcBorders>
            <w:gridSpan w:val="16"/>
          </w:tcPr>
          <w:p>
            <w:pPr>
              <w:jc w:val="center"/>
              <w:ind w:right="79"/>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80" w:type="dxa"/>
            <w:vAlign w:val="bottom"/>
            <w:tcBorders>
              <w:top w:val="single" w:sz="8" w:color="2C2C2C"/>
            </w:tcBorders>
          </w:tcPr>
          <w:p>
            <w:pPr>
              <w:spacing w:after="0"/>
              <w:rPr>
                <w:sz w:val="18"/>
                <w:szCs w:val="18"/>
                <w:color w:val="auto"/>
              </w:rPr>
            </w:pPr>
          </w:p>
        </w:tc>
        <w:tc>
          <w:tcPr>
            <w:tcW w:w="8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500" w:type="dxa"/>
            <w:vAlign w:val="bottom"/>
            <w:gridSpan w:val="15"/>
          </w:tcPr>
          <w:p>
            <w:pPr>
              <w:jc w:val="center"/>
              <w:ind w:left="473"/>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3"/>
          </w:tcPr>
          <w:p>
            <w:pPr>
              <w:spacing w:after="0"/>
              <w:rPr>
                <w:sz w:val="2"/>
                <w:szCs w:val="2"/>
                <w:color w:val="auto"/>
              </w:rPr>
            </w:pPr>
          </w:p>
        </w:tc>
        <w:tc>
          <w:tcPr>
            <w:tcW w:w="1500" w:type="dxa"/>
            <w:vAlign w:val="bottom"/>
            <w:tcBorders>
              <w:bottom w:val="single" w:sz="8" w:color="2C2C2C"/>
            </w:tcBorders>
            <w:gridSpan w:val="4"/>
          </w:tcPr>
          <w:p>
            <w:pPr>
              <w:spacing w:after="0"/>
              <w:rPr>
                <w:sz w:val="2"/>
                <w:szCs w:val="2"/>
                <w:color w:val="auto"/>
              </w:rPr>
            </w:pPr>
          </w:p>
        </w:tc>
        <w:tc>
          <w:tcPr>
            <w:tcW w:w="124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1560" w:type="dxa"/>
            <w:vAlign w:val="bottom"/>
            <w:tcBorders>
              <w:bottom w:val="single" w:sz="8" w:color="2C2C2C"/>
            </w:tcBorders>
            <w:gridSpan w:val="2"/>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2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4.</w:t>
            </w:r>
          </w:p>
        </w:tc>
        <w:tc>
          <w:tcPr>
            <w:tcW w:w="700" w:type="dxa"/>
            <w:vAlign w:val="bottom"/>
            <w:gridSpan w:val="3"/>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5"/>
          </w:tcPr>
          <w:p>
            <w:pPr>
              <w:ind w:left="2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8. Price of</w:t>
            </w:r>
          </w:p>
        </w:tc>
        <w:tc>
          <w:tcPr>
            <w:tcW w:w="156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29" w:lineRule="exact"/>
              <w:rPr>
                <w:sz w:val="20"/>
                <w:szCs w:val="20"/>
                <w:color w:val="auto"/>
              </w:rPr>
            </w:pPr>
            <w:r>
              <w:rPr>
                <w:rFonts w:ascii="Arial" w:cs="Arial" w:eastAsia="Arial" w:hAnsi="Arial"/>
                <w:sz w:val="12"/>
                <w:szCs w:val="12"/>
                <w:b w:val="1"/>
                <w:bCs w:val="1"/>
                <w:color w:val="auto"/>
              </w:rPr>
              <w:t>Transaction</w:t>
            </w:r>
          </w:p>
        </w:tc>
        <w:tc>
          <w:tcPr>
            <w:tcW w:w="3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1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360" w:type="dxa"/>
            <w:vAlign w:val="bottom"/>
          </w:tcPr>
          <w:p>
            <w:pPr>
              <w:spacing w:after="0"/>
              <w:rPr>
                <w:sz w:val="11"/>
                <w:szCs w:val="11"/>
                <w:color w:val="auto"/>
              </w:rPr>
            </w:pPr>
          </w:p>
        </w:tc>
        <w:tc>
          <w:tcPr>
            <w:tcW w:w="9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of Securities</w:t>
            </w: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28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2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11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spacing w:after="0"/>
              <w:rPr>
                <w:sz w:val="11"/>
                <w:szCs w:val="11"/>
                <w:color w:val="auto"/>
              </w:rPr>
            </w:pPr>
          </w:p>
        </w:tc>
        <w:tc>
          <w:tcPr>
            <w:tcW w:w="6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2"/>
              </w:rPr>
              <w:t>Underlying</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880" w:type="dxa"/>
            <w:vAlign w:val="bottom"/>
          </w:tcPr>
          <w:p>
            <w:pPr>
              <w:ind w:left="28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30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68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2"/>
              </w:rPr>
              <w:t>Beneficially</w:t>
            </w:r>
          </w:p>
        </w:tc>
        <w:tc>
          <w:tcPr>
            <w:tcW w:w="880" w:type="dxa"/>
            <w:vAlign w:val="bottom"/>
          </w:tcPr>
          <w:p>
            <w:pPr>
              <w:ind w:left="28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Acquired</w:t>
            </w: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Owned</w:t>
            </w:r>
          </w:p>
        </w:tc>
        <w:tc>
          <w:tcPr>
            <w:tcW w:w="880" w:type="dxa"/>
            <w:vAlign w:val="bottom"/>
          </w:tcPr>
          <w:p>
            <w:pPr>
              <w:ind w:left="28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9"/>
              </w:rPr>
              <w:t>(A) or</w:t>
            </w: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Following</w:t>
            </w:r>
          </w:p>
        </w:tc>
        <w:tc>
          <w:tcPr>
            <w:tcW w:w="880" w:type="dxa"/>
            <w:vAlign w:val="bottom"/>
          </w:tcPr>
          <w:p>
            <w:pPr>
              <w:ind w:left="28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Disposed</w:t>
            </w: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Reported</w:t>
            </w:r>
          </w:p>
        </w:tc>
        <w:tc>
          <w:tcPr>
            <w:tcW w:w="8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5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(Instr. 3, 4</w:t>
            </w: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(Instr. 4)</w:t>
            </w:r>
          </w:p>
        </w:tc>
        <w:tc>
          <w:tcPr>
            <w:tcW w:w="8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60" w:type="dxa"/>
            <w:vAlign w:val="bottom"/>
            <w:gridSpan w:val="2"/>
          </w:tcPr>
          <w:p>
            <w:pPr>
              <w:ind w:left="20"/>
              <w:spacing w:after="0"/>
              <w:rPr>
                <w:sz w:val="20"/>
                <w:szCs w:val="20"/>
                <w:color w:val="auto"/>
              </w:rPr>
            </w:pPr>
            <w:r>
              <w:rPr>
                <w:rFonts w:ascii="Arial" w:cs="Arial" w:eastAsia="Arial" w:hAnsi="Arial"/>
                <w:sz w:val="12"/>
                <w:szCs w:val="12"/>
                <w:b w:val="1"/>
                <w:bCs w:val="1"/>
                <w:color w:val="auto"/>
                <w:w w:val="90"/>
              </w:rPr>
              <w:t>and 5)</w:t>
            </w: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w:t>
            </w: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360" w:type="dxa"/>
            <w:vAlign w:val="bottom"/>
            <w:gridSpan w:val="2"/>
          </w:tcPr>
          <w:p>
            <w:pPr>
              <w:ind w:left="2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tcPr>
          <w:p>
            <w:pPr>
              <w:jc w:val="center"/>
              <w:spacing w:after="0"/>
              <w:rPr>
                <w:sz w:val="20"/>
                <w:szCs w:val="20"/>
                <w:color w:val="auto"/>
              </w:rPr>
            </w:pPr>
            <w:r>
              <w:rPr>
                <w:rFonts w:ascii="Arial" w:cs="Arial" w:eastAsia="Arial" w:hAnsi="Arial"/>
                <w:sz w:val="12"/>
                <w:szCs w:val="12"/>
                <w:b w:val="1"/>
                <w:bCs w:val="1"/>
                <w:color w:val="auto"/>
                <w:w w:val="95"/>
              </w:rPr>
              <w:t>Exercisable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360" w:type="dxa"/>
            <w:vAlign w:val="bottom"/>
          </w:tcPr>
          <w:p>
            <w:pPr>
              <w:spacing w:after="0"/>
              <w:rPr>
                <w:sz w:val="13"/>
                <w:szCs w:val="13"/>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of Shares</w:t>
            </w: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1.201</w:t>
            </w: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rPr>
              <w:t>04/17/2019</w:t>
            </w:r>
          </w:p>
        </w:tc>
        <w:tc>
          <w:tcPr>
            <w:tcW w:w="78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color w:val="0000FF"/>
              </w:rPr>
              <w:t>04/14/2029</w:t>
            </w: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0000FF"/>
              </w:rPr>
              <w:t>Ordinary</w:t>
            </w:r>
          </w:p>
        </w:tc>
        <w:tc>
          <w:tcPr>
            <w:tcW w:w="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604,200</w:t>
            </w: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vMerge w:val="restart"/>
          </w:tcPr>
          <w:p>
            <w:pPr>
              <w:ind w:left="220"/>
              <w:spacing w:after="0"/>
              <w:rPr>
                <w:sz w:val="20"/>
                <w:szCs w:val="20"/>
                <w:color w:val="auto"/>
              </w:rPr>
            </w:pPr>
            <w:r>
              <w:rPr>
                <w:rFonts w:ascii="Times New Roman" w:cs="Times New Roman" w:eastAsia="Times New Roman" w:hAnsi="Times New Roman"/>
                <w:sz w:val="13"/>
                <w:szCs w:val="13"/>
                <w:color w:val="0000FF"/>
              </w:rPr>
              <w:t>604,200</w:t>
            </w:r>
          </w:p>
        </w:tc>
        <w:tc>
          <w:tcPr>
            <w:tcW w:w="880" w:type="dxa"/>
            <w:vAlign w:val="bottom"/>
            <w:vMerge w:val="restart"/>
          </w:tcPr>
          <w:p>
            <w:pPr>
              <w:ind w:left="5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tcPr>
          <w:p>
            <w:pPr>
              <w:ind w:left="60"/>
              <w:spacing w:after="0" w:line="65" w:lineRule="exact"/>
              <w:rPr>
                <w:sz w:val="20"/>
                <w:szCs w:val="20"/>
                <w:color w:val="auto"/>
              </w:rPr>
            </w:pPr>
            <w:r>
              <w:rPr>
                <w:rFonts w:ascii="Times New Roman" w:cs="Times New Roman" w:eastAsia="Times New Roman" w:hAnsi="Times New Roman"/>
                <w:sz w:val="6"/>
                <w:szCs w:val="6"/>
                <w:color w:val="0000FF"/>
              </w:rPr>
              <w:t>Option</w:t>
            </w:r>
            <w:r>
              <w:rPr>
                <w:rFonts w:ascii="Times New Roman" w:cs="Times New Roman" w:eastAsia="Times New Roman" w:hAnsi="Times New Roman"/>
                <w:sz w:val="7"/>
                <w:szCs w:val="7"/>
                <w:color w:val="008000"/>
                <w:vertAlign w:val="superscript"/>
              </w:rPr>
              <w:t>(8)</w:t>
            </w:r>
          </w:p>
        </w:tc>
        <w:tc>
          <w:tcPr>
            <w:tcW w:w="6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ind w:left="20"/>
              <w:spacing w:after="0" w:line="65" w:lineRule="exact"/>
              <w:rPr>
                <w:sz w:val="20"/>
                <w:szCs w:val="20"/>
                <w:color w:val="auto"/>
              </w:rPr>
            </w:pPr>
            <w:r>
              <w:rPr>
                <w:rFonts w:ascii="Times New Roman" w:cs="Times New Roman" w:eastAsia="Times New Roman" w:hAnsi="Times New Roman"/>
                <w:sz w:val="6"/>
                <w:szCs w:val="6"/>
                <w:color w:val="0000FF"/>
              </w:rPr>
              <w:t>Shares</w:t>
            </w:r>
          </w:p>
        </w:tc>
        <w:tc>
          <w:tcPr>
            <w:tcW w:w="62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88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tcPr>
          <w:p>
            <w:pPr>
              <w:spacing w:after="0"/>
              <w:rPr>
                <w:sz w:val="11"/>
                <w:szCs w:val="11"/>
                <w:color w:val="auto"/>
              </w:rPr>
            </w:pPr>
          </w:p>
        </w:tc>
        <w:tc>
          <w:tcPr>
            <w:tcW w:w="68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114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gridSpan w:val="2"/>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4.1645</w:t>
            </w: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rPr>
              <w:t>04/20/2021</w:t>
            </w:r>
          </w:p>
        </w:tc>
        <w:tc>
          <w:tcPr>
            <w:tcW w:w="78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color w:val="0000FF"/>
              </w:rPr>
              <w:t>04/20/2030</w:t>
            </w: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0000FF"/>
              </w:rPr>
              <w:t>Ordinary</w:t>
            </w:r>
          </w:p>
        </w:tc>
        <w:tc>
          <w:tcPr>
            <w:tcW w:w="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882,600</w:t>
            </w: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vMerge w:val="restart"/>
          </w:tcPr>
          <w:p>
            <w:pPr>
              <w:ind w:left="220"/>
              <w:spacing w:after="0"/>
              <w:rPr>
                <w:sz w:val="20"/>
                <w:szCs w:val="20"/>
                <w:color w:val="auto"/>
              </w:rPr>
            </w:pPr>
            <w:r>
              <w:rPr>
                <w:rFonts w:ascii="Times New Roman" w:cs="Times New Roman" w:eastAsia="Times New Roman" w:hAnsi="Times New Roman"/>
                <w:sz w:val="13"/>
                <w:szCs w:val="13"/>
                <w:color w:val="0000FF"/>
              </w:rPr>
              <w:t>882,600</w:t>
            </w:r>
          </w:p>
        </w:tc>
        <w:tc>
          <w:tcPr>
            <w:tcW w:w="880" w:type="dxa"/>
            <w:vAlign w:val="bottom"/>
            <w:vMerge w:val="restart"/>
          </w:tcPr>
          <w:p>
            <w:pPr>
              <w:ind w:left="5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tcPr>
          <w:p>
            <w:pPr>
              <w:ind w:left="60"/>
              <w:spacing w:after="0" w:line="65" w:lineRule="exact"/>
              <w:rPr>
                <w:sz w:val="20"/>
                <w:szCs w:val="20"/>
                <w:color w:val="auto"/>
              </w:rPr>
            </w:pPr>
            <w:r>
              <w:rPr>
                <w:rFonts w:ascii="Times New Roman" w:cs="Times New Roman" w:eastAsia="Times New Roman" w:hAnsi="Times New Roman"/>
                <w:sz w:val="6"/>
                <w:szCs w:val="6"/>
                <w:color w:val="0000FF"/>
              </w:rPr>
              <w:t>Option</w:t>
            </w:r>
            <w:r>
              <w:rPr>
                <w:rFonts w:ascii="Times New Roman" w:cs="Times New Roman" w:eastAsia="Times New Roman" w:hAnsi="Times New Roman"/>
                <w:sz w:val="7"/>
                <w:szCs w:val="7"/>
                <w:color w:val="008000"/>
                <w:vertAlign w:val="superscript"/>
              </w:rPr>
              <w:t>(8)</w:t>
            </w:r>
          </w:p>
        </w:tc>
        <w:tc>
          <w:tcPr>
            <w:tcW w:w="6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ind w:left="20"/>
              <w:spacing w:after="0" w:line="65" w:lineRule="exact"/>
              <w:rPr>
                <w:sz w:val="20"/>
                <w:szCs w:val="20"/>
                <w:color w:val="auto"/>
              </w:rPr>
            </w:pPr>
            <w:r>
              <w:rPr>
                <w:rFonts w:ascii="Times New Roman" w:cs="Times New Roman" w:eastAsia="Times New Roman" w:hAnsi="Times New Roman"/>
                <w:sz w:val="6"/>
                <w:szCs w:val="6"/>
                <w:color w:val="0000FF"/>
              </w:rPr>
              <w:t>Shares</w:t>
            </w:r>
          </w:p>
        </w:tc>
        <w:tc>
          <w:tcPr>
            <w:tcW w:w="62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88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114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-2217420</wp:posOffset>
            </wp:positionV>
            <wp:extent cx="29210" cy="22225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22250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3,305,276 ordinary shares.</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51,546 RSUs granted to the Reporting Person by the Issuer on June 22, 2021. As of the date hereof, all of the RSUs have fully vested.</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89,499 RSUs granted to the Reporting Person by the Issuer on April 14, 2022. As of the date hereof, all of the RSUs have fully vested.</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100,159 RSUs granted to the Reporting Person by the Issuer on April 20, 2023. As of the date hereof, all of the RSUs have fully vested.</w:t>
      </w:r>
    </w:p>
    <w:p>
      <w:pPr>
        <w:spacing w:after="0" w:line="44" w:lineRule="exact"/>
        <w:rPr>
          <w:rFonts w:ascii="Times New Roman" w:cs="Times New Roman" w:eastAsia="Times New Roman" w:hAnsi="Times New Roman"/>
          <w:sz w:val="13"/>
          <w:szCs w:val="13"/>
          <w:color w:val="008000"/>
        </w:rPr>
      </w:pPr>
    </w:p>
    <w:p>
      <w:pPr>
        <w:ind w:left="40" w:right="260" w:firstLine="2"/>
        <w:spacing w:after="0" w:line="242"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87,018 RSUs granted to the Reporting Person by the Issuer on April 26, 2024, with a vesting commencement date of April 1, 2024 (the "Grant Date"). The RSUs vest as follows: 33% of the RSUs shall vest on the first anniversary of the Grant Date, and the remaining RSUs shall vest in equal quarterly installments thereafter through April 2027, subject to the Reporting Person's provision of service to the Issuer on each vesting date. Each RSU represents the right to receive one ordinary share upon vesting and settlement.</w:t>
      </w:r>
    </w:p>
    <w:p>
      <w:pPr>
        <w:spacing w:after="0" w:line="25" w:lineRule="exact"/>
        <w:rPr>
          <w:rFonts w:ascii="Times New Roman" w:cs="Times New Roman" w:eastAsia="Times New Roman" w:hAnsi="Times New Roman"/>
          <w:sz w:val="13"/>
          <w:szCs w:val="13"/>
          <w:color w:val="008000"/>
        </w:rPr>
      </w:pPr>
    </w:p>
    <w:p>
      <w:pPr>
        <w:ind w:left="40" w:right="280" w:firstLine="2"/>
        <w:spacing w:after="0" w:line="242"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84,873 RSUs granted to the Reporting Person by the Issuer on April 14, 2025, with a vesting commencement date of April 1, 2025 (the "Grant Date"). The RSUs vest as follows: 33% of the RSUs shall vest on the first anniversary of the Grant date, and the remaining RSUs shall vest in equal quarterly installments thereafter through April 2028, subject to the Reporting Person's provision of service to the Issuer on each vesting Date. Each RSU represents the right to receive one ordinary share upon vesting and settlement.</w:t>
      </w:r>
    </w:p>
    <w:p>
      <w:pPr>
        <w:spacing w:after="0" w:line="25" w:lineRule="exact"/>
        <w:rPr>
          <w:rFonts w:ascii="Times New Roman" w:cs="Times New Roman" w:eastAsia="Times New Roman" w:hAnsi="Times New Roman"/>
          <w:sz w:val="13"/>
          <w:szCs w:val="13"/>
          <w:color w:val="008000"/>
        </w:rPr>
      </w:pPr>
    </w:p>
    <w:p>
      <w:pPr>
        <w:ind w:left="40" w:right="180" w:firstLine="2"/>
        <w:spacing w:after="0" w:line="242"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282,172 RSUs granted to the Reporting Person by the Issuer on May 13, 2026, with a vesting commencement date of April 1, 2026 (the "Grant Date"). The RSUs vest as follows: 33% vest on the first anniversary of the Grant Date, and the remaining RSUs vest in equal quarterly installments thereafter through April 2029, subject to the Reporting Person's continued service to the Issuer on each applicable vesting date. Each RSU represents the right to receive one ordinary share upon vesting and settlement.</w:t>
      </w:r>
    </w:p>
    <w:p>
      <w:pPr>
        <w:spacing w:after="0" w:line="25" w:lineRule="exact"/>
        <w:rPr>
          <w:rFonts w:ascii="Times New Roman" w:cs="Times New Roman" w:eastAsia="Times New Roman" w:hAnsi="Times New Roman"/>
          <w:sz w:val="13"/>
          <w:szCs w:val="13"/>
          <w:color w:val="008000"/>
        </w:rPr>
      </w:pPr>
    </w:p>
    <w:p>
      <w:pPr>
        <w:ind w:left="40" w:right="16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There were no transactions effected in respect of the securities reported in this row, and the holdings in this row are being included for informational purposes only. The options are now fully vested but remain unexercised.</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Michal Yardeni</w:t>
            </w: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0000FF"/>
                <w:w w:val="95"/>
              </w:rPr>
              <w:t>06/22/2026</w:t>
            </w:r>
          </w:p>
        </w:tc>
      </w:tr>
      <w:tr>
        <w:trPr>
          <w:trHeight w:val="20"/>
        </w:trPr>
        <w:tc>
          <w:tcPr>
            <w:tcW w:w="104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7"/>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64142" TargetMode="External"/><Relationship Id="rId14" Type="http://schemas.openxmlformats.org/officeDocument/2006/relationships/hyperlink" Target="http://www.sec.gov/cgi-bin/browse-edgar?action=getcompany&amp;CIK=00018359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2026-06-22T15:34:53Z</dcterms:created>
  <dcterms:modified xsi:type="dcterms:W3CDTF">2026-06-22T15:34:53Z</dcterms:modified>
</cp:coreProperties>
</file>