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Koren Ofer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HAALIYA HASHNIA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Global-E Online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GLBE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8"/>
        <w:gridCol w:w="904"/>
        <w:gridCol w:w="774"/>
        <w:gridCol w:w="600"/>
        <w:gridCol w:w="346"/>
        <w:gridCol w:w="924"/>
        <w:gridCol w:w="447"/>
        <w:gridCol w:w="838"/>
        <w:gridCol w:w="1184"/>
        <w:gridCol w:w="989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165,389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38.069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153,189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08/18/2030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exercises and related sales reported herein were effected pursuant to a Rule 10b5-1 trading plan adopted by the Reporting Person on June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(i) 153,189 RSUs, each representing the right to receive one ordinary share upon vesting and settlement, and (ii) 12,200 ordinary shares acquired upon the exercise of stock options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Michal Yardeni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4100" TargetMode="External"/><Relationship Id="rId5" Type="http://schemas.openxmlformats.org/officeDocument/2006/relationships/hyperlink" Target="http://www.sec.gov/cgi-bin/browse-edgar?action=getcompany&amp;CIK=0001835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3492</Characters>
  <CharactersWithSpaces>4047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