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44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441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Tamari Shahar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33 LESHEM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Global-E Online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GLBE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06/25/2026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417"/>
        <w:spacing w:after="0"/>
        <w:rPr>
          <w:sz w:val="20"/>
          <w:szCs w:val="20"/>
          <w:color w:val="auto"/>
        </w:rPr>
      </w:pPr>
      <w:r>
        <w:rPr>
          <w:rFonts w:ascii="Times New Roman" w:cs="Times New Roman" w:eastAsia="Times New Roman" w:hAnsi="Times New Roman"/>
          <w:sz w:val="17"/>
          <w:szCs w:val="17"/>
          <w:color w:val="0000FF"/>
        </w:rPr>
        <w:t>COO</w:t>
      </w:r>
    </w:p>
    <w:p>
      <w:pPr>
        <w:spacing w:after="0" w:line="27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200" w:type="dxa"/>
            <w:vAlign w:val="bottom"/>
            <w:shd w:val="clear" w:color="auto" w:fill="9A9A9A"/>
          </w:tcPr>
          <w:p>
            <w:pPr>
              <w:spacing w:after="0"/>
              <w:rPr>
                <w:sz w:val="2"/>
                <w:szCs w:val="2"/>
                <w:color w:val="auto"/>
              </w:rPr>
            </w:pPr>
          </w:p>
        </w:tc>
        <w:tc>
          <w:tcPr>
            <w:tcW w:w="98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8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10"/>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280" w:type="dxa"/>
            <w:vAlign w:val="bottom"/>
          </w:tcPr>
          <w:p>
            <w:pPr>
              <w:spacing w:after="0"/>
              <w:rPr>
                <w:sz w:val="2"/>
                <w:szCs w:val="2"/>
                <w:color w:val="auto"/>
              </w:rPr>
            </w:pPr>
          </w:p>
        </w:tc>
        <w:tc>
          <w:tcPr>
            <w:tcW w:w="3460" w:type="dxa"/>
            <w:vAlign w:val="bottom"/>
            <w:gridSpan w:val="8"/>
            <w:vMerge w:val="restart"/>
          </w:tcPr>
          <w:p>
            <w:pPr>
              <w:ind w:left="1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0" w:type="dxa"/>
            <w:vAlign w:val="bottom"/>
            <w:gridSpan w:val="10"/>
            <w:vMerge w:val="continue"/>
          </w:tcPr>
          <w:p>
            <w:pPr>
              <w:spacing w:after="0"/>
              <w:rPr>
                <w:sz w:val="10"/>
                <w:szCs w:val="10"/>
                <w:color w:val="auto"/>
              </w:rPr>
            </w:pPr>
          </w:p>
        </w:tc>
        <w:tc>
          <w:tcPr>
            <w:tcW w:w="280" w:type="dxa"/>
            <w:vAlign w:val="bottom"/>
          </w:tcPr>
          <w:p>
            <w:pPr>
              <w:spacing w:after="0"/>
              <w:rPr>
                <w:sz w:val="10"/>
                <w:szCs w:val="10"/>
                <w:color w:val="auto"/>
              </w:rPr>
            </w:pPr>
          </w:p>
        </w:tc>
        <w:tc>
          <w:tcPr>
            <w:tcW w:w="34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gridSpan w:val="2"/>
          </w:tcPr>
          <w:p>
            <w:pPr>
              <w:ind w:left="100"/>
              <w:spacing w:after="0"/>
              <w:rPr>
                <w:sz w:val="20"/>
                <w:szCs w:val="20"/>
                <w:color w:val="auto"/>
              </w:rPr>
            </w:pPr>
            <w:r>
              <w:rPr>
                <w:rFonts w:ascii="Arial" w:cs="Arial" w:eastAsia="Arial" w:hAnsi="Arial"/>
                <w:sz w:val="13"/>
                <w:szCs w:val="13"/>
                <w:color w:val="auto"/>
                <w:w w:val="96"/>
              </w:rPr>
              <w:t>Line)</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SHOHAM</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5"/>
              </w:rPr>
              <w:t>L3</w:t>
            </w:r>
          </w:p>
        </w:tc>
        <w:tc>
          <w:tcPr>
            <w:tcW w:w="98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6080632</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60" w:type="dxa"/>
            <w:vAlign w:val="bottom"/>
            <w:gridSpan w:val="6"/>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60" w:type="dxa"/>
            <w:vAlign w:val="bottom"/>
            <w:gridSpan w:val="6"/>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Person</w:t>
            </w: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2"/>
          </w:tcPr>
          <w:p>
            <w:pPr>
              <w:spacing w:after="0"/>
              <w:rPr>
                <w:sz w:val="10"/>
                <w:szCs w:val="10"/>
                <w:color w:val="auto"/>
              </w:rPr>
            </w:pPr>
          </w:p>
        </w:tc>
        <w:tc>
          <w:tcPr>
            <w:tcW w:w="3100" w:type="dxa"/>
            <w:vAlign w:val="bottom"/>
            <w:tcBorders>
              <w:bottom w:val="single" w:sz="8" w:color="2C2C2C"/>
            </w:tcBorders>
            <w:gridSpan w:val="10"/>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7"/>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8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gridSpan w:val="5"/>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2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6"/>
              </w:rPr>
              <w:t>2A. Deemed</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17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88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240"/>
              <w:spacing w:after="0" w:line="128"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7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880" w:type="dxa"/>
            <w:vAlign w:val="bottom"/>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2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Code (Instr.</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Following Reported</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 (Instr. 3 and</w:t>
            </w: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vMerge w:val="restart"/>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w w:val="93"/>
              </w:rPr>
              <w:t>(A) or</w:t>
            </w: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06/25/2026</w:t>
            </w: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right"/>
              <w:ind w:right="59"/>
              <w:spacing w:after="0"/>
              <w:rPr>
                <w:sz w:val="20"/>
                <w:szCs w:val="20"/>
                <w:color w:val="auto"/>
              </w:rPr>
            </w:pPr>
            <w:r>
              <w:rPr>
                <w:rFonts w:ascii="Times New Roman" w:cs="Times New Roman" w:eastAsia="Times New Roman" w:hAnsi="Times New Roman"/>
                <w:sz w:val="17"/>
                <w:szCs w:val="17"/>
                <w:color w:val="0000FF"/>
              </w:rPr>
              <w:t>15,235</w:t>
            </w:r>
          </w:p>
        </w:tc>
        <w:tc>
          <w:tcPr>
            <w:tcW w:w="3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35.1337</w:t>
            </w:r>
          </w:p>
        </w:tc>
        <w:tc>
          <w:tcPr>
            <w:tcW w:w="1760" w:type="dxa"/>
            <w:vAlign w:val="bottom"/>
            <w:tcBorders>
              <w:bottom w:val="single" w:sz="8" w:color="2C2C2C"/>
            </w:tcBorders>
            <w:gridSpan w:val="4"/>
          </w:tcPr>
          <w:p>
            <w:pPr>
              <w:ind w:left="80"/>
              <w:spacing w:after="0" w:line="309" w:lineRule="exact"/>
              <w:rPr>
                <w:sz w:val="20"/>
                <w:szCs w:val="20"/>
                <w:color w:val="auto"/>
              </w:rPr>
            </w:pPr>
            <w:r>
              <w:rPr>
                <w:rFonts w:ascii="Times New Roman" w:cs="Times New Roman" w:eastAsia="Times New Roman" w:hAnsi="Times New Roman"/>
                <w:sz w:val="33"/>
                <w:szCs w:val="33"/>
                <w:color w:val="0000FF"/>
                <w:w w:val="93"/>
                <w:vertAlign w:val="subscript"/>
              </w:rPr>
              <w:t>3,985,308</w:t>
            </w:r>
            <w:r>
              <w:rPr>
                <w:rFonts w:ascii="Times New Roman" w:cs="Times New Roman" w:eastAsia="Times New Roman" w:hAnsi="Times New Roman"/>
                <w:sz w:val="11"/>
                <w:szCs w:val="11"/>
                <w:color w:val="008000"/>
                <w:w w:val="93"/>
              </w:rPr>
              <w:t>(1)(2)(3)(4)(5)(6)(7)</w:t>
            </w:r>
          </w:p>
        </w:tc>
        <w:tc>
          <w:tcPr>
            <w:tcW w:w="8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6"/>
          </w:tcPr>
          <w:p>
            <w:pPr>
              <w:jc w:val="center"/>
              <w:ind w:right="79"/>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5"/>
          </w:tcPr>
          <w:p>
            <w:pPr>
              <w:jc w:val="center"/>
              <w:ind w:left="4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5"/>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1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Beneficially</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(A) or</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8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w w:val="90"/>
              </w:rPr>
              <w:t>and 5)</w:t>
            </w: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5"/>
              </w:rPr>
              <w:t>Exercisable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3"/>
                <w:szCs w:val="13"/>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1.201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04/17/2019</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04/14/2029</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604,200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604,200</w:t>
            </w:r>
          </w:p>
        </w:tc>
        <w:tc>
          <w:tcPr>
            <w:tcW w:w="8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(8)</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68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4.1645</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rPr>
              <w:t>04/20/2021</w:t>
            </w:r>
          </w:p>
        </w:tc>
        <w:tc>
          <w:tcPr>
            <w:tcW w:w="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04/20/2030</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882,600</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rPr>
              <w:t>882,600</w:t>
            </w:r>
          </w:p>
        </w:tc>
        <w:tc>
          <w:tcPr>
            <w:tcW w:w="880" w:type="dxa"/>
            <w:vAlign w:val="bottom"/>
            <w:vMerge w:val="restart"/>
          </w:tcPr>
          <w:p>
            <w:pPr>
              <w:ind w:left="5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Times New Roman" w:cs="Times New Roman" w:eastAsia="Times New Roman" w:hAnsi="Times New Roman"/>
                <w:sz w:val="6"/>
                <w:szCs w:val="6"/>
                <w:color w:val="0000FF"/>
              </w:rPr>
              <w:t>Option</w:t>
            </w:r>
            <w:r>
              <w:rPr>
                <w:rFonts w:ascii="Times New Roman" w:cs="Times New Roman" w:eastAsia="Times New Roman" w:hAnsi="Times New Roman"/>
                <w:sz w:val="7"/>
                <w:szCs w:val="7"/>
                <w:color w:val="008000"/>
                <w:vertAlign w:val="superscript"/>
              </w:rPr>
              <w:t>(8)</w:t>
            </w: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Shares</w:t>
            </w:r>
          </w:p>
        </w:tc>
        <w:tc>
          <w:tcPr>
            <w:tcW w:w="6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-2217420</wp:posOffset>
            </wp:positionV>
            <wp:extent cx="29210" cy="2222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22250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3,290,041 ordinary shares.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51,546 RSUs granted to the Reporting Person by the Issuer on June 22, 2021.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89,499 RSUs granted to the Reporting Person by the Issuer on April 14, 2022.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100,159 RSUs granted to the Reporting Person by the Issuer on April 20, 2023. As of the date hereof, all of the RSUs have fully vested.</w:t>
      </w:r>
    </w:p>
    <w:p>
      <w:pPr>
        <w:spacing w:after="0" w:line="44" w:lineRule="exact"/>
        <w:rPr>
          <w:rFonts w:ascii="Times New Roman" w:cs="Times New Roman" w:eastAsia="Times New Roman" w:hAnsi="Times New Roman"/>
          <w:sz w:val="13"/>
          <w:szCs w:val="13"/>
          <w:color w:val="008000"/>
        </w:rPr>
      </w:pPr>
    </w:p>
    <w:p>
      <w:pPr>
        <w:ind w:left="40" w:right="26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p>
      <w:pPr>
        <w:spacing w:after="0" w:line="25" w:lineRule="exact"/>
        <w:rPr>
          <w:rFonts w:ascii="Times New Roman" w:cs="Times New Roman" w:eastAsia="Times New Roman" w:hAnsi="Times New Roman"/>
          <w:sz w:val="13"/>
          <w:szCs w:val="13"/>
          <w:color w:val="008000"/>
        </w:rPr>
      </w:pPr>
    </w:p>
    <w:p>
      <w:pPr>
        <w:ind w:left="40" w:right="1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There were no transactions effected in respect of the securities reported in this row, and the holdings in this row are being included for informational purposes only. The options are now fully vested but remain unexercised.</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Michal Yardeni</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06/29/2026</w:t>
            </w:r>
          </w:p>
        </w:tc>
      </w:tr>
      <w:tr>
        <w:trPr>
          <w:trHeight w:val="20"/>
        </w:trPr>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4142" TargetMode="External"/><Relationship Id="rId14" Type="http://schemas.openxmlformats.org/officeDocument/2006/relationships/hyperlink" Target="http://www.sec.gov/cgi-bin/browse-edgar?action=getcompany&amp;CIK=00018359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2026-06-29T06:31:38Z</dcterms:created>
  <dcterms:modified xsi:type="dcterms:W3CDTF">2026-06-29T06:31:38Z</dcterms:modified>
</cp:coreProperties>
</file>