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49441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94411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Schlachet Amir</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26 HAR DAFNA 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Global-E Online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GLBE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05/05/2026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417"/>
        <w:spacing w:after="0"/>
        <w:rPr>
          <w:sz w:val="20"/>
          <w:szCs w:val="20"/>
          <w:color w:val="auto"/>
        </w:rPr>
      </w:pPr>
      <w:r>
        <w:rPr>
          <w:rFonts w:ascii="Times New Roman" w:cs="Times New Roman" w:eastAsia="Times New Roman" w:hAnsi="Times New Roman"/>
          <w:sz w:val="17"/>
          <w:szCs w:val="17"/>
          <w:color w:val="0000FF"/>
        </w:rPr>
        <w:t>CEO</w:t>
      </w:r>
    </w:p>
    <w:p>
      <w:pPr>
        <w:spacing w:after="0" w:line="277"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p>
      <w:pPr>
        <w:spacing w:after="0" w:line="10" w:lineRule="exact"/>
        <w:rPr>
          <w:sz w:val="24"/>
          <w:szCs w:val="24"/>
          <w:color w:val="auto"/>
        </w:r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200" w:type="dxa"/>
            <w:vAlign w:val="bottom"/>
            <w:shd w:val="clear" w:color="auto" w:fill="9A9A9A"/>
          </w:tcPr>
          <w:p>
            <w:pPr>
              <w:spacing w:after="0"/>
              <w:rPr>
                <w:sz w:val="2"/>
                <w:szCs w:val="2"/>
                <w:color w:val="auto"/>
              </w:rPr>
            </w:pPr>
          </w:p>
        </w:tc>
        <w:tc>
          <w:tcPr>
            <w:tcW w:w="980" w:type="dxa"/>
            <w:vAlign w:val="bottom"/>
            <w:shd w:val="clear" w:color="auto" w:fill="9A9A9A"/>
          </w:tcPr>
          <w:p>
            <w:pPr>
              <w:spacing w:after="0"/>
              <w:rPr>
                <w:sz w:val="2"/>
                <w:szCs w:val="2"/>
                <w:color w:val="auto"/>
              </w:rPr>
            </w:pPr>
          </w:p>
        </w:tc>
        <w:tc>
          <w:tcPr>
            <w:tcW w:w="1140" w:type="dxa"/>
            <w:vAlign w:val="bottom"/>
            <w:shd w:val="clear" w:color="auto" w:fill="9A9A9A"/>
          </w:tcPr>
          <w:p>
            <w:pPr>
              <w:spacing w:after="0"/>
              <w:rPr>
                <w:sz w:val="2"/>
                <w:szCs w:val="2"/>
                <w:color w:val="auto"/>
              </w:rPr>
            </w:pPr>
          </w:p>
        </w:tc>
        <w:tc>
          <w:tcPr>
            <w:tcW w:w="80" w:type="dxa"/>
            <w:vAlign w:val="bottom"/>
            <w:tcBorders>
              <w:right w:val="single" w:sz="8" w:color="9A9A9A"/>
            </w:tcBorders>
            <w:shd w:val="clear" w:color="auto" w:fill="9A9A9A"/>
          </w:tcPr>
          <w:p>
            <w:pPr>
              <w:spacing w:after="0"/>
              <w:rPr>
                <w:sz w:val="2"/>
                <w:szCs w:val="2"/>
                <w:color w:val="auto"/>
              </w:rPr>
            </w:pPr>
          </w:p>
        </w:tc>
        <w:tc>
          <w:tcPr>
            <w:tcW w:w="3600" w:type="dxa"/>
            <w:vAlign w:val="bottom"/>
            <w:gridSpan w:val="8"/>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740" w:type="dxa"/>
            <w:vAlign w:val="bottom"/>
            <w:gridSpan w:val="10"/>
            <w:vMerge w:val="restart"/>
          </w:tcPr>
          <w:p>
            <w:pPr>
              <w:ind w:left="3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0" w:type="dxa"/>
            <w:vAlign w:val="bottom"/>
            <w:gridSpan w:val="8"/>
            <w:vMerge w:val="continue"/>
          </w:tcPr>
          <w:p>
            <w:pPr>
              <w:spacing w:after="0"/>
              <w:rPr>
                <w:sz w:val="10"/>
                <w:szCs w:val="10"/>
                <w:color w:val="auto"/>
              </w:rPr>
            </w:pPr>
          </w:p>
        </w:tc>
        <w:tc>
          <w:tcPr>
            <w:tcW w:w="374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gridSpan w:val="4"/>
          </w:tcPr>
          <w:p>
            <w:pPr>
              <w:ind w:left="380"/>
              <w:spacing w:after="0"/>
              <w:rPr>
                <w:sz w:val="20"/>
                <w:szCs w:val="20"/>
                <w:color w:val="auto"/>
              </w:rPr>
            </w:pPr>
            <w:r>
              <w:rPr>
                <w:rFonts w:ascii="Arial" w:cs="Arial" w:eastAsia="Arial" w:hAnsi="Arial"/>
                <w:sz w:val="13"/>
                <w:szCs w:val="13"/>
                <w:color w:val="auto"/>
              </w:rPr>
              <w:t>Line)</w:t>
            </w: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SAVYON</w:t>
            </w: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0000FF"/>
                <w:w w:val="95"/>
              </w:rPr>
              <w:t>L3</w:t>
            </w:r>
          </w:p>
        </w:tc>
        <w:tc>
          <w:tcPr>
            <w:tcW w:w="980" w:type="dxa"/>
            <w:vAlign w:val="bottom"/>
          </w:tcPr>
          <w:p>
            <w:pPr>
              <w:spacing w:after="0"/>
              <w:rPr>
                <w:sz w:val="19"/>
                <w:szCs w:val="19"/>
                <w:color w:val="auto"/>
              </w:rPr>
            </w:pPr>
          </w:p>
        </w:tc>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5650626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20" w:type="dxa"/>
            <w:vAlign w:val="bottom"/>
            <w:gridSpan w:val="7"/>
          </w:tcPr>
          <w:p>
            <w:pPr>
              <w:ind w:left="3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20" w:type="dxa"/>
            <w:vAlign w:val="bottom"/>
            <w:gridSpan w:val="7"/>
          </w:tcPr>
          <w:p>
            <w:pPr>
              <w:ind w:left="3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Borders>
              <w:top w:val="single" w:sz="8" w:color="EEEEEE"/>
            </w:tcBorders>
          </w:tcPr>
          <w:p>
            <w:pPr>
              <w:spacing w:after="0"/>
              <w:rPr>
                <w:sz w:val="15"/>
                <w:szCs w:val="15"/>
                <w:color w:val="auto"/>
              </w:rPr>
            </w:pPr>
          </w:p>
        </w:tc>
        <w:tc>
          <w:tcPr>
            <w:tcW w:w="118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(State)</w:t>
            </w:r>
          </w:p>
        </w:tc>
        <w:tc>
          <w:tcPr>
            <w:tcW w:w="122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ind w:left="300"/>
              <w:spacing w:after="0"/>
              <w:rPr>
                <w:sz w:val="20"/>
                <w:szCs w:val="20"/>
                <w:color w:val="auto"/>
              </w:rPr>
            </w:pPr>
            <w:r>
              <w:rPr>
                <w:rFonts w:ascii="Arial" w:cs="Arial" w:eastAsia="Arial" w:hAnsi="Arial"/>
                <w:sz w:val="13"/>
                <w:szCs w:val="13"/>
                <w:color w:val="auto"/>
              </w:rPr>
              <w:t>Person</w:t>
            </w: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0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220" w:type="dxa"/>
            <w:vAlign w:val="bottom"/>
            <w:tcBorders>
              <w:bottom w:val="single" w:sz="8" w:color="2C2C2C"/>
            </w:tcBorders>
            <w:gridSpan w:val="2"/>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15"/>
          </w:tcPr>
          <w:p>
            <w:pPr>
              <w:ind w:left="7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40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220" w:type="dxa"/>
            <w:vAlign w:val="bottom"/>
            <w:gridSpan w:val="2"/>
          </w:tcPr>
          <w:p>
            <w:pPr>
              <w:ind w:left="420"/>
              <w:spacing w:after="0"/>
              <w:rPr>
                <w:sz w:val="20"/>
                <w:szCs w:val="20"/>
                <w:color w:val="auto"/>
              </w:rPr>
            </w:pPr>
            <w:r>
              <w:rPr>
                <w:rFonts w:ascii="Arial" w:cs="Arial" w:eastAsia="Arial" w:hAnsi="Arial"/>
                <w:sz w:val="12"/>
                <w:szCs w:val="12"/>
                <w:b w:val="1"/>
                <w:bCs w:val="1"/>
                <w:color w:val="auto"/>
                <w:w w:val="93"/>
              </w:rPr>
              <w:t>2. Transaction</w:t>
            </w:r>
          </w:p>
        </w:tc>
        <w:tc>
          <w:tcPr>
            <w:tcW w:w="28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5. Amount of Securities</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gridSpan w:val="2"/>
          </w:tcPr>
          <w:p>
            <w:pPr>
              <w:ind w:left="420"/>
              <w:spacing w:after="0" w:line="128" w:lineRule="exact"/>
              <w:rPr>
                <w:sz w:val="20"/>
                <w:szCs w:val="20"/>
                <w:color w:val="auto"/>
              </w:rPr>
            </w:pPr>
            <w:r>
              <w:rPr>
                <w:rFonts w:ascii="Arial" w:cs="Arial" w:eastAsia="Arial" w:hAnsi="Arial"/>
                <w:sz w:val="12"/>
                <w:szCs w:val="12"/>
                <w:b w:val="1"/>
                <w:bCs w:val="1"/>
                <w:color w:val="auto"/>
              </w:rPr>
              <w:t>Date</w:t>
            </w:r>
          </w:p>
        </w:tc>
        <w:tc>
          <w:tcPr>
            <w:tcW w:w="280" w:type="dxa"/>
            <w:vAlign w:val="bottom"/>
          </w:tcPr>
          <w:p>
            <w:pPr>
              <w:spacing w:after="0"/>
              <w:rPr>
                <w:sz w:val="11"/>
                <w:szCs w:val="11"/>
                <w:color w:val="auto"/>
              </w:rPr>
            </w:pPr>
          </w:p>
        </w:tc>
        <w:tc>
          <w:tcPr>
            <w:tcW w:w="108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56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Beneficially Owned</w:t>
            </w:r>
          </w:p>
        </w:tc>
        <w:tc>
          <w:tcPr>
            <w:tcW w:w="9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00" w:type="dxa"/>
            <w:vAlign w:val="bottom"/>
            <w:gridSpan w:val="3"/>
          </w:tcPr>
          <w:p>
            <w:pPr>
              <w:ind w:left="4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29"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Following Reported</w:t>
            </w:r>
          </w:p>
        </w:tc>
        <w:tc>
          <w:tcPr>
            <w:tcW w:w="9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Transaction(s) (Instr. 3</w:t>
            </w:r>
          </w:p>
        </w:tc>
        <w:tc>
          <w:tcPr>
            <w:tcW w:w="9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9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and 4)</w:t>
            </w: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76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90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760" w:type="dxa"/>
            <w:vAlign w:val="bottom"/>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05/05/2026</w:t>
            </w:r>
          </w:p>
        </w:tc>
        <w:tc>
          <w:tcPr>
            <w:tcW w:w="4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9,450</w:t>
            </w:r>
          </w:p>
        </w:tc>
        <w:tc>
          <w:tcPr>
            <w:tcW w:w="4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31.675</w:t>
            </w:r>
          </w:p>
        </w:tc>
        <w:tc>
          <w:tcPr>
            <w:tcW w:w="6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spacing w:after="0" w:line="309" w:lineRule="exact"/>
              <w:rPr>
                <w:sz w:val="20"/>
                <w:szCs w:val="20"/>
                <w:color w:val="auto"/>
              </w:rPr>
            </w:pPr>
            <w:r>
              <w:rPr>
                <w:rFonts w:ascii="Times New Roman" w:cs="Times New Roman" w:eastAsia="Times New Roman" w:hAnsi="Times New Roman"/>
                <w:sz w:val="33"/>
                <w:szCs w:val="33"/>
                <w:color w:val="0000FF"/>
                <w:w w:val="93"/>
                <w:vertAlign w:val="subscript"/>
              </w:rPr>
              <w:t>3,975,100</w:t>
            </w:r>
            <w:r>
              <w:rPr>
                <w:rFonts w:ascii="Times New Roman" w:cs="Times New Roman" w:eastAsia="Times New Roman" w:hAnsi="Times New Roman"/>
                <w:sz w:val="11"/>
                <w:szCs w:val="11"/>
                <w:color w:val="008000"/>
                <w:w w:val="93"/>
              </w:rPr>
              <w:t>(1)(2)(3)(4)(5)(6)</w:t>
            </w: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180" w:type="dxa"/>
            <w:vAlign w:val="bottom"/>
            <w:tcBorders>
              <w:top w:val="single" w:sz="8" w:color="2C2C2C"/>
            </w:tcBorders>
            <w:gridSpan w:val="14"/>
          </w:tcPr>
          <w:p>
            <w:pPr>
              <w:jc w:val="center"/>
              <w:ind w:right="79"/>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6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180" w:type="dxa"/>
            <w:vAlign w:val="bottom"/>
            <w:gridSpan w:val="14"/>
          </w:tcPr>
          <w:p>
            <w:pPr>
              <w:jc w:val="center"/>
              <w:ind w:right="79"/>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320" w:type="dxa"/>
            <w:vAlign w:val="bottom"/>
            <w:tcBorders>
              <w:bottom w:val="single" w:sz="8" w:color="2C2C2C"/>
            </w:tcBorders>
            <w:gridSpan w:val="5"/>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28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w w:val="91"/>
              </w:rPr>
              <w:t>5. Number</w:t>
            </w:r>
          </w:p>
        </w:tc>
        <w:tc>
          <w:tcPr>
            <w:tcW w:w="154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2060" w:type="dxa"/>
            <w:vAlign w:val="bottom"/>
            <w:gridSpan w:val="6"/>
          </w:tcPr>
          <w:p>
            <w:pPr>
              <w:ind w:left="100"/>
              <w:spacing w:after="0"/>
              <w:rPr>
                <w:sz w:val="20"/>
                <w:szCs w:val="20"/>
                <w:color w:val="auto"/>
              </w:rPr>
            </w:pPr>
            <w:r>
              <w:rPr>
                <w:rFonts w:ascii="Arial" w:cs="Arial" w:eastAsia="Arial" w:hAnsi="Arial"/>
                <w:sz w:val="12"/>
                <w:szCs w:val="12"/>
                <w:b w:val="1"/>
                <w:bCs w:val="1"/>
                <w:color w:val="auto"/>
              </w:rPr>
              <w:t>7. Title and Amount   8. Price of</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of Securities</w:t>
            </w:r>
          </w:p>
        </w:tc>
        <w:tc>
          <w:tcPr>
            <w:tcW w:w="16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2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Code (Instr.</w:t>
            </w: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54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w w:val="92"/>
              </w:rPr>
              <w:t>Underlying</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280" w:type="dxa"/>
            <w:vAlign w:val="bottom"/>
          </w:tcPr>
          <w:p>
            <w:pPr>
              <w:spacing w:after="0" w:line="129"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4"/>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w w:val="96"/>
              </w:rPr>
              <w:t>Derivative Security</w:t>
            </w:r>
          </w:p>
        </w:tc>
        <w:tc>
          <w:tcPr>
            <w:tcW w:w="16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5"/>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gridSpan w:val="2"/>
          </w:tcPr>
          <w:p>
            <w:pPr>
              <w:spacing w:after="0"/>
              <w:rPr>
                <w:sz w:val="20"/>
                <w:szCs w:val="20"/>
                <w:color w:val="auto"/>
              </w:rPr>
            </w:pPr>
            <w:r>
              <w:rPr>
                <w:rFonts w:ascii="Arial" w:cs="Arial" w:eastAsia="Arial" w:hAnsi="Arial"/>
                <w:sz w:val="12"/>
                <w:szCs w:val="12"/>
                <w:b w:val="1"/>
                <w:bCs w:val="1"/>
                <w:color w:val="auto"/>
                <w:w w:val="96"/>
              </w:rPr>
              <w:t>Amount</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6"/>
              </w:rPr>
              <w:t>Number</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20"/>
                <w:szCs w:val="20"/>
                <w:color w:val="auto"/>
              </w:rPr>
            </w:pPr>
            <w:r>
              <w:rPr>
                <w:rFonts w:ascii="Arial" w:cs="Arial" w:eastAsia="Arial" w:hAnsi="Arial"/>
                <w:sz w:val="12"/>
                <w:szCs w:val="12"/>
                <w:b w:val="1"/>
                <w:bCs w:val="1"/>
                <w:color w:val="auto"/>
                <w:w w:val="86"/>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w w:val="92"/>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300" w:type="dxa"/>
            <w:vAlign w:val="bottom"/>
          </w:tcPr>
          <w:p>
            <w:pPr>
              <w:spacing w:after="0"/>
              <w:rPr>
                <w:sz w:val="13"/>
                <w:szCs w:val="13"/>
                <w:color w:val="auto"/>
              </w:rPr>
            </w:pPr>
          </w:p>
        </w:tc>
        <w:tc>
          <w:tcPr>
            <w:tcW w:w="1360" w:type="dxa"/>
            <w:vAlign w:val="bottom"/>
            <w:gridSpan w:val="4"/>
          </w:tcPr>
          <w:p>
            <w:pPr>
              <w:spacing w:after="0"/>
              <w:rPr>
                <w:sz w:val="20"/>
                <w:szCs w:val="20"/>
                <w:color w:val="auto"/>
              </w:rPr>
            </w:pPr>
            <w:r>
              <w:rPr>
                <w:rFonts w:ascii="Arial" w:cs="Arial" w:eastAsia="Arial" w:hAnsi="Arial"/>
                <w:sz w:val="12"/>
                <w:szCs w:val="12"/>
                <w:b w:val="1"/>
                <w:bCs w:val="1"/>
                <w:color w:val="auto"/>
              </w:rPr>
              <w:t>of Shares</w:t>
            </w: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1.201</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vMerge w:val="restart"/>
          </w:tcPr>
          <w:p>
            <w:pPr>
              <w:jc w:val="center"/>
              <w:ind w:left="80"/>
              <w:spacing w:after="0"/>
              <w:rPr>
                <w:sz w:val="20"/>
                <w:szCs w:val="20"/>
                <w:color w:val="auto"/>
              </w:rPr>
            </w:pPr>
            <w:r>
              <w:rPr>
                <w:rFonts w:ascii="Times New Roman" w:cs="Times New Roman" w:eastAsia="Times New Roman" w:hAnsi="Times New Roman"/>
                <w:sz w:val="13"/>
                <w:szCs w:val="13"/>
                <w:color w:val="0000FF"/>
              </w:rPr>
              <w:t>04/17/2019</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04/14/2029</w:t>
            </w: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0000FF"/>
              </w:rPr>
              <w:t>Ordinary</w:t>
            </w:r>
          </w:p>
        </w:tc>
        <w:tc>
          <w:tcPr>
            <w:tcW w:w="6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604,200</w:t>
            </w:r>
          </w:p>
        </w:tc>
        <w:tc>
          <w:tcPr>
            <w:tcW w:w="740" w:type="dxa"/>
            <w:vAlign w:val="bottom"/>
          </w:tcPr>
          <w:p>
            <w:pPr>
              <w:spacing w:after="0"/>
              <w:rPr>
                <w:sz w:val="15"/>
                <w:szCs w:val="15"/>
                <w:color w:val="auto"/>
              </w:rPr>
            </w:pPr>
          </w:p>
        </w:tc>
        <w:tc>
          <w:tcPr>
            <w:tcW w:w="66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0000FF"/>
                <w:w w:val="99"/>
              </w:rPr>
              <w:t>604,200</w:t>
            </w:r>
          </w:p>
        </w:tc>
        <w:tc>
          <w:tcPr>
            <w:tcW w:w="24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tcPr>
          <w:p>
            <w:pPr>
              <w:ind w:left="60"/>
              <w:spacing w:after="0" w:line="65" w:lineRule="exact"/>
              <w:rPr>
                <w:sz w:val="20"/>
                <w:szCs w:val="20"/>
                <w:color w:val="auto"/>
              </w:rPr>
            </w:pPr>
            <w:r>
              <w:rPr>
                <w:rFonts w:ascii="Times New Roman" w:cs="Times New Roman" w:eastAsia="Times New Roman" w:hAnsi="Times New Roman"/>
                <w:sz w:val="6"/>
                <w:szCs w:val="6"/>
                <w:color w:val="0000FF"/>
              </w:rPr>
              <w:t>Option</w:t>
            </w:r>
            <w:r>
              <w:rPr>
                <w:rFonts w:ascii="Times New Roman" w:cs="Times New Roman" w:eastAsia="Times New Roman" w:hAnsi="Times New Roman"/>
                <w:sz w:val="7"/>
                <w:szCs w:val="7"/>
                <w:color w:val="008000"/>
                <w:vertAlign w:val="superscript"/>
              </w:rPr>
              <w:t>(7)</w:t>
            </w: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gridSpan w:val="2"/>
          </w:tcPr>
          <w:p>
            <w:pPr>
              <w:ind w:left="160"/>
              <w:spacing w:after="0" w:line="65" w:lineRule="exact"/>
              <w:rPr>
                <w:sz w:val="20"/>
                <w:szCs w:val="20"/>
                <w:color w:val="auto"/>
              </w:rPr>
            </w:pPr>
            <w:r>
              <w:rPr>
                <w:rFonts w:ascii="Times New Roman" w:cs="Times New Roman" w:eastAsia="Times New Roman" w:hAnsi="Times New Roman"/>
                <w:sz w:val="6"/>
                <w:szCs w:val="6"/>
                <w:color w:val="0000FF"/>
              </w:rPr>
              <w:t>Shares</w:t>
            </w:r>
          </w:p>
        </w:tc>
        <w:tc>
          <w:tcPr>
            <w:tcW w:w="620" w:type="dxa"/>
            <w:vAlign w:val="bottom"/>
            <w:gridSpan w:val="3"/>
            <w:vMerge w:val="continue"/>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gridSpan w:val="2"/>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4.1645</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vMerge w:val="restart"/>
          </w:tcPr>
          <w:p>
            <w:pPr>
              <w:jc w:val="center"/>
              <w:ind w:left="80"/>
              <w:spacing w:after="0"/>
              <w:rPr>
                <w:sz w:val="20"/>
                <w:szCs w:val="20"/>
                <w:color w:val="auto"/>
              </w:rPr>
            </w:pPr>
            <w:r>
              <w:rPr>
                <w:rFonts w:ascii="Times New Roman" w:cs="Times New Roman" w:eastAsia="Times New Roman" w:hAnsi="Times New Roman"/>
                <w:sz w:val="13"/>
                <w:szCs w:val="13"/>
                <w:color w:val="0000FF"/>
              </w:rPr>
              <w:t>04/20/2021</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04/20/2030</w:t>
            </w: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0000FF"/>
              </w:rPr>
              <w:t>Ordinary</w:t>
            </w:r>
          </w:p>
        </w:tc>
        <w:tc>
          <w:tcPr>
            <w:tcW w:w="6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882,600</w:t>
            </w:r>
          </w:p>
        </w:tc>
        <w:tc>
          <w:tcPr>
            <w:tcW w:w="740" w:type="dxa"/>
            <w:vAlign w:val="bottom"/>
          </w:tcPr>
          <w:p>
            <w:pPr>
              <w:spacing w:after="0"/>
              <w:rPr>
                <w:sz w:val="15"/>
                <w:szCs w:val="15"/>
                <w:color w:val="auto"/>
              </w:rPr>
            </w:pPr>
          </w:p>
        </w:tc>
        <w:tc>
          <w:tcPr>
            <w:tcW w:w="66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0000FF"/>
                <w:w w:val="99"/>
              </w:rPr>
              <w:t>882,600</w:t>
            </w:r>
          </w:p>
        </w:tc>
        <w:tc>
          <w:tcPr>
            <w:tcW w:w="24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tcPr>
          <w:p>
            <w:pPr>
              <w:ind w:left="60"/>
              <w:spacing w:after="0" w:line="65" w:lineRule="exact"/>
              <w:rPr>
                <w:sz w:val="20"/>
                <w:szCs w:val="20"/>
                <w:color w:val="auto"/>
              </w:rPr>
            </w:pPr>
            <w:r>
              <w:rPr>
                <w:rFonts w:ascii="Times New Roman" w:cs="Times New Roman" w:eastAsia="Times New Roman" w:hAnsi="Times New Roman"/>
                <w:sz w:val="6"/>
                <w:szCs w:val="6"/>
                <w:color w:val="0000FF"/>
              </w:rPr>
              <w:t>Option</w:t>
            </w:r>
            <w:r>
              <w:rPr>
                <w:rFonts w:ascii="Times New Roman" w:cs="Times New Roman" w:eastAsia="Times New Roman" w:hAnsi="Times New Roman"/>
                <w:sz w:val="7"/>
                <w:szCs w:val="7"/>
                <w:color w:val="008000"/>
                <w:vertAlign w:val="superscript"/>
              </w:rPr>
              <w:t>(8)</w:t>
            </w: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gridSpan w:val="2"/>
          </w:tcPr>
          <w:p>
            <w:pPr>
              <w:ind w:left="160"/>
              <w:spacing w:after="0" w:line="65" w:lineRule="exact"/>
              <w:rPr>
                <w:sz w:val="20"/>
                <w:szCs w:val="20"/>
                <w:color w:val="auto"/>
              </w:rPr>
            </w:pPr>
            <w:r>
              <w:rPr>
                <w:rFonts w:ascii="Times New Roman" w:cs="Times New Roman" w:eastAsia="Times New Roman" w:hAnsi="Times New Roman"/>
                <w:sz w:val="6"/>
                <w:szCs w:val="6"/>
                <w:color w:val="0000FF"/>
              </w:rPr>
              <w:t>Shares</w:t>
            </w:r>
          </w:p>
        </w:tc>
        <w:tc>
          <w:tcPr>
            <w:tcW w:w="620" w:type="dxa"/>
            <w:vAlign w:val="bottom"/>
            <w:gridSpan w:val="3"/>
            <w:vMerge w:val="continue"/>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-2217420</wp:posOffset>
            </wp:positionV>
            <wp:extent cx="29210" cy="22225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22250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3,562,005 ordinary shares.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51,546 RSUs granted to the Reporting Person by the Issuer on June 22, 2021. As of the date hereof, all of the RSUs have fully vested.</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89,499 RSUs granted to the Reporting Person by the Issuer on April 14, 2022. As of the date hereof, all of the RSUs have fully vested.</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100,159 RSUs granted to the Reporting Person by the Issuer on April 20, 2023. As of the date hereof, all of the RSUs have fully vested.</w:t>
      </w:r>
    </w:p>
    <w:p>
      <w:pPr>
        <w:spacing w:after="0" w:line="44" w:lineRule="exact"/>
        <w:rPr>
          <w:rFonts w:ascii="Times New Roman" w:cs="Times New Roman" w:eastAsia="Times New Roman" w:hAnsi="Times New Roman"/>
          <w:sz w:val="13"/>
          <w:szCs w:val="13"/>
          <w:color w:val="008000"/>
        </w:rPr>
      </w:pPr>
    </w:p>
    <w:p>
      <w:pPr>
        <w:ind w:left="40" w:right="34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87,018 RSUs granted to the Reporting Person by the Issuer on April 26, 2024, which vest as follows: 33% of the RSUs shall vest on the first anniversary of the grant date, and the remaining RSUs shall vest in equal quarterly installments thereafter through April 2027, subject to the Reporting Person's provision of service to the Issuer on each vesting date. Each RSU represents the right to receive one ordinary share upon vesting and settlement.</w:t>
      </w:r>
    </w:p>
    <w:p>
      <w:pPr>
        <w:spacing w:after="0" w:line="25" w:lineRule="exact"/>
        <w:rPr>
          <w:rFonts w:ascii="Times New Roman" w:cs="Times New Roman" w:eastAsia="Times New Roman" w:hAnsi="Times New Roman"/>
          <w:sz w:val="13"/>
          <w:szCs w:val="13"/>
          <w:color w:val="008000"/>
        </w:rPr>
      </w:pPr>
    </w:p>
    <w:p>
      <w:pPr>
        <w:ind w:left="40" w:right="34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84,873 RSUs granted to the Reporting Person by the Issuer on April 14, 2025, which vest as follows: 33% of the RSUs shall vest on the first anniversary of the grant date, and the remaining RSUs shall vest in equal quarterly installments thereafter through April 2028, subject to the Reporting Person's provision of service to the Issuer on each vesting date. Each RSU represents the right to receive one ordinary share upon vesting and settlement.</w:t>
      </w:r>
    </w:p>
    <w:p>
      <w:pPr>
        <w:spacing w:after="0" w:line="25" w:lineRule="exact"/>
        <w:rPr>
          <w:rFonts w:ascii="Times New Roman" w:cs="Times New Roman" w:eastAsia="Times New Roman" w:hAnsi="Times New Roman"/>
          <w:sz w:val="13"/>
          <w:szCs w:val="13"/>
          <w:color w:val="008000"/>
        </w:rPr>
      </w:pPr>
    </w:p>
    <w:p>
      <w:pPr>
        <w:ind w:left="40" w:right="16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There were no transactions effected in respect of the securities reported in this row, and the holdings in this row are being included for informational purposes only. The options are now fully vested but remain unexercised.</w:t>
      </w:r>
    </w:p>
    <w:p>
      <w:pPr>
        <w:spacing w:after="0" w:line="16" w:lineRule="exact"/>
        <w:rPr>
          <w:rFonts w:ascii="Times New Roman" w:cs="Times New Roman" w:eastAsia="Times New Roman" w:hAnsi="Times New Roman"/>
          <w:sz w:val="13"/>
          <w:szCs w:val="13"/>
          <w:color w:val="008000"/>
        </w:rPr>
      </w:pPr>
    </w:p>
    <w:p>
      <w:pPr>
        <w:ind w:left="40" w:right="16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There were no transactions effected in respect of the securities reported in this row, and the holdings in this row are being included for informational purposes only. The options are now fully vested but remain unexercised.</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Michal Yardeni</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05/06/2026</w:t>
            </w:r>
          </w:p>
        </w:tc>
      </w:tr>
      <w:tr>
        <w:trPr>
          <w:trHeight w:val="20"/>
        </w:trPr>
        <w:tc>
          <w:tcPr>
            <w:tcW w:w="104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64286" TargetMode="External"/><Relationship Id="rId14" Type="http://schemas.openxmlformats.org/officeDocument/2006/relationships/hyperlink" Target="http://www.sec.gov/cgi-bin/browse-edgar?action=getcompany&amp;CIK=00018359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2026-05-06T13:37:55Z</dcterms:created>
  <dcterms:modified xsi:type="dcterms:W3CDTF">2026-05-06T13:37:55Z</dcterms:modified>
</cp:coreProperties>
</file>