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150495</wp:posOffset>
            </wp:positionV>
            <wp:extent cx="42862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86250" cy="17145"/>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221615</wp:posOffset>
            </wp:positionV>
            <wp:extent cx="42862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86250" cy="1714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REPORT OF FOREIGN ISSUER</w:t>
      </w:r>
    </w:p>
    <w:p>
      <w:pPr>
        <w:spacing w:after="0" w:line="31"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1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September 2025</w:t>
      </w: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001-40408</w:t>
      </w:r>
    </w:p>
    <w:p>
      <w:pPr>
        <w:spacing w:after="0" w:line="2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Global-E Online Ltd.</w:t>
      </w:r>
    </w:p>
    <w:p>
      <w:pPr>
        <w:spacing w:after="0" w:line="4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3"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9 HaPsagot St.,</w:t>
      </w:r>
    </w:p>
    <w:p>
      <w:pPr>
        <w:spacing w:after="0" w:line="31"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Petah-Tikva 4951041, Israel</w:t>
      </w:r>
    </w:p>
    <w:p>
      <w:pPr>
        <w:spacing w:after="0" w:line="23"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color w:val="auto"/>
        </w:rPr>
        <w:t>(Address of registrant’s principal executive office)</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09" w:lineRule="exact"/>
        <w:rPr>
          <w:sz w:val="24"/>
          <w:szCs w:val="24"/>
          <w:color w:val="auto"/>
        </w:rPr>
      </w:pPr>
    </w:p>
    <w:p>
      <w:pPr>
        <w:ind w:left="4460"/>
        <w:spacing w:after="0" w:line="207" w:lineRule="exact"/>
        <w:tabs>
          <w:tab w:leader="none" w:pos="57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45" w:right="1440" w:bottom="1440" w:gutter="0" w:footer="0" w:header="0"/>
        </w:sectPr>
      </w:pPr>
    </w:p>
    <w:bookmarkStart w:id="1" w:name="page2"/>
    <w:bookmarkEnd w:id="1"/>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43" w:lineRule="exact"/>
        <w:rPr>
          <w:sz w:val="20"/>
          <w:szCs w:val="20"/>
          <w:color w:val="auto"/>
        </w:rPr>
      </w:pPr>
    </w:p>
    <w:p>
      <w:pPr>
        <w:ind w:right="120"/>
        <w:spacing w:after="0" w:line="297" w:lineRule="auto"/>
        <w:rPr>
          <w:sz w:val="20"/>
          <w:szCs w:val="20"/>
          <w:color w:val="auto"/>
        </w:rPr>
      </w:pPr>
      <w:r>
        <w:rPr>
          <w:rFonts w:ascii="Times New Roman" w:cs="Times New Roman" w:eastAsia="Times New Roman" w:hAnsi="Times New Roman"/>
          <w:sz w:val="18"/>
          <w:szCs w:val="18"/>
          <w:color w:val="auto"/>
        </w:rPr>
        <w:t>On September 4, 2025, Global-E Online Ltd.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issued a press release titled “Global-e Announces Board Authorization of $200 Million Share Repurchase Program”. A copy of the press release is furnished as Exhibit 99.1 herewith.</w:t>
      </w:r>
    </w:p>
    <w:p>
      <w:pPr>
        <w:spacing w:after="0" w:line="16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The Form 6-K and related exhibits are hereby incorporated by reference into the Company’s Registration Statements on Form S-8 (File No. 333-256403 and File No. 333-264156).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347" w:right="59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furnished as part of this Form 6-K:</w:t>
      </w:r>
    </w:p>
    <w:p>
      <w:pPr>
        <w:spacing w:after="0" w:line="262" w:lineRule="exact"/>
        <w:rPr>
          <w:sz w:val="20"/>
          <w:szCs w:val="20"/>
          <w:color w:val="auto"/>
        </w:rPr>
      </w:pPr>
    </w:p>
    <w:p>
      <w:pPr>
        <w:ind w:left="18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88" w:lineRule="exact"/>
        <w:rPr>
          <w:sz w:val="20"/>
          <w:szCs w:val="20"/>
          <w:color w:val="auto"/>
        </w:rPr>
      </w:pPr>
    </w:p>
    <w:p>
      <w:pPr>
        <w:ind w:left="300"/>
        <w:spacing w:after="0"/>
        <w:tabs>
          <w:tab w:leader="none" w:pos="114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September 4, 2025 titled “Global-e Announces Board Authorization of $200 Million Share Repurchase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320" w:top="347" w:right="839" w:bottom="1440" w:gutter="0" w:footer="0" w:header="0"/>
        </w:sectPr>
      </w:pPr>
    </w:p>
    <w:bookmarkStart w:id="3" w:name="page4"/>
    <w:bookmarkEnd w:id="3"/>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thereto duly authorized.</w:t>
      </w:r>
    </w:p>
    <w:p>
      <w:pPr>
        <w:spacing w:after="0" w:line="15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Global-E Online Ltd.</w:t>
      </w:r>
    </w:p>
    <w:p>
      <w:pPr>
        <w:spacing w:after="0" w:line="3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(Registrant)</w:t>
      </w:r>
    </w:p>
    <w:p>
      <w:pPr>
        <w:spacing w:after="0" w:line="234" w:lineRule="exact"/>
        <w:rPr>
          <w:sz w:val="20"/>
          <w:szCs w:val="20"/>
          <w:color w:val="auto"/>
        </w:rPr>
      </w:pPr>
    </w:p>
    <w:p>
      <w:pPr>
        <w:ind w:left="560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Amir Schlachet</w:t>
      </w:r>
    </w:p>
    <w:p>
      <w:pPr>
        <w:spacing w:after="0" w:line="2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Name:Amir Schlachet</w:t>
      </w:r>
    </w:p>
    <w:p>
      <w:pPr>
        <w:spacing w:after="0" w:line="2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280"/>
          </w:cols>
          <w:pgMar w:left="320" w:top="347" w:right="1299" w:bottom="1440" w:gutter="0" w:footer="0" w:header="0"/>
        </w:sectPr>
      </w:pPr>
    </w:p>
    <w:bookmarkStart w:id="4" w:name="page5"/>
    <w:bookmarkEnd w:id="4"/>
    <w:p>
      <w:pPr>
        <w:spacing w:after="0" w:line="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0320"/>
        <w:spacing w:after="0"/>
        <w:rPr>
          <w:sz w:val="20"/>
          <w:szCs w:val="20"/>
          <w:color w:val="auto"/>
        </w:rPr>
      </w:pPr>
      <w:r>
        <w:rPr>
          <w:rFonts w:ascii="Times New Roman" w:cs="Times New Roman" w:eastAsia="Times New Roman" w:hAnsi="Times New Roman"/>
          <w:sz w:val="17"/>
          <w:szCs w:val="17"/>
          <w:b w:val="1"/>
          <w:bCs w:val="1"/>
          <w:u w:val="single" w:color="auto"/>
          <w:color w:val="auto"/>
        </w:rPr>
        <w:t>Exhibit 99.1</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Global-e Announces Board Authorization of $200 Million Share Repurchase Program</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 04, 2025</w:t>
      </w:r>
    </w:p>
    <w:p>
      <w:pPr>
        <w:spacing w:after="0" w:line="235" w:lineRule="exact"/>
        <w:rPr>
          <w:sz w:val="20"/>
          <w:szCs w:val="20"/>
          <w:color w:val="auto"/>
        </w:rPr>
      </w:pPr>
    </w:p>
    <w:p>
      <w:pPr>
        <w:ind w:right="500"/>
        <w:spacing w:after="0" w:line="334" w:lineRule="auto"/>
        <w:rPr>
          <w:sz w:val="20"/>
          <w:szCs w:val="20"/>
          <w:color w:val="auto"/>
        </w:rPr>
      </w:pPr>
      <w:r>
        <w:rPr>
          <w:rFonts w:ascii="Times New Roman" w:cs="Times New Roman" w:eastAsia="Times New Roman" w:hAnsi="Times New Roman"/>
          <w:sz w:val="17"/>
          <w:szCs w:val="17"/>
          <w:b w:val="1"/>
          <w:bCs w:val="1"/>
          <w:color w:val="auto"/>
        </w:rPr>
        <w:t xml:space="preserve">PETAH-TIKVA, Israel, September 4, 2025 </w:t>
      </w:r>
      <w:r>
        <w:rPr>
          <w:rFonts w:ascii="Times New Roman" w:cs="Times New Roman" w:eastAsia="Times New Roman" w:hAnsi="Times New Roman"/>
          <w:sz w:val="17"/>
          <w:szCs w:val="17"/>
          <w:color w:val="auto"/>
        </w:rPr>
        <w:t>- Global-e Online Ltd. (Nasdaq: GLBE) the platform powering global direct-to-consumer e-commerce,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announced that its board of directors has authorized a program to repurchase the Company's ordinary shares in an amount up to $200 million.</w:t>
      </w:r>
    </w:p>
    <w:p>
      <w:pPr>
        <w:spacing w:after="0" w:line="135" w:lineRule="exact"/>
        <w:rPr>
          <w:sz w:val="20"/>
          <w:szCs w:val="20"/>
          <w:color w:val="auto"/>
        </w:rPr>
      </w:pPr>
    </w:p>
    <w:p>
      <w:pPr>
        <w:jc w:val="both"/>
        <w:ind w:right="360"/>
        <w:spacing w:after="0" w:line="274" w:lineRule="auto"/>
        <w:rPr>
          <w:sz w:val="20"/>
          <w:szCs w:val="20"/>
          <w:color w:val="auto"/>
        </w:rPr>
      </w:pPr>
      <w:r>
        <w:rPr>
          <w:rFonts w:ascii="Times New Roman" w:cs="Times New Roman" w:eastAsia="Times New Roman" w:hAnsi="Times New Roman"/>
          <w:sz w:val="18"/>
          <w:szCs w:val="18"/>
          <w:color w:val="auto"/>
        </w:rPr>
        <w:t>“We are pleased to announce the authorization of our first-ever stock repurchase program. This program demonstrates our continued confidence in our ability to drive strong cash flow generation and our ongoing commitment to increasing shareholder value” said Ofer Koren, Global-e’s CFO. “We have built a healthy balance sheet enabling us to continue to invest in our strategic initiatives while also returning capital to shareholders.”</w:t>
      </w:r>
    </w:p>
    <w:p>
      <w:pPr>
        <w:spacing w:after="0" w:line="196"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8"/>
          <w:szCs w:val="18"/>
          <w:color w:val="auto"/>
        </w:rPr>
        <w:t>Under the Board authorized repurchase program, Company securities may be repurchased from time to time using a variety of methods, which may include open market purchases, privately negotiated transactions or otherwise, all in accordance with U.S. securities laws and regulations, including Rule 10b-18 under the U.S.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The Company may also, from time to time, enter into plans that are compliant with Rule 10b5-1 of the Exchange Act to facilitate repurchases of its securities under this authorization. The repurchase program does not obligate the Company to acquire any particular amount of securities, and the repurchase program may be suspended or discontinued at any time at the Company's discretion. Repurchases under the repurchase program may begin after conclusion of the 30-day period for creditors of the Company to object to the Company's intent to perform the distribution by way of repurchase in accordance with the Israeli Companies Regulations (Relief for Public Companies Whose Securities are Traded on Stock Exchanges Outside of Israel), 5760-2000 and the Israeli Regulations (Approval of Distribution), 5761– 2001. The actual timing, number and value of securities repurchased depend on a number of factors, including the market price of the Company's ordinary shares, general market and economic conditions, any objections received by the Company from its creditors, the Company's financial results and liquidity, and other considerations. The Company expects to fund repurchases with cash on hand and future cash generated from its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Note Regarding Forward Looking Statements</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press release contains estimates and forward-looking statements within the meaning of the U.S. Private Securities Litigation Reform Act of 1995. We intend such forward-looking statements to be covered by the safe harbor provisions for forward-looking statements as contained in Section 27A of the Securities Act of 1933, as amended, and Section 21E of the Securities Exchange Act of 1934, as amended (the “Exchange Act”). All statements contained in this press release other than statements of historical fact, including, without limitation, statements regarding our future strategy and projected revenue, GMV, Adjusted EBITDA and other future financial and operational results, growth strategy and plans and objectives of management for future operations, including, among others, expansion in new and existing markets, the launch of large enterprise merchants, and our ongoing partnership with Shopify, are forward-looking statements. As the words “may,” “might,” “will,” “could,” “would,” “should,” “expect,” “plan,” “anticipate,” “intend,” “target,” “seek,” “believe,” “estimate,” “predict,” “potential,” “continue,” “contemplate,” “possible” or the negative of these terms or other similar expressions are intended to identify forward-looking statements, though not all forward-looking statements use these words or expressions. Forward-looking statements are predictions, projections and other statements about future events that are based on current expectations and assumptions and, as a result, are subject to risks and uncertainties. Global-e believes there is a reasonable basis for its expectations and beliefs, but they are inherently uncertain. Many factors could cause actual future events to differ materially from the forward-looking statements in this announcement, including but not limited to, our rapid growth and growth rates in recent periods may not be indicative of future growth; our ability to retain existing merchants and to attract new merchants; our ability to anticipate merchant needs or develop or integrate new functionality or enhance our existing platforms to meet those needs; the impact of imposed tariffs or other trade regulations on our business and financial results; our ability to implement and use artificial intelligence and machine learning technologies successfully; our ability to compete in our industry; our reliance on third-parties, including our ability to realize the benefits of any strategic alliances, joint ventures, or partnership arrangements and to integrate our platforms with third-party platforms; our ability to adapt our platform and services for the Shopify platforms; our ability to develop or maintain the functionality of our platforms, including real or perceived errors, failures, vulnerabilities, or bugs in our platforms; our history of net losses; our ability to manage our growth and manage expansion into additional markets and the introduction of new platforms and offerings; our ability to accommodate increased volumes during peak seasons and events; our ability to effectively expand our marketing and sales capabilities; our expectations regarding our revenue, expenses and operations; our ability to operate internationally; our reliance on third-party services, including third-party providers of cross-docking services and third-party data centers, in our platforms and services and harm to our reputation by our merchants’ or third-party service providers’ unethical business practices; our operation as a merchant of record for sales conducted using our platform; regulatory requirements and additional fees related to payment transactions through our e-commerce platforms could be costly and difficult to comply with; compliance and third-party risks related to anti-money laundering, anti-corruption, anti-bribery, regulations, economic sanctions and export control laws and import regulations and restrictions; our business’s reliance on the personal importation model; our ability to securely store personal information of merchants and shoppers; increases in shipping rates; fluctuations in the exchange rate of foreign currencies has impacted and could continue to impact our results of operations; our ability to offer high quality support; our ability to expand the number of merchants using our platforms and increase our GMV and to enhance our reputation and awareness of our platforms; our ability to adapt to emerging or evolving regulatory developments, changing laws, regulations, standards and technological changes related to privacy, data protection, data security and machine learning technology and generative artificial intelligence evolves; our role in the fulfilment chain of the merchants, which may cause third parties to confuse us with the merchants; our ability to establish and protect intellectual property rights; and our use of open-source software which may pose particular risks to our proprietary software technologies; our dependency on our executive officers and other key employees and our ability to hire and retain skilled key personnel, including our ability to enforce non-compete agreements we enter into with our employees; litigation for a variety of claims which we may be subject to; the adoption by merchants of a D2C model; our anticipated cash needs and our estimates regarding our capital requirements and our needs for additional financing; our ability to maintain our corporate culture; our ability to maintain an effective system of disclosure controls and internal control over financial reporting; our ability to accurately estimate judgments relating to our critical accounting policies; changes in tax laws or regulations to which we are subject, including the enactment of legislation implementing changes in taxation of international business activities and the adoption of other corporate tax reform policies; requirements to collect sales or other taxes relating to the use of our platforms and services in jurisdictions where we have not historically done so; global events or conditions in individual markets such as financial and credit market fluctuations, war, climate change, and macroeconomic events; risks relating to our ordinary shares, including our share price, the concentration of our share ownership with insiders, our status as a foreign private issuer, provisions of Israeli law and our amended and restated articles of association and actions of activist shareholders; risks related to our incorporation and location in Israel, including risks related to the ongoing war and related hostilities; and the other risks and uncertainties described in Global-e’s Annual Report on Form 20-F for the year ended December 31, 2024, filed with the SEC on March 27, 2025 and other documents filed with or furnished by Global-e from time to time with the Securities and Exchange Commission (the “SEC”). The foregoing list of factors is not exhaustive. You should carefully consider the foregoing</w:t>
      </w:r>
    </w:p>
    <w:p>
      <w:pPr>
        <w:sectPr>
          <w:pgSz w:w="11900" w:h="16863" w:orient="portrait"/>
          <w:cols w:equalWidth="0" w:num="1">
            <w:col w:w="11240"/>
          </w:cols>
          <w:pgMar w:left="320" w:top="414" w:right="339" w:bottom="0" w:gutter="0" w:footer="0" w:header="0"/>
        </w:sectPr>
      </w:pPr>
    </w:p>
    <w:bookmarkStart w:id="5" w:name="page6"/>
    <w:bookmarkEnd w:id="5"/>
    <w:p>
      <w:pPr>
        <w:spacing w:after="0" w:line="264" w:lineRule="auto"/>
        <w:rPr>
          <w:sz w:val="20"/>
          <w:szCs w:val="20"/>
          <w:color w:val="auto"/>
        </w:rPr>
      </w:pPr>
      <w:r>
        <w:rPr>
          <w:rFonts w:ascii="Times New Roman" w:cs="Times New Roman" w:eastAsia="Times New Roman" w:hAnsi="Times New Roman"/>
          <w:sz w:val="18"/>
          <w:szCs w:val="18"/>
          <w:color w:val="auto"/>
        </w:rPr>
        <w:t>factors. These filings identify and address other important risks and uncertainties that could cause actual events and results to differ materially from those contained in the forward-looking statements. These statements reflect management’s current expectations regarding future events and operating performance and speak only as of the date of this press release. Forward-looking statements speak only as of the date they are made. Readers are cautioned not to put undue reliance on forward-looking statements Although we believe that the expectations reflected in the forward-looking statements are reasonable, we cannot guarantee that future results, levels of activity, performance and events and circumstances reflected in the forward-looking statements will be achieved or will occur. We undertake no obligation to update any forward-looking statements made in this press release to reflect events or circumstances after the date of this press release or to reflect new information or the occurrence of unanticipated events, except as required by law. We may not actually achieve the plans, intentions or expectations disclosed in our forward-looking statements, and you should not place undue reliance on our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Global-E Online Ltd.</w:t>
      </w:r>
    </w:p>
    <w:p>
      <w:pPr>
        <w:spacing w:after="0" w:line="2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Global-e (Nasdaq: GLBE) is the world's leading platform enabling and accelerating global, Direct-To-Consumer e-commerce. The chosen partner of over 1,400 brands and retailers across North America, EMEA and APAC, Global-e makes selling internationally as simple as selling domestically. The company enables merchants to increase the conversion of international traffic into sales by offering online shoppers in over 200 destinations worldwide a seamless, localized shopping experience. Global-e's end-to-end e-commerce solutions combine best-in-class localization capabilities, big-data best-practice business intelligence models, streamlined international logistics and vast global e-commerce experience, enabling international shoppers to buy seamlessly online and retailers to sell to, and from, anywhere in the world. For more information, please visit: www.global-e.com.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Alan Katz</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Global-e Investor Relations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IR@global-e.com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Sarah Schloss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Headline Media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Globale@headline.media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+1 786-233-7684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20"/>
      </w:cols>
      <w:pgMar w:left="320" w:top="34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2025-09-04T08:02:38Z</dcterms:created>
  <dcterms:modified xsi:type="dcterms:W3CDTF">2025-09-04T08:02:38Z</dcterms:modified>
</cp:coreProperties>
</file>