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Tsuchikawa Gen</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Global-E Online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GLBE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2-3-21-401 KAMIOSAKI</w:t>
            </w:r>
          </w:p>
        </w:tc>
        <w:tc>
          <w:tcPr>
            <w:tcW w:w="150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SHINAGAWA-KU</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TOKYO</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M0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141-0021</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05/13/2026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6,271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20" w:type="dxa"/>
            <w:vAlign w:val="bottom"/>
            <w:tcBorders>
              <w:bottom w:val="single" w:sz="8" w:color="2C2C2C"/>
            </w:tcBorders>
            <w:gridSpan w:val="5"/>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31.896   20,675</w:t>
            </w:r>
            <w:r>
              <w:rPr>
                <w:rFonts w:ascii="Times New Roman" w:cs="Times New Roman" w:eastAsia="Times New Roman" w:hAnsi="Times New Roman"/>
                <w:sz w:val="22"/>
                <w:szCs w:val="22"/>
                <w:color w:val="008000"/>
                <w:vertAlign w:val="superscript"/>
              </w:rPr>
              <w:t>(2)(3)(4)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to the Reporting Person, with a vesting commencement date of April 1, 2026. The RSUs vest in full on the first anniversary of the vesting commencement date, subject to the Reporting Person's continued service through the applicable vesting date. Each RSU represents a contingent right to receive one ordinary share of the Issuer upon vesting and settlement.</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3,810 ordinary shares issued upon the vesting and settlement of an equivalent number of RSUs previously granted to the Reporting Person by the Issuer on February 20, 2024. As of the date hereof, all such RSUs have fully vested.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6,350 ordinary shares issued or issuable upon vesting and settlement of an equivalent number of RSUs granted to the Reporting Person by the Issuer on February 20, 2024, with a vesting commencement date of November 1, 2023. The RSUs vest in accordance with the following schedule: 33% of the RSUs vest on the first anniversary of the vesting commencement date, 33% of the RSUs vest on the second anniversary of the vesting commencement date, and 33% of the RSUs vest on the third anniversary of the vesting commencement date, subject to the Reporting Person's provision of service to the Issuer on each vesting date. Each RSU represents the right to receive one ordinary share upon vesting and settlement.</w:t>
      </w:r>
    </w:p>
    <w:p>
      <w:pPr>
        <w:spacing w:after="0" w:line="24"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4,244 ordinary shares issued upon the vesting and settlement of an equivalent number of RSUs previously granted to the Reporting Person by the Issuer on April 14, 2025. As of the date hereof, all such RSUs have fully vested.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05/14/2026</w:t>
            </w: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8475"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2026-05-14T11:49:54Z</dcterms:created>
  <dcterms:modified xsi:type="dcterms:W3CDTF">2026-05-14T11:49:54Z</dcterms:modified>
</cp:coreProperties>
</file>